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7A5" w:rsidRDefault="00EC5836" w:rsidP="00760FA1">
      <w:pPr>
        <w:pStyle w:val="Heading1"/>
        <w:rPr>
          <w:rFonts w:ascii="Times New Roman" w:eastAsia="Times New Roman" w:hAnsi="Times New Roman" w:cs="Times New Roman"/>
          <w:sz w:val="24"/>
          <w:szCs w:val="24"/>
          <w:u w:val="single"/>
        </w:rPr>
      </w:pPr>
      <w:r>
        <w:t> </w:t>
      </w: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EC5836">
      <w:pPr>
        <w:spacing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Contents Page</w:t>
      </w:r>
    </w:p>
    <w:p w:rsidR="00BA47A5" w:rsidRDefault="00BA47A5">
      <w:pPr>
        <w:spacing w:line="360" w:lineRule="auto"/>
        <w:jc w:val="center"/>
        <w:rPr>
          <w:rFonts w:ascii="Times New Roman" w:eastAsia="Times New Roman" w:hAnsi="Times New Roman" w:cs="Times New Roman"/>
          <w:b/>
          <w:sz w:val="24"/>
          <w:szCs w:val="24"/>
          <w:u w:val="single"/>
        </w:rPr>
      </w:pPr>
    </w:p>
    <w:p w:rsidR="00BA47A5" w:rsidRDefault="00BA47A5">
      <w:pPr>
        <w:spacing w:line="360" w:lineRule="auto"/>
        <w:jc w:val="center"/>
        <w:rPr>
          <w:rFonts w:ascii="Times New Roman" w:eastAsia="Times New Roman" w:hAnsi="Times New Roman" w:cs="Times New Roman"/>
          <w:b/>
          <w:sz w:val="24"/>
          <w:szCs w:val="24"/>
          <w:u w:val="single"/>
        </w:rPr>
      </w:pPr>
    </w:p>
    <w:tbl>
      <w:tblPr>
        <w:tblStyle w:val="a"/>
        <w:tblW w:w="6555" w:type="dxa"/>
        <w:tblInd w:w="1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75"/>
        <w:gridCol w:w="4380"/>
      </w:tblGrid>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Page number</w:t>
            </w:r>
          </w:p>
        </w:tc>
        <w:tc>
          <w:tcPr>
            <w:tcW w:w="4380"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Contents</w:t>
            </w:r>
          </w:p>
        </w:tc>
      </w:tr>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380" w:type="dxa"/>
            <w:shd w:val="clear" w:color="auto" w:fill="auto"/>
            <w:tcMar>
              <w:top w:w="100" w:type="dxa"/>
              <w:left w:w="100" w:type="dxa"/>
              <w:bottom w:w="100" w:type="dxa"/>
              <w:right w:w="100" w:type="dxa"/>
            </w:tcMar>
          </w:tcPr>
          <w:p w:rsidR="00BA47A5" w:rsidRDefault="00EC5836">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Contents Page</w:t>
            </w:r>
          </w:p>
        </w:tc>
      </w:tr>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380" w:type="dxa"/>
            <w:shd w:val="clear" w:color="auto" w:fill="auto"/>
            <w:tcMar>
              <w:top w:w="100" w:type="dxa"/>
              <w:left w:w="100" w:type="dxa"/>
              <w:bottom w:w="100" w:type="dxa"/>
              <w:right w:w="100" w:type="dxa"/>
            </w:tcMar>
          </w:tcPr>
          <w:p w:rsidR="00BA47A5" w:rsidRDefault="00EC5836">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Task 1</w:t>
            </w:r>
          </w:p>
        </w:tc>
      </w:tr>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4380" w:type="dxa"/>
            <w:shd w:val="clear" w:color="auto" w:fill="auto"/>
            <w:tcMar>
              <w:top w:w="100" w:type="dxa"/>
              <w:left w:w="100" w:type="dxa"/>
              <w:bottom w:w="100" w:type="dxa"/>
              <w:right w:w="100" w:type="dxa"/>
            </w:tcMar>
          </w:tcPr>
          <w:p w:rsidR="00BA47A5" w:rsidRDefault="00EC5836">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Welsh planning sheet</w:t>
            </w:r>
          </w:p>
        </w:tc>
      </w:tr>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4380" w:type="dxa"/>
            <w:shd w:val="clear" w:color="auto" w:fill="auto"/>
            <w:tcMar>
              <w:top w:w="100" w:type="dxa"/>
              <w:left w:w="100" w:type="dxa"/>
              <w:bottom w:w="100" w:type="dxa"/>
              <w:right w:w="100" w:type="dxa"/>
            </w:tcMar>
          </w:tcPr>
          <w:p w:rsidR="00BA47A5" w:rsidRDefault="00EC5836">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Task 2</w:t>
            </w:r>
          </w:p>
        </w:tc>
      </w:tr>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4380" w:type="dxa"/>
            <w:shd w:val="clear" w:color="auto" w:fill="auto"/>
            <w:tcMar>
              <w:top w:w="100" w:type="dxa"/>
              <w:left w:w="100" w:type="dxa"/>
              <w:bottom w:w="100" w:type="dxa"/>
              <w:right w:w="100" w:type="dxa"/>
            </w:tcMar>
          </w:tcPr>
          <w:p w:rsidR="00BA47A5" w:rsidRDefault="00EC5836">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Task 3</w:t>
            </w:r>
          </w:p>
        </w:tc>
      </w:tr>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4380" w:type="dxa"/>
            <w:shd w:val="clear" w:color="auto" w:fill="auto"/>
            <w:tcMar>
              <w:top w:w="100" w:type="dxa"/>
              <w:left w:w="100" w:type="dxa"/>
              <w:bottom w:w="100" w:type="dxa"/>
              <w:right w:w="100" w:type="dxa"/>
            </w:tcMar>
          </w:tcPr>
          <w:p w:rsidR="00BA47A5" w:rsidRDefault="00EC5836">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w:t>
            </w:r>
          </w:p>
        </w:tc>
      </w:tr>
      <w:tr w:rsidR="00BA47A5">
        <w:tc>
          <w:tcPr>
            <w:tcW w:w="2175" w:type="dxa"/>
            <w:shd w:val="clear" w:color="auto" w:fill="auto"/>
            <w:tcMar>
              <w:top w:w="100" w:type="dxa"/>
              <w:left w:w="100" w:type="dxa"/>
              <w:bottom w:w="100" w:type="dxa"/>
              <w:right w:w="100" w:type="dxa"/>
            </w:tcMar>
          </w:tcPr>
          <w:p w:rsidR="00BA47A5" w:rsidRDefault="00EC583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9-10</w:t>
            </w:r>
          </w:p>
        </w:tc>
        <w:tc>
          <w:tcPr>
            <w:tcW w:w="4380" w:type="dxa"/>
            <w:shd w:val="clear" w:color="auto" w:fill="auto"/>
            <w:tcMar>
              <w:top w:w="100" w:type="dxa"/>
              <w:left w:w="100" w:type="dxa"/>
              <w:bottom w:w="100" w:type="dxa"/>
              <w:right w:w="100" w:type="dxa"/>
            </w:tcMar>
          </w:tcPr>
          <w:p w:rsidR="00BA47A5" w:rsidRDefault="00EC5836">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Bibliography</w:t>
            </w:r>
          </w:p>
        </w:tc>
      </w:tr>
    </w:tbl>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760FA1" w:rsidRDefault="00760FA1">
      <w:pPr>
        <w:spacing w:line="360" w:lineRule="auto"/>
        <w:rPr>
          <w:rFonts w:ascii="Times New Roman" w:eastAsia="Times New Roman" w:hAnsi="Times New Roman" w:cs="Times New Roman"/>
          <w:b/>
          <w:sz w:val="24"/>
          <w:szCs w:val="24"/>
          <w:u w:val="single"/>
        </w:rPr>
      </w:pPr>
    </w:p>
    <w:p w:rsidR="00BA47A5" w:rsidRDefault="00EC5836">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Task One</w:t>
      </w:r>
    </w:p>
    <w:p w:rsidR="00BA47A5" w:rsidRDefault="00BA47A5">
      <w:pPr>
        <w:spacing w:line="360" w:lineRule="auto"/>
        <w:rPr>
          <w:rFonts w:ascii="Times New Roman" w:eastAsia="Times New Roman" w:hAnsi="Times New Roman" w:cs="Times New Roman"/>
          <w:b/>
          <w:sz w:val="24"/>
          <w:szCs w:val="24"/>
          <w:u w:val="single"/>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lesson was based upon the text ‘Hwyl yn y parc yn y haf’, a level three book in the Fflic and Fflac series of resources aimed primarily at teaching Welsh as a second-language (LearnCymru, 2018). It was presented to a year two class in an English-medium</w:t>
      </w:r>
      <w:r>
        <w:rPr>
          <w:rFonts w:ascii="Times New Roman" w:eastAsia="Times New Roman" w:hAnsi="Times New Roman" w:cs="Times New Roman"/>
          <w:sz w:val="24"/>
          <w:szCs w:val="24"/>
        </w:rPr>
        <w:t xml:space="preserve"> school. </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book was selected as it contains a suitable ability level of Welsh-language text for their linguistic attainment. It enables the children to ‘progressively develop’ their Welsh-language skills by ‘building upon and increasing’ their ‘previou</w:t>
      </w:r>
      <w:r>
        <w:rPr>
          <w:rFonts w:ascii="Times New Roman" w:eastAsia="Times New Roman" w:hAnsi="Times New Roman" w:cs="Times New Roman"/>
          <w:sz w:val="24"/>
          <w:szCs w:val="24"/>
        </w:rPr>
        <w:t xml:space="preserve">s knowledge and experiences’ from the Foundation Phase (WAG, 2015, p.36). Furthermore, I had observed children were very engaged with the books and characters from previous titles in the series. </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learning objective of the reading session was to be abl</w:t>
      </w:r>
      <w:r>
        <w:rPr>
          <w:rFonts w:ascii="Times New Roman" w:eastAsia="Times New Roman" w:hAnsi="Times New Roman" w:cs="Times New Roman"/>
          <w:sz w:val="24"/>
          <w:szCs w:val="24"/>
        </w:rPr>
        <w:t xml:space="preserve">e to discuss a Welsh-language book using Welsh. A priority of the school’s Welsh development plan is to increase reading levels of Welsh-language texts within each year group (TreUchafPrimarySchool, 2019). The text was used to introduce whole-class guided </w:t>
      </w:r>
      <w:r>
        <w:rPr>
          <w:rFonts w:ascii="Times New Roman" w:eastAsia="Times New Roman" w:hAnsi="Times New Roman" w:cs="Times New Roman"/>
          <w:sz w:val="24"/>
          <w:szCs w:val="24"/>
        </w:rPr>
        <w:t>reading with Welsh-language texts. Vygotsky (Bates, 2016) would support the use of this structure to scaffold learners as the class were familiar with the strategy from regular English-medium sessions. The children’s Welsh reading, oracy, listening and thi</w:t>
      </w:r>
      <w:r>
        <w:rPr>
          <w:rFonts w:ascii="Times New Roman" w:eastAsia="Times New Roman" w:hAnsi="Times New Roman" w:cs="Times New Roman"/>
          <w:sz w:val="24"/>
          <w:szCs w:val="24"/>
        </w:rPr>
        <w:t>nking skills will be extended further following the story through an role-play Welsh-language conversation focus task based upon the text.</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Firstly, throughout the session the trainee will use an audio-lingual style approach by asking questions about the t</w:t>
      </w:r>
      <w:r>
        <w:rPr>
          <w:rFonts w:ascii="Times New Roman" w:eastAsia="Times New Roman" w:hAnsi="Times New Roman" w:cs="Times New Roman"/>
          <w:sz w:val="24"/>
          <w:szCs w:val="24"/>
        </w:rPr>
        <w:t>ext using the school’s Year two language patterns alongside incidental Welsh to support language learning and retention (Cook, 2008). The Foundation Phase Framework (WAG, 2015, p.36) supports this approach stating ‘children should listen to Welsh being spo</w:t>
      </w:r>
      <w:r>
        <w:rPr>
          <w:rFonts w:ascii="Times New Roman" w:eastAsia="Times New Roman" w:hAnsi="Times New Roman" w:cs="Times New Roman"/>
          <w:sz w:val="24"/>
          <w:szCs w:val="24"/>
        </w:rPr>
        <w:t>ken and respond appropriately in familiar situations’. Secondly, the sandwich method will be used at times to ensure children understand what is spoken whilst maintaining a high-level of exposure to the Welsh language. Furthermore, elements of a Total Phys</w:t>
      </w:r>
      <w:r>
        <w:rPr>
          <w:rFonts w:ascii="Times New Roman" w:eastAsia="Times New Roman" w:hAnsi="Times New Roman" w:cs="Times New Roman"/>
          <w:sz w:val="24"/>
          <w:szCs w:val="24"/>
        </w:rPr>
        <w:t xml:space="preserve">ical Response (TPR) style approach, which connects speech with a physical action, will be used by introducing movements or actions to support language acquisition (Richards and Rodgers, 2001). </w:t>
      </w:r>
    </w:p>
    <w:p w:rsidR="00BA47A5" w:rsidRDefault="00EC5836">
      <w:pPr>
        <w:spacing w:line="360" w:lineRule="auto"/>
        <w:rPr>
          <w:rFonts w:ascii="Times New Roman" w:eastAsia="Times New Roman" w:hAnsi="Times New Roman" w:cs="Times New Roman"/>
          <w:sz w:val="24"/>
          <w:szCs w:val="24"/>
        </w:rPr>
      </w:pPr>
      <w:r>
        <w:rPr>
          <w:noProof/>
        </w:rPr>
        <w:lastRenderedPageBreak/>
        <w:drawing>
          <wp:inline distT="114300" distB="114300" distL="114300" distR="114300">
            <wp:extent cx="5734050" cy="80772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734050" cy="8077200"/>
                    </a:xfrm>
                    <a:prstGeom prst="rect">
                      <a:avLst/>
                    </a:prstGeom>
                    <a:ln/>
                  </pic:spPr>
                </pic:pic>
              </a:graphicData>
            </a:graphic>
          </wp:inline>
        </w:drawing>
      </w:r>
    </w:p>
    <w:p w:rsidR="00BA47A5" w:rsidRDefault="00BA47A5">
      <w:pPr>
        <w:spacing w:line="360" w:lineRule="auto"/>
        <w:rPr>
          <w:rFonts w:ascii="Times New Roman" w:eastAsia="Times New Roman" w:hAnsi="Times New Roman" w:cs="Times New Roman"/>
          <w:sz w:val="24"/>
          <w:szCs w:val="24"/>
        </w:rPr>
      </w:pPr>
    </w:p>
    <w:p w:rsidR="00BA47A5" w:rsidRDefault="00BA47A5">
      <w:pPr>
        <w:spacing w:line="360" w:lineRule="auto"/>
        <w:rPr>
          <w:rFonts w:ascii="Times New Roman" w:eastAsia="Times New Roman" w:hAnsi="Times New Roman" w:cs="Times New Roman"/>
          <w:b/>
          <w:sz w:val="24"/>
          <w:szCs w:val="24"/>
          <w:u w:val="single"/>
        </w:rPr>
      </w:pPr>
    </w:p>
    <w:p w:rsidR="00BA47A5" w:rsidRDefault="00BA47A5">
      <w:pPr>
        <w:spacing w:line="360" w:lineRule="auto"/>
        <w:rPr>
          <w:rFonts w:ascii="Times New Roman" w:eastAsia="Times New Roman" w:hAnsi="Times New Roman" w:cs="Times New Roman"/>
          <w:b/>
          <w:sz w:val="24"/>
          <w:szCs w:val="24"/>
          <w:u w:val="single"/>
        </w:rPr>
      </w:pPr>
    </w:p>
    <w:p w:rsidR="00BA47A5" w:rsidRDefault="00EC5836">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Task Two</w:t>
      </w: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Video is available at the link below:</w:t>
      </w:r>
    </w:p>
    <w:p w:rsidR="00BA47A5" w:rsidRDefault="00EC5836">
      <w:pPr>
        <w:spacing w:line="360" w:lineRule="auto"/>
        <w:rPr>
          <w:rFonts w:ascii="Times New Roman" w:eastAsia="Times New Roman" w:hAnsi="Times New Roman" w:cs="Times New Roman"/>
          <w:sz w:val="24"/>
          <w:szCs w:val="24"/>
        </w:rPr>
      </w:pPr>
      <w:hyperlink r:id="rId7">
        <w:r>
          <w:rPr>
            <w:rFonts w:ascii="Times New Roman" w:eastAsia="Times New Roman" w:hAnsi="Times New Roman" w:cs="Times New Roman"/>
            <w:color w:val="1155CC"/>
            <w:sz w:val="24"/>
            <w:szCs w:val="24"/>
            <w:u w:val="single"/>
          </w:rPr>
          <w:t>https://youtu.be/qasOWWUIrQE</w:t>
        </w:r>
      </w:hyperlink>
      <w:r>
        <w:rPr>
          <w:rFonts w:ascii="Times New Roman" w:eastAsia="Times New Roman" w:hAnsi="Times New Roman" w:cs="Times New Roman"/>
          <w:sz w:val="24"/>
          <w:szCs w:val="24"/>
        </w:rPr>
        <w:t xml:space="preserve"> </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Task Three</w:t>
      </w:r>
    </w:p>
    <w:p w:rsidR="00BA47A5" w:rsidRDefault="00BA47A5">
      <w:pPr>
        <w:spacing w:line="360" w:lineRule="auto"/>
        <w:rPr>
          <w:rFonts w:ascii="Times New Roman" w:eastAsia="Times New Roman" w:hAnsi="Times New Roman" w:cs="Times New Roman"/>
          <w:b/>
          <w:sz w:val="24"/>
          <w:szCs w:val="24"/>
          <w:u w:val="single"/>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prior to the task I prepared a </w:t>
      </w:r>
      <w:bookmarkStart w:id="0" w:name="_GoBack"/>
      <w:r>
        <w:rPr>
          <w:rFonts w:ascii="Times New Roman" w:eastAsia="Times New Roman" w:hAnsi="Times New Roman" w:cs="Times New Roman"/>
          <w:sz w:val="24"/>
          <w:szCs w:val="24"/>
        </w:rPr>
        <w:t>PowerPoint</w:t>
      </w:r>
      <w:bookmarkEnd w:id="0"/>
      <w:r>
        <w:rPr>
          <w:rFonts w:ascii="Times New Roman" w:eastAsia="Times New Roman" w:hAnsi="Times New Roman" w:cs="Times New Roman"/>
          <w:sz w:val="24"/>
          <w:szCs w:val="24"/>
        </w:rPr>
        <w:t xml:space="preserve"> presentation (Appendix 1) to support the lesson with questions and images of</w:t>
      </w:r>
      <w:r>
        <w:rPr>
          <w:rFonts w:ascii="Times New Roman" w:eastAsia="Times New Roman" w:hAnsi="Times New Roman" w:cs="Times New Roman"/>
          <w:sz w:val="24"/>
          <w:szCs w:val="24"/>
        </w:rPr>
        <w:t xml:space="preserve"> the text’s pages. The purpose was to present written Welsh to the children to promote Welsh-language reading and increase familiarity with questions and furthermore ensure that all children could see the pages of the book. Fleming’s VARK model (Bates, 201</w:t>
      </w:r>
      <w:r>
        <w:rPr>
          <w:rFonts w:ascii="Times New Roman" w:eastAsia="Times New Roman" w:hAnsi="Times New Roman" w:cs="Times New Roman"/>
          <w:sz w:val="24"/>
          <w:szCs w:val="24"/>
        </w:rPr>
        <w:t xml:space="preserve">6) would support this strategy as it caters for a variety of learning styles namely; visual, auditory and reading. Moreover, the Powerpoint presentation supported my own language teaching and the audio-lingual structure of the session. </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 small typographical error on the Powerpoint presentation that I wasn’t aware of during the session. The children’s exposure to this was minimised as I was able to correctly model the question orally however, this is not acceptable and it is vit</w:t>
      </w:r>
      <w:r>
        <w:rPr>
          <w:rFonts w:ascii="Times New Roman" w:eastAsia="Times New Roman" w:hAnsi="Times New Roman" w:cs="Times New Roman"/>
          <w:sz w:val="24"/>
          <w:szCs w:val="24"/>
        </w:rPr>
        <w:t xml:space="preserve">al I check all my work thoroughly before it is used with the children. </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reflection, the </w:t>
      </w:r>
      <w:r w:rsidR="00760FA1">
        <w:rPr>
          <w:rFonts w:ascii="Times New Roman" w:eastAsia="Times New Roman" w:hAnsi="Times New Roman" w:cs="Times New Roman"/>
          <w:sz w:val="24"/>
          <w:szCs w:val="24"/>
          <w:lang w:val="en-GB"/>
        </w:rPr>
        <w:t>P</w:t>
      </w:r>
      <w:r>
        <w:rPr>
          <w:rFonts w:ascii="Times New Roman" w:eastAsia="Times New Roman" w:hAnsi="Times New Roman" w:cs="Times New Roman"/>
          <w:sz w:val="24"/>
          <w:szCs w:val="24"/>
        </w:rPr>
        <w:t xml:space="preserve">owerpoint was an effective resource and the children were engaged and interacted with it throughout the session. However, I feel the </w:t>
      </w:r>
      <w:r w:rsidR="00760FA1">
        <w:rPr>
          <w:rFonts w:ascii="Times New Roman" w:eastAsia="Times New Roman" w:hAnsi="Times New Roman" w:cs="Times New Roman"/>
          <w:sz w:val="24"/>
          <w:szCs w:val="24"/>
          <w:lang w:val="en-GB"/>
        </w:rPr>
        <w:t>P</w:t>
      </w:r>
      <w:r>
        <w:rPr>
          <w:rFonts w:ascii="Times New Roman" w:eastAsia="Times New Roman" w:hAnsi="Times New Roman" w:cs="Times New Roman"/>
          <w:sz w:val="24"/>
          <w:szCs w:val="24"/>
        </w:rPr>
        <w:t>owerpoint could have been i</w:t>
      </w:r>
      <w:r>
        <w:rPr>
          <w:rFonts w:ascii="Times New Roman" w:eastAsia="Times New Roman" w:hAnsi="Times New Roman" w:cs="Times New Roman"/>
          <w:sz w:val="24"/>
          <w:szCs w:val="24"/>
        </w:rPr>
        <w:t>mproved further by including sentence substitution patterns on the slide to help scaffold and structure their answer and develop Welsh reading skills further. Palmer (Cook, 2008, p264) supports the use of a substitution style strategy as it ‘allows the stu</w:t>
      </w:r>
      <w:r>
        <w:rPr>
          <w:rFonts w:ascii="Times New Roman" w:eastAsia="Times New Roman" w:hAnsi="Times New Roman" w:cs="Times New Roman"/>
          <w:sz w:val="24"/>
          <w:szCs w:val="24"/>
        </w:rPr>
        <w:t>dents to create new sentences’. I observed that all of the children during the session were able to answer the questions demonstrating a good understanding of both the text and teacher question. However, many children were unable to answer in full sentence</w:t>
      </w:r>
      <w:r>
        <w:rPr>
          <w:rFonts w:ascii="Times New Roman" w:eastAsia="Times New Roman" w:hAnsi="Times New Roman" w:cs="Times New Roman"/>
          <w:sz w:val="24"/>
          <w:szCs w:val="24"/>
        </w:rPr>
        <w:t xml:space="preserve">s without teacher support. By including the sentence substitution patterns for the answers I believe their answers would have been more independent and learners would gain a greater sense of accomplishment. This scaffolding would be temporary support that </w:t>
      </w:r>
      <w:r>
        <w:rPr>
          <w:rFonts w:ascii="Times New Roman" w:eastAsia="Times New Roman" w:hAnsi="Times New Roman" w:cs="Times New Roman"/>
          <w:sz w:val="24"/>
          <w:szCs w:val="24"/>
        </w:rPr>
        <w:t xml:space="preserve">could be removed or adapted as the learner gains confidence through exposure. </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Secondly, for my focus task activity I prepared differentiated individual role-play conversation scripts and ice-cream cone resources and used toy money to progress the learnin</w:t>
      </w:r>
      <w:r>
        <w:rPr>
          <w:rFonts w:ascii="Times New Roman" w:eastAsia="Times New Roman" w:hAnsi="Times New Roman" w:cs="Times New Roman"/>
          <w:sz w:val="24"/>
          <w:szCs w:val="24"/>
        </w:rPr>
        <w:t>g. Social constructivism theory (Bates, 2016) would support this learning approach as the children’s Welsh language knowledge will be further enhanced through their interaction with others. Their Welsh reading skills were developed during the role play con</w:t>
      </w:r>
      <w:r>
        <w:rPr>
          <w:rFonts w:ascii="Times New Roman" w:eastAsia="Times New Roman" w:hAnsi="Times New Roman" w:cs="Times New Roman"/>
          <w:sz w:val="24"/>
          <w:szCs w:val="24"/>
        </w:rPr>
        <w:t>versation as pupils had to read and role play a conversation from a script whilst offered linguistic support from the trainee. During the role-play conversation, the children needed some teacher support with using the props at the correct time although thi</w:t>
      </w:r>
      <w:r>
        <w:rPr>
          <w:rFonts w:ascii="Times New Roman" w:eastAsia="Times New Roman" w:hAnsi="Times New Roman" w:cs="Times New Roman"/>
          <w:sz w:val="24"/>
          <w:szCs w:val="24"/>
        </w:rPr>
        <w:t xml:space="preserve">s improved as the session went on. This indicated to me a lack of understanding of the text at first. On reflection, I could have supported the children by including images alongside the new vocabulary in the script, such as a coin image by the word arian </w:t>
      </w:r>
      <w:r>
        <w:rPr>
          <w:rFonts w:ascii="Times New Roman" w:eastAsia="Times New Roman" w:hAnsi="Times New Roman" w:cs="Times New Roman"/>
          <w:sz w:val="24"/>
          <w:szCs w:val="24"/>
        </w:rPr>
        <w:t>to promote more active learning. Cook (2008, p57) supports this audio-visual approach highlighting this method can help organise new vocabulary and link it to ‘existing information in the mind’ The use of approach would have supported the children’s word a</w:t>
      </w:r>
      <w:r>
        <w:rPr>
          <w:rFonts w:ascii="Times New Roman" w:eastAsia="Times New Roman" w:hAnsi="Times New Roman" w:cs="Times New Roman"/>
          <w:sz w:val="24"/>
          <w:szCs w:val="24"/>
        </w:rPr>
        <w:t>ssociation language development children without the use of an English translation, increased understanding and whilst giving a visual representation to the new vocabulary.</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session, children were asked guided reading style questions about the t</w:t>
      </w:r>
      <w:r>
        <w:rPr>
          <w:rFonts w:ascii="Times New Roman" w:eastAsia="Times New Roman" w:hAnsi="Times New Roman" w:cs="Times New Roman"/>
          <w:sz w:val="24"/>
          <w:szCs w:val="24"/>
        </w:rPr>
        <w:t>ext. Guided reading is when teacher provides support to the learners to ‘guide them through the text’ to highlight important and helpful features (Hobsbaum, Gamble and Reedy, 2002, p.2). The aim is to develop Welsh reading skills that can be used during in</w:t>
      </w:r>
      <w:r>
        <w:rPr>
          <w:rFonts w:ascii="Times New Roman" w:eastAsia="Times New Roman" w:hAnsi="Times New Roman" w:cs="Times New Roman"/>
          <w:sz w:val="24"/>
          <w:szCs w:val="24"/>
        </w:rPr>
        <w:t>dependent reading. The children were already familiar with similar guided reading style questions from regular English-language sessions although this was not previously used in Welsh due to class teacher confidence.  Given there was a wide range of abilit</w:t>
      </w:r>
      <w:r>
        <w:rPr>
          <w:rFonts w:ascii="Times New Roman" w:eastAsia="Times New Roman" w:hAnsi="Times New Roman" w:cs="Times New Roman"/>
          <w:sz w:val="24"/>
          <w:szCs w:val="24"/>
        </w:rPr>
        <w:t>ies within the class, Assessment for Learning strategies were vital to ensure an inclusive approach. I used effective differentiated questioning and used their responses to assess their learning and understanding. This assessment is essential to inform fut</w:t>
      </w:r>
      <w:r>
        <w:rPr>
          <w:rFonts w:ascii="Times New Roman" w:eastAsia="Times New Roman" w:hAnsi="Times New Roman" w:cs="Times New Roman"/>
          <w:sz w:val="24"/>
          <w:szCs w:val="24"/>
        </w:rPr>
        <w:t>ure planning of future sessions.</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task, I used the Sandwich method of language teaching by saying a phase in Welsh, then English then Welsh again. Dodson (1972) supports this method of bilingual language teaching as it ensures the children u</w:t>
      </w:r>
      <w:r>
        <w:rPr>
          <w:rFonts w:ascii="Times New Roman" w:eastAsia="Times New Roman" w:hAnsi="Times New Roman" w:cs="Times New Roman"/>
          <w:sz w:val="24"/>
          <w:szCs w:val="24"/>
        </w:rPr>
        <w:t>nderstand whilst maintaining a high level of Welsh-language exposure; English is then gradually removed over time. However, Dodson (1972) further highlights learner may become reliant upon their mother tongue. I will have to ensure a  range of kinaesthetic</w:t>
      </w:r>
      <w:r>
        <w:rPr>
          <w:rFonts w:ascii="Times New Roman" w:eastAsia="Times New Roman" w:hAnsi="Times New Roman" w:cs="Times New Roman"/>
          <w:sz w:val="24"/>
          <w:szCs w:val="24"/>
        </w:rPr>
        <w:t xml:space="preserve"> active language learning experiences such as TPR alongside </w:t>
      </w:r>
      <w:r>
        <w:rPr>
          <w:rFonts w:ascii="Times New Roman" w:eastAsia="Times New Roman" w:hAnsi="Times New Roman" w:cs="Times New Roman"/>
          <w:sz w:val="24"/>
          <w:szCs w:val="24"/>
        </w:rPr>
        <w:lastRenderedPageBreak/>
        <w:t>the sandwich method to ensure the children develop their Welsh effectively and to minimise English reliance.</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session, I used elements of Asher’s (Richards and Rodgers, 2001) TPR style </w:t>
      </w:r>
      <w:r>
        <w:rPr>
          <w:rFonts w:ascii="Times New Roman" w:eastAsia="Times New Roman" w:hAnsi="Times New Roman" w:cs="Times New Roman"/>
          <w:sz w:val="24"/>
          <w:szCs w:val="24"/>
        </w:rPr>
        <w:t>approach. I used some actions whilst reading the text, such as rubbing my stomach when saying ‘Mae’n flasus’. During the task, I observed that this approach helped the children remember and understand the meaning of the vocabulary. Furthermore, it supporte</w:t>
      </w:r>
      <w:r>
        <w:rPr>
          <w:rFonts w:ascii="Times New Roman" w:eastAsia="Times New Roman" w:hAnsi="Times New Roman" w:cs="Times New Roman"/>
          <w:sz w:val="24"/>
          <w:szCs w:val="24"/>
        </w:rPr>
        <w:t>d my language teaching without the need for English translation. Upon reflection, I feel this approach could be expanded upon to support Welsh-language learning further. If I were to read the book to the children again, to move the learning on I would intr</w:t>
      </w:r>
      <w:r>
        <w:rPr>
          <w:rFonts w:ascii="Times New Roman" w:eastAsia="Times New Roman" w:hAnsi="Times New Roman" w:cs="Times New Roman"/>
          <w:sz w:val="24"/>
          <w:szCs w:val="24"/>
        </w:rPr>
        <w:t>oduce more actions and movements for the various words and phases which would help engage the children and support story understanding and retention. Corbett (2019, p.1) supports the use of a similar kinaesthetic approach when reading to help learners ‘int</w:t>
      </w:r>
      <w:r>
        <w:rPr>
          <w:rFonts w:ascii="Times New Roman" w:eastAsia="Times New Roman" w:hAnsi="Times New Roman" w:cs="Times New Roman"/>
          <w:sz w:val="24"/>
          <w:szCs w:val="24"/>
        </w:rPr>
        <w:t>ernalise the text’ enabling them to use its elements in their extended work such as their writing.</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Through careful planning, the learning was made purposeful by relating it to everyday situations in which the children could use the language. Donaldson (20</w:t>
      </w:r>
      <w:r>
        <w:rPr>
          <w:rFonts w:ascii="Times New Roman" w:eastAsia="Times New Roman" w:hAnsi="Times New Roman" w:cs="Times New Roman"/>
          <w:sz w:val="24"/>
          <w:szCs w:val="24"/>
        </w:rPr>
        <w:t>15, p.108) highlights there should be a ‘greater focus’ on children’s ‘ability to communicate confidently in everyday settings in the Welsh language’. By learning how to to expressing likes, comment upon the weather or ask for something the children will g</w:t>
      </w:r>
      <w:r>
        <w:rPr>
          <w:rFonts w:ascii="Times New Roman" w:eastAsia="Times New Roman" w:hAnsi="Times New Roman" w:cs="Times New Roman"/>
          <w:sz w:val="24"/>
          <w:szCs w:val="24"/>
        </w:rPr>
        <w:t>row in confidence and gain transferable skills that can potentially be use at home, in the community or their future workplace. Furthermore, these skills will continue to be developed daily at school through the use of drilling during ‘Helpwr heddiw’ and ‘</w:t>
      </w:r>
      <w:r>
        <w:rPr>
          <w:rFonts w:ascii="Times New Roman" w:eastAsia="Times New Roman" w:hAnsi="Times New Roman" w:cs="Times New Roman"/>
          <w:sz w:val="24"/>
          <w:szCs w:val="24"/>
        </w:rPr>
        <w:t xml:space="preserve">slot drilio’ sessions to support automatic recall (Cook, 2008). </w:t>
      </w:r>
    </w:p>
    <w:p w:rsidR="00BA47A5" w:rsidRDefault="00BA47A5">
      <w:pPr>
        <w:spacing w:line="360" w:lineRule="auto"/>
        <w:rPr>
          <w:rFonts w:ascii="Times New Roman" w:eastAsia="Times New Roman" w:hAnsi="Times New Roman" w:cs="Times New Roman"/>
          <w:color w:val="FF0000"/>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lesson, whilst reading the book one of the children pointed at the colour wheel on my </w:t>
      </w:r>
      <w:r w:rsidR="00760FA1">
        <w:rPr>
          <w:rFonts w:ascii="Times New Roman" w:eastAsia="Times New Roman" w:hAnsi="Times New Roman" w:cs="Times New Roman"/>
          <w:sz w:val="24"/>
          <w:szCs w:val="24"/>
          <w:lang w:val="en-GB"/>
        </w:rPr>
        <w:t>P</w:t>
      </w:r>
      <w:r>
        <w:rPr>
          <w:rFonts w:ascii="Times New Roman" w:eastAsia="Times New Roman" w:hAnsi="Times New Roman" w:cs="Times New Roman"/>
          <w:sz w:val="24"/>
          <w:szCs w:val="24"/>
        </w:rPr>
        <w:t xml:space="preserve">owerpoint presentation and incorrectly called it mefus. I was able to correct him with ease </w:t>
      </w:r>
      <w:r>
        <w:rPr>
          <w:rFonts w:ascii="Times New Roman" w:eastAsia="Times New Roman" w:hAnsi="Times New Roman" w:cs="Times New Roman"/>
          <w:sz w:val="24"/>
          <w:szCs w:val="24"/>
        </w:rPr>
        <w:t>from my own knowledge of Welsh vocabulary and realise that he meant enfys (rainbow). However I feel I could have supported this learning further by adding a small song, such as lliwiau’r enfys, in to support the retention of the vocabulary. Hallam (2010, p</w:t>
      </w:r>
      <w:r>
        <w:rPr>
          <w:rFonts w:ascii="Times New Roman" w:eastAsia="Times New Roman" w:hAnsi="Times New Roman" w:cs="Times New Roman"/>
          <w:sz w:val="24"/>
          <w:szCs w:val="24"/>
        </w:rPr>
        <w:t>272) highlights that the use of singing and music supports the learners ‘encoding and identification’ transfer of both speech sounds and patterns automatically and contributes to both language and literacy development. However, I was aware that the time on</w:t>
      </w:r>
      <w:r>
        <w:rPr>
          <w:rFonts w:ascii="Times New Roman" w:eastAsia="Times New Roman" w:hAnsi="Times New Roman" w:cs="Times New Roman"/>
          <w:sz w:val="24"/>
          <w:szCs w:val="24"/>
        </w:rPr>
        <w:t xml:space="preserve"> the carpet was already lengthy and I did not want the children to get restless. On reflection, I could have </w:t>
      </w:r>
      <w:r>
        <w:rPr>
          <w:rFonts w:ascii="Times New Roman" w:eastAsia="Times New Roman" w:hAnsi="Times New Roman" w:cs="Times New Roman"/>
          <w:sz w:val="24"/>
          <w:szCs w:val="24"/>
        </w:rPr>
        <w:lastRenderedPageBreak/>
        <w:t>planned an interactive songtime using the song ‘Lliwiau’r Enfys’ with them regularly at the end of the day to support their learning. Watson’s theo</w:t>
      </w:r>
      <w:r>
        <w:rPr>
          <w:rFonts w:ascii="Times New Roman" w:eastAsia="Times New Roman" w:hAnsi="Times New Roman" w:cs="Times New Roman"/>
          <w:sz w:val="24"/>
          <w:szCs w:val="24"/>
        </w:rPr>
        <w:t xml:space="preserve">ry (Bates, 2016) supports using repetition to support both recall and retention as it gives children time to process and restructure information. </w:t>
      </w: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prior to the session I felt well-prepared and resourced for the lesson. I ensured I had full </w:t>
      </w:r>
      <w:r>
        <w:rPr>
          <w:rFonts w:ascii="Times New Roman" w:eastAsia="Times New Roman" w:hAnsi="Times New Roman" w:cs="Times New Roman"/>
          <w:sz w:val="24"/>
          <w:szCs w:val="24"/>
        </w:rPr>
        <w:t>understanding of the text and related vocabulary to support my teaching. Upon reflection, during the session I used a significant amount of Welsh within my linguistic ability confidently and purposefully and I was able to react spontaneously with both indi</w:t>
      </w:r>
      <w:r>
        <w:rPr>
          <w:rFonts w:ascii="Times New Roman" w:eastAsia="Times New Roman" w:hAnsi="Times New Roman" w:cs="Times New Roman"/>
          <w:sz w:val="24"/>
          <w:szCs w:val="24"/>
        </w:rPr>
        <w:t>vidual and groups. Furthermore, I used a wide range of incidental Welsh throughout my lesson and practice to increase the children’s Welsh-language exposure and promote best practice (ESTYN, 2012). I utilised the ‘Promoting Welsh Planning Sheet’ to effecti</w:t>
      </w:r>
      <w:r>
        <w:rPr>
          <w:rFonts w:ascii="Times New Roman" w:eastAsia="Times New Roman" w:hAnsi="Times New Roman" w:cs="Times New Roman"/>
          <w:sz w:val="24"/>
          <w:szCs w:val="24"/>
        </w:rPr>
        <w:t>vely plan the use of the Welsh-language for both myself, additional adults and the children. Throughout my practice in both Foundation Phase and Key Stage Two, I found my Welsh from University lectures and my own personal research throughout my practice wa</w:t>
      </w:r>
      <w:r>
        <w:rPr>
          <w:rFonts w:ascii="Times New Roman" w:eastAsia="Times New Roman" w:hAnsi="Times New Roman" w:cs="Times New Roman"/>
          <w:sz w:val="24"/>
          <w:szCs w:val="24"/>
        </w:rPr>
        <w:t>s recalled quickly in a natural manner. The S.2 Qualified Teaching Standards (WAG, 2009) further highlights the importance of teacher confidence and a clear understanding of the subject they are going to teach.</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However, I recognise that my own Welsh langua</w:t>
      </w:r>
      <w:r>
        <w:rPr>
          <w:rFonts w:ascii="Times New Roman" w:eastAsia="Times New Roman" w:hAnsi="Times New Roman" w:cs="Times New Roman"/>
          <w:sz w:val="24"/>
          <w:szCs w:val="24"/>
        </w:rPr>
        <w:t>ge development is an ongoing continuum and currently does limit my Welsh-language teaching. I will continue to strive to improve my Welsh language levels and pedagogical knowledge which will improve my lessons and help me  to support learners along their o</w:t>
      </w:r>
      <w:r>
        <w:rPr>
          <w:rFonts w:ascii="Times New Roman" w:eastAsia="Times New Roman" w:hAnsi="Times New Roman" w:cs="Times New Roman"/>
          <w:sz w:val="24"/>
          <w:szCs w:val="24"/>
        </w:rPr>
        <w:t>wn Welsh-language continuum in the future (Welsh Government, 2017).</w:t>
      </w: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A47A5" w:rsidRDefault="00EC583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1755 words overall</w:t>
      </w:r>
    </w:p>
    <w:p w:rsidR="00BA47A5" w:rsidRDefault="00BA47A5">
      <w:pPr>
        <w:spacing w:line="360" w:lineRule="auto"/>
        <w:rPr>
          <w:rFonts w:ascii="Times New Roman" w:eastAsia="Times New Roman" w:hAnsi="Times New Roman" w:cs="Times New Roman"/>
          <w:sz w:val="24"/>
          <w:szCs w:val="24"/>
        </w:rPr>
      </w:pPr>
    </w:p>
    <w:p w:rsidR="00BA47A5" w:rsidRDefault="00BA47A5">
      <w:pPr>
        <w:spacing w:line="360" w:lineRule="auto"/>
        <w:jc w:val="center"/>
        <w:rPr>
          <w:rFonts w:ascii="Times New Roman" w:eastAsia="Times New Roman" w:hAnsi="Times New Roman" w:cs="Times New Roman"/>
          <w:b/>
          <w:sz w:val="24"/>
          <w:szCs w:val="24"/>
          <w:u w:val="single"/>
        </w:rPr>
      </w:pPr>
    </w:p>
    <w:p w:rsidR="00BA47A5" w:rsidRDefault="00BA47A5">
      <w:pPr>
        <w:spacing w:line="360" w:lineRule="auto"/>
        <w:jc w:val="center"/>
        <w:rPr>
          <w:rFonts w:ascii="Times New Roman" w:eastAsia="Times New Roman" w:hAnsi="Times New Roman" w:cs="Times New Roman"/>
          <w:b/>
          <w:sz w:val="24"/>
          <w:szCs w:val="24"/>
          <w:u w:val="single"/>
        </w:rPr>
      </w:pPr>
    </w:p>
    <w:p w:rsidR="00BA47A5" w:rsidRDefault="00BA47A5">
      <w:pPr>
        <w:spacing w:line="360" w:lineRule="auto"/>
        <w:jc w:val="center"/>
        <w:rPr>
          <w:rFonts w:ascii="Times New Roman" w:eastAsia="Times New Roman" w:hAnsi="Times New Roman" w:cs="Times New Roman"/>
          <w:b/>
          <w:sz w:val="24"/>
          <w:szCs w:val="24"/>
          <w:u w:val="single"/>
        </w:rPr>
      </w:pPr>
    </w:p>
    <w:p w:rsidR="00BA47A5" w:rsidRDefault="00BA47A5">
      <w:pPr>
        <w:spacing w:line="360" w:lineRule="auto"/>
        <w:jc w:val="center"/>
        <w:rPr>
          <w:rFonts w:ascii="Times New Roman" w:eastAsia="Times New Roman" w:hAnsi="Times New Roman" w:cs="Times New Roman"/>
          <w:b/>
          <w:sz w:val="24"/>
          <w:szCs w:val="24"/>
          <w:u w:val="single"/>
        </w:rPr>
      </w:pPr>
    </w:p>
    <w:p w:rsidR="00BA47A5" w:rsidRDefault="00BA47A5">
      <w:pPr>
        <w:spacing w:line="360" w:lineRule="auto"/>
        <w:jc w:val="center"/>
        <w:rPr>
          <w:rFonts w:ascii="Times New Roman" w:eastAsia="Times New Roman" w:hAnsi="Times New Roman" w:cs="Times New Roman"/>
          <w:b/>
          <w:sz w:val="24"/>
          <w:szCs w:val="24"/>
          <w:u w:val="single"/>
        </w:rPr>
      </w:pPr>
    </w:p>
    <w:p w:rsidR="00BA47A5" w:rsidRDefault="00BA47A5">
      <w:pPr>
        <w:spacing w:line="360" w:lineRule="auto"/>
        <w:jc w:val="center"/>
        <w:rPr>
          <w:rFonts w:ascii="Times New Roman" w:eastAsia="Times New Roman" w:hAnsi="Times New Roman" w:cs="Times New Roman"/>
          <w:b/>
          <w:sz w:val="24"/>
          <w:szCs w:val="24"/>
          <w:u w:val="single"/>
        </w:rPr>
      </w:pPr>
    </w:p>
    <w:p w:rsidR="00BA47A5" w:rsidRDefault="00BA47A5">
      <w:pPr>
        <w:spacing w:line="360" w:lineRule="auto"/>
        <w:jc w:val="center"/>
        <w:rPr>
          <w:rFonts w:ascii="Times New Roman" w:eastAsia="Times New Roman" w:hAnsi="Times New Roman" w:cs="Times New Roman"/>
          <w:b/>
          <w:sz w:val="24"/>
          <w:szCs w:val="24"/>
          <w:u w:val="single"/>
        </w:rPr>
      </w:pPr>
    </w:p>
    <w:p w:rsidR="00760FA1" w:rsidRDefault="00760FA1">
      <w:pPr>
        <w:spacing w:line="360" w:lineRule="auto"/>
        <w:jc w:val="center"/>
        <w:rPr>
          <w:rFonts w:ascii="Times New Roman" w:eastAsia="Times New Roman" w:hAnsi="Times New Roman" w:cs="Times New Roman"/>
          <w:b/>
          <w:sz w:val="24"/>
          <w:szCs w:val="24"/>
          <w:u w:val="single"/>
        </w:rPr>
      </w:pPr>
    </w:p>
    <w:p w:rsidR="00760FA1" w:rsidRDefault="00760FA1">
      <w:pPr>
        <w:spacing w:line="360" w:lineRule="auto"/>
        <w:jc w:val="center"/>
        <w:rPr>
          <w:rFonts w:ascii="Times New Roman" w:eastAsia="Times New Roman" w:hAnsi="Times New Roman" w:cs="Times New Roman"/>
          <w:b/>
          <w:sz w:val="24"/>
          <w:szCs w:val="24"/>
          <w:u w:val="single"/>
        </w:rPr>
      </w:pPr>
    </w:p>
    <w:p w:rsidR="00BA47A5" w:rsidRDefault="00EC5836">
      <w:pPr>
        <w:spacing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Appendix 1</w:t>
      </w:r>
    </w:p>
    <w:p w:rsidR="00BA47A5" w:rsidRDefault="00BA47A5">
      <w:pPr>
        <w:spacing w:line="360" w:lineRule="auto"/>
        <w:rPr>
          <w:rFonts w:ascii="Times New Roman" w:eastAsia="Times New Roman" w:hAnsi="Times New Roman" w:cs="Times New Roman"/>
          <w:sz w:val="24"/>
          <w:szCs w:val="24"/>
        </w:rPr>
      </w:pPr>
    </w:p>
    <w:p w:rsidR="00BA47A5" w:rsidRDefault="00BA47A5">
      <w:pPr>
        <w:spacing w:line="360" w:lineRule="auto"/>
        <w:rPr>
          <w:rFonts w:ascii="Times New Roman" w:eastAsia="Times New Roman" w:hAnsi="Times New Roman" w:cs="Times New Roman"/>
          <w:sz w:val="24"/>
          <w:szCs w:val="24"/>
        </w:rPr>
      </w:pPr>
    </w:p>
    <w:p w:rsidR="00BA47A5" w:rsidRDefault="00EC5836">
      <w:pPr>
        <w:spacing w:line="360" w:lineRule="auto"/>
        <w:rPr>
          <w:rFonts w:ascii="Times New Roman" w:eastAsia="Times New Roman" w:hAnsi="Times New Roman" w:cs="Times New Roman"/>
          <w:sz w:val="24"/>
          <w:szCs w:val="24"/>
        </w:rPr>
      </w:pPr>
      <w:r>
        <w:rPr>
          <w:noProof/>
        </w:rPr>
        <w:drawing>
          <wp:inline distT="114300" distB="114300" distL="114300" distR="114300">
            <wp:extent cx="5734050" cy="5486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4050" cy="5486400"/>
                    </a:xfrm>
                    <a:prstGeom prst="rect">
                      <a:avLst/>
                    </a:prstGeom>
                    <a:ln/>
                  </pic:spPr>
                </pic:pic>
              </a:graphicData>
            </a:graphic>
          </wp:inline>
        </w:drawing>
      </w:r>
    </w:p>
    <w:p w:rsidR="00BA47A5" w:rsidRDefault="00BA47A5">
      <w:pPr>
        <w:spacing w:line="360" w:lineRule="auto"/>
        <w:rPr>
          <w:rFonts w:ascii="Times New Roman" w:eastAsia="Times New Roman" w:hAnsi="Times New Roman" w:cs="Times New Roman"/>
          <w:sz w:val="24"/>
          <w:szCs w:val="24"/>
        </w:rPr>
      </w:pPr>
    </w:p>
    <w:p w:rsidR="00BA47A5" w:rsidRDefault="00BA47A5">
      <w:pPr>
        <w:spacing w:line="360" w:lineRule="auto"/>
        <w:rPr>
          <w:rFonts w:ascii="Times New Roman" w:eastAsia="Times New Roman" w:hAnsi="Times New Roman" w:cs="Times New Roman"/>
          <w:sz w:val="24"/>
          <w:szCs w:val="24"/>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BA47A5">
      <w:pPr>
        <w:spacing w:line="360" w:lineRule="auto"/>
        <w:rPr>
          <w:rFonts w:ascii="Times New Roman" w:eastAsia="Times New Roman" w:hAnsi="Times New Roman" w:cs="Times New Roman"/>
          <w:sz w:val="24"/>
          <w:szCs w:val="24"/>
          <w:u w:val="single"/>
        </w:rPr>
      </w:pPr>
    </w:p>
    <w:p w:rsidR="00BA47A5" w:rsidRDefault="00EC583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Bibliography</w:t>
      </w: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Bates, B. (2016) </w:t>
      </w:r>
      <w:r>
        <w:rPr>
          <w:rFonts w:ascii="Times New Roman" w:eastAsia="Times New Roman" w:hAnsi="Times New Roman" w:cs="Times New Roman"/>
          <w:i/>
          <w:sz w:val="24"/>
          <w:szCs w:val="24"/>
        </w:rPr>
        <w:t>Learning theories</w:t>
      </w:r>
      <w:r>
        <w:rPr>
          <w:rFonts w:ascii="Times New Roman" w:eastAsia="Times New Roman" w:hAnsi="Times New Roman" w:cs="Times New Roman"/>
          <w:sz w:val="24"/>
          <w:szCs w:val="24"/>
        </w:rPr>
        <w:t>. London: Sage Publications.</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Dodson, C. J. (1972) </w:t>
      </w:r>
      <w:r>
        <w:rPr>
          <w:rFonts w:ascii="Times New Roman" w:eastAsia="Times New Roman" w:hAnsi="Times New Roman" w:cs="Times New Roman"/>
          <w:i/>
          <w:sz w:val="24"/>
          <w:szCs w:val="24"/>
        </w:rPr>
        <w:t>Language teaching and the bilingual method.</w:t>
      </w:r>
      <w:r>
        <w:rPr>
          <w:rFonts w:ascii="Times New Roman" w:eastAsia="Times New Roman" w:hAnsi="Times New Roman" w:cs="Times New Roman"/>
          <w:sz w:val="24"/>
          <w:szCs w:val="24"/>
        </w:rPr>
        <w:t xml:space="preserve"> London: Pitman.</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Cook, V. (2008) </w:t>
      </w:r>
      <w:r>
        <w:rPr>
          <w:rFonts w:ascii="Times New Roman" w:eastAsia="Times New Roman" w:hAnsi="Times New Roman" w:cs="Times New Roman"/>
          <w:i/>
          <w:sz w:val="24"/>
          <w:szCs w:val="24"/>
        </w:rPr>
        <w:t>Second Language Learning and Language Teaching. 4th Ed. London: Hodder Education.</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Corbett, P. (2019) </w:t>
      </w:r>
      <w:r>
        <w:rPr>
          <w:rFonts w:ascii="Times New Roman" w:eastAsia="Times New Roman" w:hAnsi="Times New Roman" w:cs="Times New Roman"/>
          <w:i/>
          <w:sz w:val="24"/>
          <w:szCs w:val="24"/>
        </w:rPr>
        <w:t>About talk for Writing</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color w:val="1155CC"/>
            <w:sz w:val="24"/>
            <w:szCs w:val="24"/>
            <w:u w:val="single"/>
          </w:rPr>
          <w:t>https://www.talk4writing.co.uk/about/</w:t>
        </w:r>
      </w:hyperlink>
      <w:r>
        <w:rPr>
          <w:rFonts w:ascii="Times New Roman" w:eastAsia="Times New Roman" w:hAnsi="Times New Roman" w:cs="Times New Roman"/>
          <w:sz w:val="24"/>
          <w:szCs w:val="24"/>
        </w:rPr>
        <w:t xml:space="preserve"> (Accessed: 12th March 2019).</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Donaldson, G. (2015)</w:t>
      </w:r>
      <w:r>
        <w:rPr>
          <w:rFonts w:ascii="Times New Roman" w:eastAsia="Times New Roman" w:hAnsi="Times New Roman" w:cs="Times New Roman"/>
          <w:i/>
          <w:sz w:val="24"/>
          <w:szCs w:val="24"/>
          <w:highlight w:val="white"/>
        </w:rPr>
        <w:t xml:space="preserve"> Successful futures. </w:t>
      </w:r>
      <w:r>
        <w:rPr>
          <w:rFonts w:ascii="Times New Roman" w:eastAsia="Times New Roman" w:hAnsi="Times New Roman" w:cs="Times New Roman"/>
          <w:sz w:val="24"/>
          <w:szCs w:val="24"/>
          <w:highlight w:val="white"/>
        </w:rPr>
        <w:t>Available at: https://dera.ioe.ac.uk/22165/2/150225-successful-futures-en_Redacted.pdf (Accessed: 3rd March 2019).</w:t>
      </w:r>
    </w:p>
    <w:p w:rsidR="00BA47A5" w:rsidRDefault="00BA47A5">
      <w:pPr>
        <w:spacing w:line="240" w:lineRule="auto"/>
        <w:rPr>
          <w:rFonts w:ascii="Times New Roman" w:eastAsia="Times New Roman" w:hAnsi="Times New Roman" w:cs="Times New Roman"/>
          <w:sz w:val="24"/>
          <w:szCs w:val="24"/>
          <w:highlight w:val="white"/>
        </w:rPr>
      </w:pPr>
    </w:p>
    <w:p w:rsidR="00BA47A5" w:rsidRDefault="00EC5836">
      <w:pPr>
        <w:spacing w:line="240" w:lineRule="auto"/>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sz w:val="24"/>
          <w:szCs w:val="24"/>
          <w:highlight w:val="white"/>
        </w:rPr>
        <w:t xml:space="preserve">ESTYN (2012) </w:t>
      </w:r>
      <w:r>
        <w:rPr>
          <w:rFonts w:ascii="Times New Roman" w:eastAsia="Times New Roman" w:hAnsi="Times New Roman" w:cs="Times New Roman"/>
          <w:i/>
          <w:color w:val="111111"/>
          <w:sz w:val="24"/>
          <w:szCs w:val="24"/>
          <w:highlight w:val="white"/>
        </w:rPr>
        <w:t>Welsh second language comes first</w:t>
      </w:r>
      <w:r>
        <w:rPr>
          <w:rFonts w:ascii="Times New Roman" w:eastAsia="Times New Roman" w:hAnsi="Times New Roman" w:cs="Times New Roman"/>
          <w:color w:val="111111"/>
          <w:sz w:val="24"/>
          <w:szCs w:val="24"/>
          <w:highlight w:val="white"/>
        </w:rPr>
        <w:t xml:space="preserve">. Available at </w:t>
      </w:r>
      <w:hyperlink r:id="rId10">
        <w:r>
          <w:rPr>
            <w:rFonts w:ascii="Times New Roman" w:eastAsia="Times New Roman" w:hAnsi="Times New Roman" w:cs="Times New Roman"/>
            <w:color w:val="1155CC"/>
            <w:sz w:val="24"/>
            <w:szCs w:val="24"/>
            <w:highlight w:val="white"/>
            <w:u w:val="single"/>
          </w:rPr>
          <w:t>https://www.estyn.gov.wales/effective-practice/welsh-second-language-comes-first</w:t>
        </w:r>
      </w:hyperlink>
      <w:r>
        <w:rPr>
          <w:rFonts w:ascii="Times New Roman" w:eastAsia="Times New Roman" w:hAnsi="Times New Roman" w:cs="Times New Roman"/>
          <w:color w:val="111111"/>
          <w:sz w:val="24"/>
          <w:szCs w:val="24"/>
          <w:highlight w:val="white"/>
        </w:rPr>
        <w:t xml:space="preserve"> (Accessed on: </w:t>
      </w:r>
      <w:r>
        <w:rPr>
          <w:rFonts w:ascii="Times New Roman" w:eastAsia="Times New Roman" w:hAnsi="Times New Roman" w:cs="Times New Roman"/>
          <w:color w:val="111111"/>
          <w:sz w:val="24"/>
          <w:szCs w:val="24"/>
          <w:highlight w:val="white"/>
        </w:rPr>
        <w:t>4th March 2019).</w:t>
      </w:r>
    </w:p>
    <w:p w:rsidR="00BA47A5" w:rsidRDefault="00BA47A5">
      <w:pPr>
        <w:spacing w:line="240" w:lineRule="auto"/>
        <w:rPr>
          <w:rFonts w:ascii="Times New Roman" w:eastAsia="Times New Roman" w:hAnsi="Times New Roman" w:cs="Times New Roman"/>
          <w:sz w:val="24"/>
          <w:szCs w:val="24"/>
          <w:highlight w:val="white"/>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ESTYN (2016) </w:t>
      </w:r>
      <w:r>
        <w:rPr>
          <w:rFonts w:ascii="Times New Roman" w:eastAsia="Times New Roman" w:hAnsi="Times New Roman" w:cs="Times New Roman"/>
          <w:i/>
          <w:sz w:val="24"/>
          <w:szCs w:val="24"/>
        </w:rPr>
        <w:t>Inspection Report</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https://www.estyn.gov.wales/sites/default/files/documents/Tre%20Uchaf%20Prima</w:t>
        </w:r>
        <w:r>
          <w:rPr>
            <w:rFonts w:ascii="Times New Roman" w:eastAsia="Times New Roman" w:hAnsi="Times New Roman" w:cs="Times New Roman"/>
            <w:color w:val="1155CC"/>
            <w:sz w:val="24"/>
            <w:szCs w:val="24"/>
            <w:u w:val="single"/>
          </w:rPr>
          <w:t>ry%20School_1.pdf</w:t>
        </w:r>
      </w:hyperlink>
      <w:r>
        <w:rPr>
          <w:rFonts w:ascii="Times New Roman" w:eastAsia="Times New Roman" w:hAnsi="Times New Roman" w:cs="Times New Roman"/>
          <w:sz w:val="24"/>
          <w:szCs w:val="24"/>
        </w:rPr>
        <w:t xml:space="preserve"> (Accessed: 6th March 2019).</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Hallam, S. (2010) ‘The power of music: Its impact on the intellectual, social and personal development of children and young people’, </w:t>
      </w:r>
      <w:r>
        <w:rPr>
          <w:rFonts w:ascii="Times New Roman" w:eastAsia="Times New Roman" w:hAnsi="Times New Roman" w:cs="Times New Roman"/>
          <w:i/>
          <w:sz w:val="24"/>
          <w:szCs w:val="24"/>
        </w:rPr>
        <w:t xml:space="preserve">International Journal of Music Education, </w:t>
      </w:r>
      <w:r>
        <w:rPr>
          <w:rFonts w:ascii="Times New Roman" w:eastAsia="Times New Roman" w:hAnsi="Times New Roman" w:cs="Times New Roman"/>
          <w:sz w:val="24"/>
          <w:szCs w:val="24"/>
        </w:rPr>
        <w:t>28(3), pp. 269-289.</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Hobsbaum, A., Gamble, N. and Reedy, D. (2002) </w:t>
      </w:r>
      <w:r>
        <w:rPr>
          <w:rFonts w:ascii="Times New Roman" w:eastAsia="Times New Roman" w:hAnsi="Times New Roman" w:cs="Times New Roman"/>
          <w:i/>
          <w:sz w:val="24"/>
          <w:szCs w:val="24"/>
        </w:rPr>
        <w:t>Guided Readin</w:t>
      </w:r>
      <w:r>
        <w:rPr>
          <w:rFonts w:ascii="Times New Roman" w:eastAsia="Times New Roman" w:hAnsi="Times New Roman" w:cs="Times New Roman"/>
          <w:i/>
          <w:sz w:val="24"/>
          <w:szCs w:val="24"/>
        </w:rPr>
        <w:t xml:space="preserve">g. </w:t>
      </w:r>
      <w:r>
        <w:rPr>
          <w:rFonts w:ascii="Times New Roman" w:eastAsia="Times New Roman" w:hAnsi="Times New Roman" w:cs="Times New Roman"/>
          <w:sz w:val="24"/>
          <w:szCs w:val="24"/>
        </w:rPr>
        <w:t>London: Institute of Education.</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LearnCymru (2018)</w:t>
      </w:r>
      <w:r>
        <w:rPr>
          <w:rFonts w:ascii="Times New Roman" w:eastAsia="Times New Roman" w:hAnsi="Times New Roman" w:cs="Times New Roman"/>
          <w:i/>
          <w:sz w:val="24"/>
          <w:szCs w:val="24"/>
        </w:rPr>
        <w:t xml:space="preserve"> Fflic and Fflac puppets</w:t>
      </w:r>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color w:val="1155CC"/>
            <w:sz w:val="24"/>
            <w:szCs w:val="24"/>
            <w:u w:val="single"/>
          </w:rPr>
          <w:t>https://www.learn.cymru/screen/product/fflic-fflac-puppets/language/en</w:t>
        </w:r>
      </w:hyperlink>
      <w:r>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ccessed: 12th March 2019).</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Richards, J.C. and Rodgers, T.S. (2001) </w:t>
      </w:r>
      <w:r>
        <w:rPr>
          <w:rFonts w:ascii="Times New Roman" w:eastAsia="Times New Roman" w:hAnsi="Times New Roman" w:cs="Times New Roman"/>
          <w:i/>
          <w:sz w:val="24"/>
          <w:szCs w:val="24"/>
        </w:rPr>
        <w:t>Approaches and Methods in Language Teaching</w:t>
      </w:r>
      <w:r>
        <w:rPr>
          <w:rFonts w:ascii="Times New Roman" w:eastAsia="Times New Roman" w:hAnsi="Times New Roman" w:cs="Times New Roman"/>
          <w:sz w:val="24"/>
          <w:szCs w:val="24"/>
        </w:rPr>
        <w:t xml:space="preserve">. 2nd Ed. Cambridge: Cambridge University Press. </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TreUchafPrimarySchool (2019) </w:t>
      </w:r>
      <w:r>
        <w:rPr>
          <w:rFonts w:ascii="Times New Roman" w:eastAsia="Times New Roman" w:hAnsi="Times New Roman" w:cs="Times New Roman"/>
          <w:i/>
          <w:sz w:val="24"/>
          <w:szCs w:val="24"/>
        </w:rPr>
        <w:t>School Development Plan</w:t>
      </w:r>
      <w:r>
        <w:rPr>
          <w:rFonts w:ascii="Times New Roman" w:eastAsia="Times New Roman" w:hAnsi="Times New Roman" w:cs="Times New Roman"/>
          <w:sz w:val="24"/>
          <w:szCs w:val="24"/>
        </w:rPr>
        <w:t xml:space="preserve">. Available at:  </w:t>
      </w:r>
      <w:hyperlink r:id="rId13">
        <w:r>
          <w:rPr>
            <w:rFonts w:ascii="Times New Roman" w:eastAsia="Times New Roman" w:hAnsi="Times New Roman" w:cs="Times New Roman"/>
            <w:color w:val="1155CC"/>
            <w:sz w:val="24"/>
            <w:szCs w:val="24"/>
            <w:u w:val="single"/>
          </w:rPr>
          <w:t>https://tre-uchaf-primary-school1.j2webby.com/?page_id=690</w:t>
        </w:r>
      </w:hyperlink>
      <w:r>
        <w:rPr>
          <w:rFonts w:ascii="Times New Roman" w:eastAsia="Times New Roman" w:hAnsi="Times New Roman" w:cs="Times New Roman"/>
          <w:sz w:val="24"/>
          <w:szCs w:val="24"/>
        </w:rPr>
        <w:t xml:space="preserve"> (Accessed: 10th March 2019). </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WAG (2009) </w:t>
      </w:r>
      <w:r>
        <w:rPr>
          <w:rFonts w:ascii="Times New Roman" w:eastAsia="Times New Roman" w:hAnsi="Times New Roman" w:cs="Times New Roman"/>
          <w:i/>
          <w:sz w:val="24"/>
          <w:szCs w:val="24"/>
        </w:rPr>
        <w:t xml:space="preserve">The Qualified Teacher Status Standards Wales 2009. </w:t>
      </w:r>
      <w:r>
        <w:rPr>
          <w:rFonts w:ascii="Times New Roman" w:eastAsia="Times New Roman" w:hAnsi="Times New Roman" w:cs="Times New Roman"/>
          <w:sz w:val="24"/>
          <w:szCs w:val="24"/>
        </w:rPr>
        <w:t xml:space="preserve">Available at: </w:t>
      </w:r>
    </w:p>
    <w:p w:rsidR="00BA47A5" w:rsidRDefault="00EC5836">
      <w:pPr>
        <w:spacing w:line="240" w:lineRule="auto"/>
        <w:rPr>
          <w:rFonts w:ascii="Times New Roman" w:eastAsia="Times New Roman" w:hAnsi="Times New Roman" w:cs="Times New Roman"/>
          <w:sz w:val="24"/>
          <w:szCs w:val="24"/>
        </w:rPr>
      </w:pPr>
      <w:hyperlink r:id="rId14">
        <w:r>
          <w:rPr>
            <w:rFonts w:ascii="Times New Roman" w:eastAsia="Times New Roman" w:hAnsi="Times New Roman" w:cs="Times New Roman"/>
            <w:color w:val="1155CC"/>
            <w:sz w:val="24"/>
            <w:szCs w:val="24"/>
            <w:u w:val="single"/>
          </w:rPr>
          <w:t>https://gov.wales/docs/legislation/inforcenonsi/education/030709qtsstandardseng.doc</w:t>
        </w:r>
      </w:hyperlink>
      <w:r>
        <w:rPr>
          <w:rFonts w:ascii="Times New Roman" w:eastAsia="Times New Roman" w:hAnsi="Times New Roman" w:cs="Times New Roman"/>
          <w:sz w:val="24"/>
          <w:szCs w:val="24"/>
        </w:rPr>
        <w:t xml:space="preserve"> (Accessed: 12th March 2019).</w:t>
      </w:r>
    </w:p>
    <w:p w:rsidR="00BA47A5" w:rsidRDefault="00BA47A5">
      <w:pPr>
        <w:spacing w:line="240" w:lineRule="auto"/>
        <w:rPr>
          <w:rFonts w:ascii="Times New Roman" w:eastAsia="Times New Roman" w:hAnsi="Times New Roman" w:cs="Times New Roman"/>
          <w:i/>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WAG (2015) </w:t>
      </w:r>
      <w:r>
        <w:rPr>
          <w:rFonts w:ascii="Times New Roman" w:eastAsia="Times New Roman" w:hAnsi="Times New Roman" w:cs="Times New Roman"/>
          <w:i/>
          <w:sz w:val="24"/>
          <w:szCs w:val="24"/>
        </w:rPr>
        <w:t>Foundation Phase Framework.</w:t>
      </w:r>
      <w:r>
        <w:rPr>
          <w:rFonts w:ascii="Times New Roman" w:eastAsia="Times New Roman" w:hAnsi="Times New Roman" w:cs="Times New Roman"/>
          <w:sz w:val="24"/>
          <w:szCs w:val="24"/>
        </w:rPr>
        <w:t xml:space="preserve"> Available at: </w:t>
      </w:r>
      <w:hyperlink r:id="rId15">
        <w:r>
          <w:rPr>
            <w:rFonts w:ascii="Times New Roman" w:eastAsia="Times New Roman" w:hAnsi="Times New Roman" w:cs="Times New Roman"/>
            <w:color w:val="1155CC"/>
            <w:sz w:val="24"/>
            <w:szCs w:val="24"/>
            <w:u w:val="single"/>
          </w:rPr>
          <w:t>https://beta.gov.wales/sites/default/files/publications/2018-02/foundation-phase-framework-revised-2015.pdf</w:t>
        </w:r>
      </w:hyperlink>
      <w:r>
        <w:rPr>
          <w:rFonts w:ascii="Times New Roman" w:eastAsia="Times New Roman" w:hAnsi="Times New Roman" w:cs="Times New Roman"/>
          <w:sz w:val="24"/>
          <w:szCs w:val="24"/>
        </w:rPr>
        <w:t xml:space="preserve"> (Accessed: 12th March 2019).</w:t>
      </w:r>
    </w:p>
    <w:p w:rsidR="00BA47A5" w:rsidRDefault="00BA47A5">
      <w:pPr>
        <w:spacing w:line="240" w:lineRule="auto"/>
        <w:rPr>
          <w:rFonts w:ascii="Times New Roman" w:eastAsia="Times New Roman" w:hAnsi="Times New Roman" w:cs="Times New Roman"/>
          <w:sz w:val="24"/>
          <w:szCs w:val="24"/>
        </w:rPr>
      </w:pPr>
    </w:p>
    <w:p w:rsidR="00BA47A5" w:rsidRDefault="00EC583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Welsh Governm</w:t>
      </w:r>
      <w:r>
        <w:rPr>
          <w:rFonts w:ascii="Times New Roman" w:eastAsia="Times New Roman" w:hAnsi="Times New Roman" w:cs="Times New Roman"/>
          <w:sz w:val="24"/>
          <w:szCs w:val="24"/>
        </w:rPr>
        <w:t xml:space="preserve">ent (2017) </w:t>
      </w:r>
      <w:r>
        <w:rPr>
          <w:rFonts w:ascii="Times New Roman" w:eastAsia="Times New Roman" w:hAnsi="Times New Roman" w:cs="Times New Roman"/>
          <w:i/>
          <w:sz w:val="24"/>
          <w:szCs w:val="24"/>
        </w:rPr>
        <w:t>Welsh in Education Action Plan 2017-2021.</w:t>
      </w:r>
      <w:r>
        <w:rPr>
          <w:rFonts w:ascii="Times New Roman" w:eastAsia="Times New Roman" w:hAnsi="Times New Roman" w:cs="Times New Roman"/>
          <w:sz w:val="24"/>
          <w:szCs w:val="24"/>
        </w:rPr>
        <w:t xml:space="preserve"> Available at: </w:t>
      </w:r>
      <w:hyperlink r:id="rId16">
        <w:r>
          <w:rPr>
            <w:rFonts w:ascii="Times New Roman" w:eastAsia="Times New Roman" w:hAnsi="Times New Roman" w:cs="Times New Roman"/>
            <w:color w:val="1155CC"/>
            <w:sz w:val="24"/>
            <w:szCs w:val="24"/>
            <w:u w:val="single"/>
          </w:rPr>
          <w:t>https://beta.gov.wales/sites/default/files/publications</w:t>
        </w:r>
        <w:r>
          <w:rPr>
            <w:rFonts w:ascii="Times New Roman" w:eastAsia="Times New Roman" w:hAnsi="Times New Roman" w:cs="Times New Roman"/>
            <w:color w:val="1155CC"/>
            <w:sz w:val="24"/>
            <w:szCs w:val="24"/>
            <w:u w:val="single"/>
          </w:rPr>
          <w:t>/2018-02/welsh-in-education-action-plan-2017%E2%80%9321.pdf</w:t>
        </w:r>
      </w:hyperlink>
      <w:r>
        <w:rPr>
          <w:rFonts w:ascii="Times New Roman" w:eastAsia="Times New Roman" w:hAnsi="Times New Roman" w:cs="Times New Roman"/>
          <w:sz w:val="24"/>
          <w:szCs w:val="24"/>
        </w:rPr>
        <w:t xml:space="preserve"> (Accessed: 12th March 2019).</w:t>
      </w:r>
    </w:p>
    <w:p w:rsidR="00BA47A5" w:rsidRDefault="00BA47A5">
      <w:pPr>
        <w:spacing w:line="240" w:lineRule="auto"/>
        <w:rPr>
          <w:rFonts w:ascii="Times New Roman" w:eastAsia="Times New Roman" w:hAnsi="Times New Roman" w:cs="Times New Roman"/>
          <w:sz w:val="24"/>
          <w:szCs w:val="24"/>
        </w:rPr>
      </w:pPr>
    </w:p>
    <w:p w:rsidR="00BA47A5" w:rsidRDefault="00BA47A5">
      <w:pPr>
        <w:spacing w:line="360" w:lineRule="auto"/>
        <w:rPr>
          <w:rFonts w:ascii="Times New Roman" w:eastAsia="Times New Roman" w:hAnsi="Times New Roman" w:cs="Times New Roman"/>
          <w:sz w:val="24"/>
          <w:szCs w:val="24"/>
        </w:rPr>
      </w:pPr>
    </w:p>
    <w:sectPr w:rsidR="00BA47A5">
      <w:headerReference w:type="default" r:id="rId17"/>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836" w:rsidRDefault="00EC5836">
      <w:pPr>
        <w:spacing w:line="240" w:lineRule="auto"/>
      </w:pPr>
      <w:r>
        <w:separator/>
      </w:r>
    </w:p>
  </w:endnote>
  <w:endnote w:type="continuationSeparator" w:id="0">
    <w:p w:rsidR="00EC5836" w:rsidRDefault="00EC58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7A5" w:rsidRDefault="00EC5836">
    <w:pPr>
      <w:jc w:val="right"/>
    </w:pPr>
    <w:r>
      <w:t xml:space="preserve">Page </w:t>
    </w:r>
    <w:r>
      <w:fldChar w:fldCharType="begin"/>
    </w:r>
    <w:r>
      <w:instrText>PAGE</w:instrText>
    </w:r>
    <w:r w:rsidR="00760FA1">
      <w:fldChar w:fldCharType="separate"/>
    </w:r>
    <w:r w:rsidR="00760FA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836" w:rsidRDefault="00EC5836">
      <w:pPr>
        <w:spacing w:line="240" w:lineRule="auto"/>
      </w:pPr>
      <w:r>
        <w:separator/>
      </w:r>
    </w:p>
  </w:footnote>
  <w:footnote w:type="continuationSeparator" w:id="0">
    <w:p w:rsidR="00EC5836" w:rsidRDefault="00EC58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7A5" w:rsidRDefault="00EC5836">
    <w:pPr>
      <w:jc w:val="right"/>
    </w:pPr>
    <w:r>
      <w:t>Student Number 1702088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A47A5"/>
    <w:rsid w:val="00760FA1"/>
    <w:rsid w:val="00BA47A5"/>
    <w:rsid w:val="00EC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197E6"/>
  <w15:docId w15:val="{8521DC00-1440-41EB-8323-65B7C6EFB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60FA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F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re-uchaf-primary-school1.j2webby.com/?page_id=690"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youtu.be/qasOWWUIrQE" TargetMode="External"/><Relationship Id="rId12" Type="http://schemas.openxmlformats.org/officeDocument/2006/relationships/hyperlink" Target="https://www.learn.cymru/screen/product/fflic-fflac-puppets/language/en"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beta.gov.wales/sites/default/files/publications/2018-02/welsh-in-education-action-plan-2017%E2%80%9321.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estyn.gov.wales/sites/default/files/documents/Tre%20Uchaf%20Primary%20School_1.pdf" TargetMode="External"/><Relationship Id="rId5" Type="http://schemas.openxmlformats.org/officeDocument/2006/relationships/endnotes" Target="endnotes.xml"/><Relationship Id="rId15" Type="http://schemas.openxmlformats.org/officeDocument/2006/relationships/hyperlink" Target="https://beta.gov.wales/sites/default/files/publications/2018-02/foundation-phase-framework-revised-2015.pdf" TargetMode="External"/><Relationship Id="rId10" Type="http://schemas.openxmlformats.org/officeDocument/2006/relationships/hyperlink" Target="https://www.estyn.gov.wales/effective-practice/welsh-second-language-comes-first"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alk4writing.co.uk/about/" TargetMode="External"/><Relationship Id="rId14" Type="http://schemas.openxmlformats.org/officeDocument/2006/relationships/hyperlink" Target="https://gov.wales/docs/legislation/inforcenonsi/education/030709qtsstandardseng.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2210</Words>
  <Characters>12601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dc:creator>
  <cp:lastModifiedBy>Nadelle Davis (1702088)</cp:lastModifiedBy>
  <cp:revision>2</cp:revision>
  <dcterms:created xsi:type="dcterms:W3CDTF">2019-03-19T22:43:00Z</dcterms:created>
  <dcterms:modified xsi:type="dcterms:W3CDTF">2019-03-19T22:43:00Z</dcterms:modified>
</cp:coreProperties>
</file>