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2C3A6" w14:textId="77777777" w:rsidR="0043462F" w:rsidRDefault="00644829">
      <w:pPr>
        <w:spacing w:before="240" w:after="240" w:line="360" w:lineRule="auto"/>
        <w:rPr>
          <w:rFonts w:ascii="Times New Roman" w:eastAsia="Times New Roman" w:hAnsi="Times New Roman" w:cs="Times New Roman"/>
          <w:sz w:val="24"/>
          <w:szCs w:val="24"/>
        </w:rPr>
      </w:pPr>
      <w:r>
        <w:rPr>
          <w:noProof/>
          <w:lang w:val="en-IN"/>
        </w:rPr>
        <w:drawing>
          <wp:anchor distT="0" distB="0" distL="114300" distR="114300" simplePos="0" relativeHeight="251658240" behindDoc="0" locked="0" layoutInCell="1" hidden="0" allowOverlap="1" wp14:anchorId="5E24F083" wp14:editId="4A2BC2BB">
            <wp:simplePos x="0" y="0"/>
            <wp:positionH relativeFrom="column">
              <wp:posOffset>1</wp:posOffset>
            </wp:positionH>
            <wp:positionV relativeFrom="paragraph">
              <wp:posOffset>0</wp:posOffset>
            </wp:positionV>
            <wp:extent cx="1290320" cy="23622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290320" cy="236220"/>
                    </a:xfrm>
                    <a:prstGeom prst="rect">
                      <a:avLst/>
                    </a:prstGeom>
                    <a:ln/>
                  </pic:spPr>
                </pic:pic>
              </a:graphicData>
            </a:graphic>
          </wp:anchor>
        </w:drawing>
      </w:r>
    </w:p>
    <w:p w14:paraId="4F589783" w14:textId="77777777" w:rsidR="0043462F" w:rsidRDefault="0043462F">
      <w:pPr>
        <w:spacing w:before="240" w:after="240" w:line="360" w:lineRule="auto"/>
        <w:rPr>
          <w:rFonts w:ascii="Times New Roman" w:eastAsia="Times New Roman" w:hAnsi="Times New Roman" w:cs="Times New Roman"/>
          <w:sz w:val="24"/>
          <w:szCs w:val="24"/>
        </w:rPr>
      </w:pPr>
    </w:p>
    <w:tbl>
      <w:tblPr>
        <w:tblStyle w:val="a"/>
        <w:tblW w:w="10348" w:type="dxa"/>
        <w:tblInd w:w="-7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355"/>
        <w:gridCol w:w="3294"/>
        <w:gridCol w:w="2268"/>
        <w:gridCol w:w="1431"/>
      </w:tblGrid>
      <w:tr w:rsidR="0043462F" w14:paraId="730BB74E" w14:textId="77777777">
        <w:trPr>
          <w:trHeight w:val="494"/>
        </w:trPr>
        <w:tc>
          <w:tcPr>
            <w:tcW w:w="3355" w:type="dxa"/>
          </w:tcPr>
          <w:p w14:paraId="14B95F20" w14:textId="77777777" w:rsidR="0043462F" w:rsidRDefault="00644829">
            <w:pPr>
              <w:widowControl w:val="0"/>
              <w:pBdr>
                <w:top w:val="nil"/>
                <w:left w:val="nil"/>
                <w:bottom w:val="nil"/>
                <w:right w:val="nil"/>
                <w:between w:val="nil"/>
              </w:pBdr>
              <w:spacing w:before="115" w:line="240" w:lineRule="auto"/>
              <w:ind w:left="107"/>
              <w:rPr>
                <w:b/>
                <w:bCs/>
              </w:rPr>
            </w:pPr>
            <w:r>
              <w:rPr>
                <w:b/>
                <w:bCs/>
              </w:rPr>
              <w:t>Student name:</w:t>
            </w:r>
          </w:p>
        </w:tc>
        <w:tc>
          <w:tcPr>
            <w:tcW w:w="3294" w:type="dxa"/>
          </w:tcPr>
          <w:p w14:paraId="2682FCA2" w14:textId="7B19A2F8" w:rsidR="0043462F" w:rsidRPr="00064427" w:rsidRDefault="00064427">
            <w:pPr>
              <w:widowControl w:val="0"/>
              <w:pBdr>
                <w:top w:val="nil"/>
                <w:left w:val="nil"/>
                <w:bottom w:val="nil"/>
                <w:right w:val="nil"/>
                <w:between w:val="nil"/>
              </w:pBdr>
              <w:spacing w:line="240" w:lineRule="auto"/>
              <w:rPr>
                <w:rFonts w:ascii="Times New Roman" w:eastAsia="Times New Roman" w:hAnsi="Times New Roman" w:cs="Times New Roman"/>
                <w:b/>
                <w:bCs/>
                <w:sz w:val="28"/>
                <w:szCs w:val="28"/>
              </w:rPr>
            </w:pPr>
            <w:r w:rsidRPr="00064427">
              <w:rPr>
                <w:rFonts w:ascii="Times New Roman" w:eastAsia="Times New Roman" w:hAnsi="Times New Roman" w:cs="Times New Roman"/>
                <w:b/>
                <w:bCs/>
                <w:sz w:val="28"/>
                <w:szCs w:val="28"/>
              </w:rPr>
              <w:t>Sameer Rajubhai Panchal</w:t>
            </w:r>
          </w:p>
        </w:tc>
        <w:tc>
          <w:tcPr>
            <w:tcW w:w="2268" w:type="dxa"/>
            <w:shd w:val="clear" w:color="auto" w:fill="D9D9D9"/>
          </w:tcPr>
          <w:p w14:paraId="0A229A90" w14:textId="77777777" w:rsidR="0043462F" w:rsidRPr="00064427" w:rsidRDefault="00644829">
            <w:pPr>
              <w:widowControl w:val="0"/>
              <w:pBdr>
                <w:top w:val="nil"/>
                <w:left w:val="nil"/>
                <w:bottom w:val="nil"/>
                <w:right w:val="nil"/>
                <w:between w:val="nil"/>
              </w:pBdr>
              <w:spacing w:before="115" w:line="240" w:lineRule="auto"/>
              <w:ind w:left="107"/>
              <w:rPr>
                <w:b/>
                <w:bCs/>
                <w:sz w:val="24"/>
                <w:szCs w:val="24"/>
              </w:rPr>
            </w:pPr>
            <w:r w:rsidRPr="00064427">
              <w:rPr>
                <w:b/>
                <w:bCs/>
                <w:sz w:val="24"/>
                <w:szCs w:val="24"/>
              </w:rPr>
              <w:t>Student ID number:</w:t>
            </w:r>
          </w:p>
        </w:tc>
        <w:tc>
          <w:tcPr>
            <w:tcW w:w="1431" w:type="dxa"/>
          </w:tcPr>
          <w:p w14:paraId="6C903344" w14:textId="1BB0052C" w:rsidR="0043462F" w:rsidRPr="00064427" w:rsidRDefault="0006442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sidRPr="00064427">
              <w:rPr>
                <w:rFonts w:ascii="Times New Roman" w:eastAsia="Times New Roman" w:hAnsi="Times New Roman" w:cs="Times New Roman"/>
                <w:b/>
                <w:bCs/>
                <w:sz w:val="24"/>
                <w:szCs w:val="24"/>
              </w:rPr>
              <w:t>2516024</w:t>
            </w:r>
          </w:p>
        </w:tc>
      </w:tr>
      <w:tr w:rsidR="0043462F" w14:paraId="0533DB46" w14:textId="77777777">
        <w:trPr>
          <w:trHeight w:val="491"/>
        </w:trPr>
        <w:tc>
          <w:tcPr>
            <w:tcW w:w="3355" w:type="dxa"/>
          </w:tcPr>
          <w:p w14:paraId="23841211" w14:textId="77777777" w:rsidR="0043462F" w:rsidRDefault="00644829">
            <w:pPr>
              <w:widowControl w:val="0"/>
              <w:pBdr>
                <w:top w:val="nil"/>
                <w:left w:val="nil"/>
                <w:bottom w:val="nil"/>
                <w:right w:val="nil"/>
                <w:between w:val="nil"/>
              </w:pBdr>
              <w:spacing w:before="115" w:line="240" w:lineRule="auto"/>
              <w:ind w:left="107"/>
              <w:rPr>
                <w:b/>
                <w:bCs/>
              </w:rPr>
            </w:pPr>
            <w:proofErr w:type="spellStart"/>
            <w:r>
              <w:rPr>
                <w:b/>
                <w:bCs/>
              </w:rPr>
              <w:t>Programme</w:t>
            </w:r>
            <w:proofErr w:type="spellEnd"/>
            <w:r>
              <w:rPr>
                <w:b/>
                <w:bCs/>
              </w:rPr>
              <w:t>:</w:t>
            </w:r>
          </w:p>
        </w:tc>
        <w:tc>
          <w:tcPr>
            <w:tcW w:w="6993" w:type="dxa"/>
            <w:gridSpan w:val="3"/>
          </w:tcPr>
          <w:p w14:paraId="1CB5CADA" w14:textId="77777777" w:rsidR="0043462F" w:rsidRDefault="00644829">
            <w:pPr>
              <w:widowControl w:val="0"/>
              <w:pBdr>
                <w:top w:val="nil"/>
                <w:left w:val="nil"/>
                <w:bottom w:val="nil"/>
                <w:right w:val="nil"/>
                <w:between w:val="nil"/>
              </w:pBdr>
              <w:spacing w:before="115" w:line="240" w:lineRule="auto"/>
              <w:ind w:left="105"/>
              <w:rPr>
                <w:b/>
                <w:bCs/>
              </w:rPr>
            </w:pPr>
            <w:r>
              <w:rPr>
                <w:b/>
                <w:bCs/>
              </w:rPr>
              <w:t>MSc/</w:t>
            </w:r>
            <w:proofErr w:type="spellStart"/>
            <w:r>
              <w:rPr>
                <w:b/>
                <w:bCs/>
              </w:rPr>
              <w:t>PgDip</w:t>
            </w:r>
            <w:proofErr w:type="spellEnd"/>
            <w:r>
              <w:rPr>
                <w:b/>
                <w:bCs/>
              </w:rPr>
              <w:t>/</w:t>
            </w:r>
            <w:proofErr w:type="spellStart"/>
            <w:r>
              <w:rPr>
                <w:b/>
                <w:bCs/>
              </w:rPr>
              <w:t>PgCert</w:t>
            </w:r>
            <w:proofErr w:type="spellEnd"/>
            <w:r>
              <w:rPr>
                <w:b/>
                <w:bCs/>
              </w:rPr>
              <w:t xml:space="preserve"> Cybersecurity and Digital Forensics</w:t>
            </w:r>
          </w:p>
        </w:tc>
      </w:tr>
      <w:tr w:rsidR="0043462F" w14:paraId="4F4D96F1" w14:textId="77777777">
        <w:trPr>
          <w:trHeight w:val="494"/>
        </w:trPr>
        <w:tc>
          <w:tcPr>
            <w:tcW w:w="3355" w:type="dxa"/>
          </w:tcPr>
          <w:p w14:paraId="316FCA3F" w14:textId="77777777" w:rsidR="0043462F" w:rsidRDefault="00644829">
            <w:pPr>
              <w:widowControl w:val="0"/>
              <w:pBdr>
                <w:top w:val="nil"/>
                <w:left w:val="nil"/>
                <w:bottom w:val="nil"/>
                <w:right w:val="nil"/>
                <w:between w:val="nil"/>
              </w:pBdr>
              <w:spacing w:before="118" w:line="240" w:lineRule="auto"/>
              <w:ind w:left="107"/>
              <w:rPr>
                <w:b/>
                <w:bCs/>
              </w:rPr>
            </w:pPr>
            <w:r>
              <w:rPr>
                <w:b/>
                <w:bCs/>
              </w:rPr>
              <w:t>Module:</w:t>
            </w:r>
          </w:p>
        </w:tc>
        <w:tc>
          <w:tcPr>
            <w:tcW w:w="6993" w:type="dxa"/>
            <w:gridSpan w:val="3"/>
          </w:tcPr>
          <w:p w14:paraId="28AEA71C" w14:textId="77777777" w:rsidR="0043462F" w:rsidRDefault="00644829">
            <w:pPr>
              <w:widowControl w:val="0"/>
              <w:pBdr>
                <w:top w:val="nil"/>
                <w:left w:val="nil"/>
                <w:bottom w:val="nil"/>
                <w:right w:val="nil"/>
                <w:between w:val="nil"/>
              </w:pBdr>
              <w:spacing w:before="118" w:line="240" w:lineRule="auto"/>
              <w:ind w:left="105"/>
              <w:rPr>
                <w:b/>
                <w:bCs/>
              </w:rPr>
            </w:pPr>
            <w:r>
              <w:rPr>
                <w:b/>
                <w:bCs/>
              </w:rPr>
              <w:t>Digital Forensics Analysis</w:t>
            </w:r>
          </w:p>
        </w:tc>
      </w:tr>
      <w:tr w:rsidR="0043462F" w14:paraId="444665A2" w14:textId="77777777">
        <w:trPr>
          <w:trHeight w:val="757"/>
        </w:trPr>
        <w:tc>
          <w:tcPr>
            <w:tcW w:w="3355" w:type="dxa"/>
          </w:tcPr>
          <w:p w14:paraId="6EA4771C" w14:textId="77777777" w:rsidR="0043462F" w:rsidRDefault="00644829">
            <w:pPr>
              <w:widowControl w:val="0"/>
              <w:pBdr>
                <w:top w:val="nil"/>
                <w:left w:val="nil"/>
                <w:bottom w:val="nil"/>
                <w:right w:val="nil"/>
                <w:between w:val="nil"/>
              </w:pBdr>
              <w:spacing w:before="115" w:line="240" w:lineRule="auto"/>
              <w:ind w:left="107"/>
              <w:rPr>
                <w:b/>
                <w:bCs/>
              </w:rPr>
            </w:pPr>
            <w:r>
              <w:rPr>
                <w:b/>
                <w:bCs/>
              </w:rPr>
              <w:t>Module code:</w:t>
            </w:r>
          </w:p>
        </w:tc>
        <w:tc>
          <w:tcPr>
            <w:tcW w:w="3294" w:type="dxa"/>
          </w:tcPr>
          <w:p w14:paraId="367A6C07" w14:textId="77777777" w:rsidR="0043462F" w:rsidRDefault="00644829">
            <w:pPr>
              <w:widowControl w:val="0"/>
              <w:pBdr>
                <w:top w:val="nil"/>
                <w:left w:val="nil"/>
                <w:bottom w:val="nil"/>
                <w:right w:val="nil"/>
                <w:between w:val="nil"/>
              </w:pBdr>
              <w:spacing w:before="115" w:line="240" w:lineRule="auto"/>
              <w:ind w:left="105"/>
              <w:rPr>
                <w:b/>
                <w:bCs/>
              </w:rPr>
            </w:pPr>
            <w:r>
              <w:rPr>
                <w:b/>
                <w:bCs/>
              </w:rPr>
              <w:t>ACCA7031</w:t>
            </w:r>
          </w:p>
        </w:tc>
        <w:tc>
          <w:tcPr>
            <w:tcW w:w="2268" w:type="dxa"/>
            <w:shd w:val="clear" w:color="auto" w:fill="D9D9D9"/>
          </w:tcPr>
          <w:p w14:paraId="118F0FF4" w14:textId="77777777" w:rsidR="0043462F" w:rsidRDefault="00644829">
            <w:pPr>
              <w:widowControl w:val="0"/>
              <w:pBdr>
                <w:top w:val="nil"/>
                <w:left w:val="nil"/>
                <w:bottom w:val="nil"/>
                <w:right w:val="nil"/>
                <w:between w:val="nil"/>
              </w:pBdr>
              <w:tabs>
                <w:tab w:val="left" w:pos="1951"/>
              </w:tabs>
              <w:spacing w:line="248" w:lineRule="auto"/>
              <w:ind w:left="107"/>
              <w:rPr>
                <w:b/>
                <w:bCs/>
              </w:rPr>
            </w:pPr>
            <w:r>
              <w:rPr>
                <w:b/>
                <w:bCs/>
              </w:rPr>
              <w:t>Contribution</w:t>
            </w:r>
            <w:r>
              <w:rPr>
                <w:b/>
                <w:bCs/>
              </w:rPr>
              <w:tab/>
              <w:t>to</w:t>
            </w:r>
          </w:p>
          <w:p w14:paraId="3863BB17" w14:textId="77777777" w:rsidR="0043462F" w:rsidRDefault="00644829">
            <w:pPr>
              <w:widowControl w:val="0"/>
              <w:pBdr>
                <w:top w:val="nil"/>
                <w:left w:val="nil"/>
                <w:bottom w:val="nil"/>
                <w:right w:val="nil"/>
                <w:between w:val="nil"/>
              </w:pBdr>
              <w:tabs>
                <w:tab w:val="left" w:pos="1390"/>
              </w:tabs>
              <w:spacing w:line="252" w:lineRule="auto"/>
              <w:ind w:left="107" w:right="95"/>
              <w:rPr>
                <w:b/>
                <w:bCs/>
              </w:rPr>
            </w:pPr>
            <w:r>
              <w:rPr>
                <w:b/>
                <w:bCs/>
              </w:rPr>
              <w:t>Overall</w:t>
            </w:r>
            <w:r>
              <w:rPr>
                <w:b/>
                <w:bCs/>
              </w:rPr>
              <w:tab/>
              <w:t>Module Assessment (%):</w:t>
            </w:r>
          </w:p>
        </w:tc>
        <w:tc>
          <w:tcPr>
            <w:tcW w:w="1431" w:type="dxa"/>
          </w:tcPr>
          <w:p w14:paraId="650D24B7" w14:textId="77777777" w:rsidR="0043462F" w:rsidRDefault="00644829">
            <w:pPr>
              <w:widowControl w:val="0"/>
              <w:pBdr>
                <w:top w:val="nil"/>
                <w:left w:val="nil"/>
                <w:bottom w:val="nil"/>
                <w:right w:val="nil"/>
                <w:between w:val="nil"/>
              </w:pBdr>
              <w:spacing w:before="115" w:line="240" w:lineRule="auto"/>
              <w:ind w:left="107"/>
              <w:rPr>
                <w:b/>
                <w:bCs/>
              </w:rPr>
            </w:pPr>
            <w:r>
              <w:rPr>
                <w:b/>
                <w:bCs/>
              </w:rPr>
              <w:t>100%</w:t>
            </w:r>
          </w:p>
        </w:tc>
      </w:tr>
      <w:tr w:rsidR="0043462F" w14:paraId="26DF41CB" w14:textId="77777777">
        <w:trPr>
          <w:trHeight w:val="745"/>
        </w:trPr>
        <w:tc>
          <w:tcPr>
            <w:tcW w:w="3355" w:type="dxa"/>
          </w:tcPr>
          <w:p w14:paraId="5BB5D9EE" w14:textId="77777777" w:rsidR="0043462F" w:rsidRDefault="00644829">
            <w:pPr>
              <w:widowControl w:val="0"/>
              <w:pBdr>
                <w:top w:val="nil"/>
                <w:left w:val="nil"/>
                <w:bottom w:val="nil"/>
                <w:right w:val="nil"/>
                <w:between w:val="nil"/>
              </w:pBdr>
              <w:spacing w:before="117" w:line="240" w:lineRule="auto"/>
              <w:ind w:left="107"/>
              <w:rPr>
                <w:b/>
                <w:bCs/>
              </w:rPr>
            </w:pPr>
            <w:r>
              <w:rPr>
                <w:b/>
                <w:bCs/>
              </w:rPr>
              <w:t>Lecturer:</w:t>
            </w:r>
          </w:p>
        </w:tc>
        <w:tc>
          <w:tcPr>
            <w:tcW w:w="3294" w:type="dxa"/>
          </w:tcPr>
          <w:p w14:paraId="6A7676BF" w14:textId="77777777" w:rsidR="0043462F" w:rsidRDefault="00644829">
            <w:pPr>
              <w:widowControl w:val="0"/>
              <w:pBdr>
                <w:top w:val="nil"/>
                <w:left w:val="nil"/>
                <w:bottom w:val="nil"/>
                <w:right w:val="nil"/>
                <w:between w:val="nil"/>
              </w:pBdr>
              <w:spacing w:before="117" w:line="240" w:lineRule="auto"/>
              <w:ind w:left="105"/>
              <w:rPr>
                <w:b/>
                <w:bCs/>
              </w:rPr>
            </w:pPr>
            <w:r>
              <w:rPr>
                <w:b/>
                <w:bCs/>
              </w:rPr>
              <w:t>Dr. Mohamed Ghanem</w:t>
            </w:r>
          </w:p>
        </w:tc>
        <w:tc>
          <w:tcPr>
            <w:tcW w:w="2268" w:type="dxa"/>
            <w:shd w:val="clear" w:color="auto" w:fill="D9D9D9"/>
          </w:tcPr>
          <w:p w14:paraId="5DB65DD1" w14:textId="77777777" w:rsidR="0043462F" w:rsidRDefault="00644829">
            <w:pPr>
              <w:widowControl w:val="0"/>
              <w:pBdr>
                <w:top w:val="nil"/>
                <w:left w:val="nil"/>
                <w:bottom w:val="nil"/>
                <w:right w:val="nil"/>
                <w:between w:val="nil"/>
              </w:pBdr>
              <w:spacing w:before="117" w:line="240" w:lineRule="auto"/>
              <w:ind w:left="107"/>
              <w:rPr>
                <w:b/>
                <w:bCs/>
              </w:rPr>
            </w:pPr>
            <w:r>
              <w:rPr>
                <w:b/>
                <w:bCs/>
              </w:rPr>
              <w:t>Internal Verifier:</w:t>
            </w:r>
          </w:p>
        </w:tc>
        <w:tc>
          <w:tcPr>
            <w:tcW w:w="1431" w:type="dxa"/>
          </w:tcPr>
          <w:p w14:paraId="383A125D" w14:textId="77777777" w:rsidR="0043462F" w:rsidRDefault="00644829">
            <w:pPr>
              <w:widowControl w:val="0"/>
              <w:pBdr>
                <w:top w:val="nil"/>
                <w:left w:val="nil"/>
                <w:bottom w:val="nil"/>
                <w:right w:val="nil"/>
                <w:between w:val="nil"/>
              </w:pBdr>
              <w:tabs>
                <w:tab w:val="left" w:pos="949"/>
              </w:tabs>
              <w:spacing w:before="117" w:line="240" w:lineRule="auto"/>
              <w:ind w:left="107" w:right="99"/>
              <w:rPr>
                <w:b/>
                <w:bCs/>
              </w:rPr>
            </w:pPr>
            <w:r>
              <w:rPr>
                <w:b/>
                <w:bCs/>
              </w:rPr>
              <w:t>Mr.</w:t>
            </w:r>
            <w:r>
              <w:rPr>
                <w:b/>
                <w:bCs/>
              </w:rPr>
              <w:tab/>
              <w:t xml:space="preserve">Munyaradzi </w:t>
            </w:r>
            <w:proofErr w:type="spellStart"/>
            <w:r>
              <w:rPr>
                <w:b/>
                <w:bCs/>
              </w:rPr>
              <w:t>Murira</w:t>
            </w:r>
            <w:proofErr w:type="spellEnd"/>
          </w:p>
        </w:tc>
      </w:tr>
      <w:tr w:rsidR="0043462F" w14:paraId="0333AC7A" w14:textId="77777777">
        <w:trPr>
          <w:trHeight w:val="1252"/>
        </w:trPr>
        <w:tc>
          <w:tcPr>
            <w:tcW w:w="3355" w:type="dxa"/>
          </w:tcPr>
          <w:p w14:paraId="5DEBD193" w14:textId="77777777" w:rsidR="0043462F" w:rsidRDefault="00644829">
            <w:pPr>
              <w:widowControl w:val="0"/>
              <w:pBdr>
                <w:top w:val="nil"/>
                <w:left w:val="nil"/>
                <w:bottom w:val="nil"/>
                <w:right w:val="nil"/>
                <w:between w:val="nil"/>
              </w:pBdr>
              <w:spacing w:before="117" w:line="240" w:lineRule="auto"/>
              <w:ind w:left="107"/>
              <w:rPr>
                <w:b/>
                <w:bCs/>
              </w:rPr>
            </w:pPr>
            <w:r>
              <w:rPr>
                <w:b/>
                <w:bCs/>
              </w:rPr>
              <w:t>Assignment Title:</w:t>
            </w:r>
          </w:p>
        </w:tc>
        <w:tc>
          <w:tcPr>
            <w:tcW w:w="3294" w:type="dxa"/>
          </w:tcPr>
          <w:p w14:paraId="3AD3E386" w14:textId="77777777" w:rsidR="0043462F" w:rsidRDefault="00644829">
            <w:pPr>
              <w:widowControl w:val="0"/>
              <w:pBdr>
                <w:top w:val="nil"/>
                <w:left w:val="nil"/>
                <w:bottom w:val="nil"/>
                <w:right w:val="nil"/>
                <w:between w:val="nil"/>
              </w:pBdr>
              <w:spacing w:before="117" w:line="240" w:lineRule="auto"/>
              <w:ind w:left="105" w:right="96"/>
              <w:jc w:val="both"/>
              <w:rPr>
                <w:b/>
                <w:bCs/>
              </w:rPr>
            </w:pPr>
            <w:r>
              <w:rPr>
                <w:b/>
                <w:bCs/>
              </w:rPr>
              <w:t xml:space="preserve">Research, </w:t>
            </w:r>
            <w:proofErr w:type="spellStart"/>
            <w:r>
              <w:rPr>
                <w:b/>
                <w:bCs/>
              </w:rPr>
              <w:t>analyse</w:t>
            </w:r>
            <w:proofErr w:type="spellEnd"/>
            <w:r>
              <w:rPr>
                <w:b/>
                <w:bCs/>
              </w:rPr>
              <w:t>, and Investigate Cybersecurity incidents and perform digital forensic assessment</w:t>
            </w:r>
          </w:p>
        </w:tc>
        <w:tc>
          <w:tcPr>
            <w:tcW w:w="2268" w:type="dxa"/>
          </w:tcPr>
          <w:p w14:paraId="6DCC4D77" w14:textId="77777777" w:rsidR="0043462F" w:rsidRDefault="00644829">
            <w:pPr>
              <w:widowControl w:val="0"/>
              <w:pBdr>
                <w:top w:val="nil"/>
                <w:left w:val="nil"/>
                <w:bottom w:val="nil"/>
                <w:right w:val="nil"/>
                <w:between w:val="nil"/>
              </w:pBdr>
              <w:tabs>
                <w:tab w:val="left" w:pos="970"/>
                <w:tab w:val="left" w:pos="1865"/>
              </w:tabs>
              <w:spacing w:before="117" w:line="240" w:lineRule="auto"/>
              <w:ind w:left="107" w:right="95"/>
              <w:rPr>
                <w:b/>
                <w:bCs/>
              </w:rPr>
            </w:pPr>
            <w:r>
              <w:rPr>
                <w:b/>
                <w:bCs/>
              </w:rPr>
              <w:t>Word</w:t>
            </w:r>
            <w:r>
              <w:rPr>
                <w:b/>
                <w:bCs/>
              </w:rPr>
              <w:tab/>
              <w:t>count</w:t>
            </w:r>
            <w:r>
              <w:rPr>
                <w:b/>
                <w:bCs/>
              </w:rPr>
              <w:tab/>
              <w:t>(or equivalent):</w:t>
            </w:r>
          </w:p>
        </w:tc>
        <w:tc>
          <w:tcPr>
            <w:tcW w:w="1431" w:type="dxa"/>
          </w:tcPr>
          <w:p w14:paraId="51C4BA80" w14:textId="77777777" w:rsidR="0043462F" w:rsidRDefault="00644829">
            <w:pPr>
              <w:widowControl w:val="0"/>
              <w:pBdr>
                <w:top w:val="nil"/>
                <w:left w:val="nil"/>
                <w:bottom w:val="nil"/>
                <w:right w:val="nil"/>
                <w:between w:val="nil"/>
              </w:pBdr>
              <w:spacing w:before="117" w:line="240" w:lineRule="auto"/>
              <w:ind w:left="107"/>
              <w:rPr>
                <w:b/>
                <w:bCs/>
              </w:rPr>
            </w:pPr>
            <w:r>
              <w:rPr>
                <w:b/>
                <w:bCs/>
              </w:rPr>
              <w:t>5000</w:t>
            </w:r>
          </w:p>
        </w:tc>
      </w:tr>
      <w:tr w:rsidR="0043462F" w14:paraId="3A989E5F" w14:textId="77777777">
        <w:trPr>
          <w:trHeight w:val="1463"/>
        </w:trPr>
        <w:tc>
          <w:tcPr>
            <w:tcW w:w="3355" w:type="dxa"/>
          </w:tcPr>
          <w:p w14:paraId="706C6DFA" w14:textId="77777777" w:rsidR="0043462F" w:rsidRDefault="00644829">
            <w:pPr>
              <w:widowControl w:val="0"/>
              <w:pBdr>
                <w:top w:val="nil"/>
                <w:left w:val="nil"/>
                <w:bottom w:val="nil"/>
                <w:right w:val="nil"/>
                <w:between w:val="nil"/>
              </w:pBdr>
              <w:spacing w:before="115" w:line="240" w:lineRule="auto"/>
              <w:ind w:left="107"/>
              <w:rPr>
                <w:b/>
                <w:bCs/>
              </w:rPr>
            </w:pPr>
            <w:r>
              <w:rPr>
                <w:b/>
                <w:bCs/>
              </w:rPr>
              <w:t>Submission deadline:</w:t>
            </w:r>
          </w:p>
        </w:tc>
        <w:tc>
          <w:tcPr>
            <w:tcW w:w="3294" w:type="dxa"/>
          </w:tcPr>
          <w:p w14:paraId="0AC40FBB" w14:textId="77777777" w:rsidR="0043462F" w:rsidRDefault="00644829">
            <w:pPr>
              <w:widowControl w:val="0"/>
              <w:pBdr>
                <w:top w:val="nil"/>
                <w:left w:val="nil"/>
                <w:bottom w:val="nil"/>
                <w:right w:val="nil"/>
                <w:between w:val="nil"/>
              </w:pBdr>
              <w:tabs>
                <w:tab w:val="left" w:pos="1207"/>
                <w:tab w:val="left" w:pos="1855"/>
                <w:tab w:val="left" w:pos="2581"/>
              </w:tabs>
              <w:spacing w:before="113" w:line="240" w:lineRule="auto"/>
              <w:ind w:left="105" w:right="99"/>
              <w:rPr>
                <w:sz w:val="24"/>
                <w:szCs w:val="24"/>
              </w:rPr>
            </w:pPr>
            <w:r>
              <w:rPr>
                <w:b/>
                <w:bCs/>
                <w:sz w:val="24"/>
                <w:szCs w:val="24"/>
              </w:rPr>
              <w:t>Report:</w:t>
            </w:r>
            <w:r>
              <w:rPr>
                <w:b/>
                <w:bCs/>
                <w:sz w:val="24"/>
                <w:szCs w:val="24"/>
              </w:rPr>
              <w:tab/>
            </w:r>
            <w:r>
              <w:rPr>
                <w:sz w:val="24"/>
                <w:szCs w:val="24"/>
              </w:rPr>
              <w:t>27</w:t>
            </w:r>
            <w:r>
              <w:rPr>
                <w:sz w:val="26"/>
                <w:szCs w:val="26"/>
                <w:vertAlign w:val="superscript"/>
              </w:rPr>
              <w:t>th</w:t>
            </w:r>
            <w:r>
              <w:rPr>
                <w:sz w:val="26"/>
                <w:szCs w:val="26"/>
                <w:vertAlign w:val="superscript"/>
              </w:rPr>
              <w:tab/>
            </w:r>
            <w:r>
              <w:rPr>
                <w:sz w:val="24"/>
                <w:szCs w:val="24"/>
              </w:rPr>
              <w:t>April</w:t>
            </w:r>
            <w:r>
              <w:rPr>
                <w:sz w:val="24"/>
                <w:szCs w:val="24"/>
              </w:rPr>
              <w:tab/>
              <w:t>2026, 14:00 (2 PM)</w:t>
            </w:r>
          </w:p>
          <w:p w14:paraId="1E9C1F60" w14:textId="77777777" w:rsidR="0043462F" w:rsidRDefault="00644829">
            <w:pPr>
              <w:widowControl w:val="0"/>
              <w:pBdr>
                <w:top w:val="nil"/>
                <w:left w:val="nil"/>
                <w:bottom w:val="nil"/>
                <w:right w:val="nil"/>
                <w:between w:val="nil"/>
              </w:pBdr>
              <w:spacing w:before="115" w:line="240" w:lineRule="auto"/>
              <w:ind w:left="105"/>
              <w:rPr>
                <w:sz w:val="24"/>
                <w:szCs w:val="24"/>
              </w:rPr>
            </w:pPr>
            <w:r>
              <w:rPr>
                <w:b/>
                <w:bCs/>
                <w:sz w:val="24"/>
                <w:szCs w:val="24"/>
              </w:rPr>
              <w:t xml:space="preserve">Demo: </w:t>
            </w:r>
            <w:r>
              <w:rPr>
                <w:sz w:val="24"/>
                <w:szCs w:val="24"/>
              </w:rPr>
              <w:t>22</w:t>
            </w:r>
            <w:r>
              <w:rPr>
                <w:sz w:val="26"/>
                <w:szCs w:val="26"/>
                <w:vertAlign w:val="superscript"/>
              </w:rPr>
              <w:t xml:space="preserve">nd </w:t>
            </w:r>
            <w:r>
              <w:rPr>
                <w:sz w:val="24"/>
                <w:szCs w:val="24"/>
              </w:rPr>
              <w:t>and 23</w:t>
            </w:r>
            <w:r>
              <w:rPr>
                <w:sz w:val="26"/>
                <w:szCs w:val="26"/>
                <w:vertAlign w:val="superscript"/>
              </w:rPr>
              <w:t xml:space="preserve">rd </w:t>
            </w:r>
            <w:r>
              <w:rPr>
                <w:sz w:val="24"/>
                <w:szCs w:val="24"/>
              </w:rPr>
              <w:t>April 2026 (Week 11)</w:t>
            </w:r>
          </w:p>
        </w:tc>
        <w:tc>
          <w:tcPr>
            <w:tcW w:w="2268" w:type="dxa"/>
          </w:tcPr>
          <w:p w14:paraId="666C6051" w14:textId="77777777" w:rsidR="0043462F" w:rsidRDefault="00644829">
            <w:pPr>
              <w:widowControl w:val="0"/>
              <w:pBdr>
                <w:top w:val="nil"/>
                <w:left w:val="nil"/>
                <w:bottom w:val="nil"/>
                <w:right w:val="nil"/>
                <w:between w:val="nil"/>
              </w:pBdr>
              <w:spacing w:before="115" w:line="240" w:lineRule="auto"/>
              <w:ind w:left="107" w:right="94"/>
              <w:jc w:val="both"/>
              <w:rPr>
                <w:b/>
                <w:bCs/>
              </w:rPr>
            </w:pPr>
            <w:r>
              <w:rPr>
                <w:b/>
                <w:bCs/>
              </w:rPr>
              <w:t>Return date of provisional marks &amp; written feedback:</w:t>
            </w:r>
          </w:p>
        </w:tc>
        <w:tc>
          <w:tcPr>
            <w:tcW w:w="1431" w:type="dxa"/>
          </w:tcPr>
          <w:p w14:paraId="66B7F756" w14:textId="77777777" w:rsidR="0043462F" w:rsidRDefault="00644829">
            <w:pPr>
              <w:widowControl w:val="0"/>
              <w:pBdr>
                <w:top w:val="nil"/>
                <w:left w:val="nil"/>
                <w:bottom w:val="nil"/>
                <w:right w:val="nil"/>
                <w:between w:val="nil"/>
              </w:pBdr>
              <w:spacing w:before="115" w:line="240" w:lineRule="auto"/>
              <w:ind w:left="107"/>
              <w:rPr>
                <w:b/>
                <w:bCs/>
              </w:rPr>
            </w:pPr>
            <w:r>
              <w:rPr>
                <w:b/>
                <w:bCs/>
              </w:rPr>
              <w:t>28</w:t>
            </w:r>
            <w:r>
              <w:rPr>
                <w:b/>
                <w:bCs/>
                <w:vertAlign w:val="superscript"/>
              </w:rPr>
              <w:t>th</w:t>
            </w:r>
            <w:r>
              <w:rPr>
                <w:b/>
                <w:bCs/>
              </w:rPr>
              <w:t xml:space="preserve"> May 2026</w:t>
            </w:r>
          </w:p>
        </w:tc>
      </w:tr>
      <w:tr w:rsidR="0043462F" w14:paraId="714AADD5" w14:textId="77777777">
        <w:trPr>
          <w:trHeight w:val="4142"/>
        </w:trPr>
        <w:tc>
          <w:tcPr>
            <w:tcW w:w="3355" w:type="dxa"/>
          </w:tcPr>
          <w:p w14:paraId="0C006D38" w14:textId="77777777" w:rsidR="0043462F" w:rsidRDefault="00644829">
            <w:pPr>
              <w:widowControl w:val="0"/>
              <w:pBdr>
                <w:top w:val="nil"/>
                <w:left w:val="nil"/>
                <w:bottom w:val="nil"/>
                <w:right w:val="nil"/>
                <w:between w:val="nil"/>
              </w:pBdr>
              <w:spacing w:before="115" w:line="240" w:lineRule="auto"/>
              <w:ind w:left="107"/>
              <w:rPr>
                <w:b/>
                <w:bCs/>
              </w:rPr>
            </w:pPr>
            <w:r>
              <w:rPr>
                <w:b/>
                <w:bCs/>
              </w:rPr>
              <w:t>Submission method:</w:t>
            </w:r>
          </w:p>
        </w:tc>
        <w:tc>
          <w:tcPr>
            <w:tcW w:w="6993" w:type="dxa"/>
            <w:gridSpan w:val="3"/>
          </w:tcPr>
          <w:p w14:paraId="076AB47F" w14:textId="77777777" w:rsidR="0043462F" w:rsidRDefault="00644829">
            <w:pPr>
              <w:widowControl w:val="0"/>
              <w:pBdr>
                <w:top w:val="nil"/>
                <w:left w:val="nil"/>
                <w:bottom w:val="nil"/>
                <w:right w:val="nil"/>
                <w:between w:val="nil"/>
              </w:pBdr>
              <w:spacing w:line="240" w:lineRule="auto"/>
              <w:ind w:left="10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9B13A0" w14:textId="77777777" w:rsidR="0043462F" w:rsidRDefault="00644829">
            <w:pPr>
              <w:widowControl w:val="0"/>
              <w:pBdr>
                <w:top w:val="nil"/>
                <w:left w:val="nil"/>
                <w:bottom w:val="nil"/>
                <w:right w:val="nil"/>
                <w:between w:val="nil"/>
              </w:pBdr>
              <w:spacing w:before="116" w:line="240" w:lineRule="auto"/>
              <w:ind w:left="105"/>
              <w:rPr>
                <w:b/>
                <w:bCs/>
              </w:rPr>
            </w:pPr>
            <w:r>
              <w:rPr>
                <w:b/>
                <w:bCs/>
              </w:rPr>
              <w:t>Alternative submission method (if applicable): NA</w:t>
            </w:r>
          </w:p>
          <w:p w14:paraId="0F4CB067" w14:textId="77777777" w:rsidR="0043462F" w:rsidRDefault="00644829">
            <w:pPr>
              <w:widowControl w:val="0"/>
              <w:pBdr>
                <w:top w:val="nil"/>
                <w:left w:val="nil"/>
                <w:bottom w:val="nil"/>
                <w:right w:val="nil"/>
                <w:between w:val="nil"/>
              </w:pBdr>
              <w:spacing w:before="122" w:line="240" w:lineRule="auto"/>
              <w:ind w:left="105"/>
              <w:rPr>
                <w:b/>
                <w:bCs/>
              </w:rPr>
            </w:pPr>
            <w:r>
              <w:rPr>
                <w:b/>
                <w:bCs/>
              </w:rPr>
              <w:t>Late submission of the assessment will result in a late penalty mark.</w:t>
            </w:r>
          </w:p>
          <w:p w14:paraId="0C1819A4" w14:textId="77777777" w:rsidR="0043462F" w:rsidRDefault="00644829">
            <w:pPr>
              <w:widowControl w:val="0"/>
              <w:pBdr>
                <w:top w:val="nil"/>
                <w:left w:val="nil"/>
                <w:bottom w:val="nil"/>
                <w:right w:val="nil"/>
                <w:between w:val="nil"/>
              </w:pBdr>
              <w:spacing w:before="121" w:line="240" w:lineRule="auto"/>
              <w:ind w:left="105" w:right="99"/>
              <w:jc w:val="both"/>
            </w:pPr>
            <w:r>
              <w:t>Work which is submitted up to 1 week late will be capped at 50% for the first attempt and will be awarded a mark of 0% for re-assessment. Late submission penalties may be lifted only if there is an approved extenuating circumstances claim.</w:t>
            </w:r>
          </w:p>
          <w:p w14:paraId="139C613A" w14:textId="77777777" w:rsidR="0043462F" w:rsidRDefault="00644829">
            <w:pPr>
              <w:widowControl w:val="0"/>
              <w:pBdr>
                <w:top w:val="nil"/>
                <w:left w:val="nil"/>
                <w:bottom w:val="nil"/>
                <w:right w:val="nil"/>
                <w:between w:val="nil"/>
              </w:pBdr>
              <w:spacing w:before="121" w:line="240" w:lineRule="auto"/>
              <w:ind w:left="105" w:right="96"/>
              <w:jc w:val="both"/>
            </w:pPr>
            <w: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43462F" w14:paraId="2E24E455" w14:textId="77777777">
        <w:trPr>
          <w:trHeight w:val="1252"/>
        </w:trPr>
        <w:tc>
          <w:tcPr>
            <w:tcW w:w="3355" w:type="dxa"/>
          </w:tcPr>
          <w:p w14:paraId="58FBB452" w14:textId="77777777" w:rsidR="0043462F" w:rsidRDefault="00644829">
            <w:pPr>
              <w:widowControl w:val="0"/>
              <w:pBdr>
                <w:top w:val="nil"/>
                <w:left w:val="nil"/>
                <w:bottom w:val="nil"/>
                <w:right w:val="nil"/>
                <w:between w:val="nil"/>
              </w:pBdr>
              <w:spacing w:before="115" w:line="240" w:lineRule="auto"/>
              <w:ind w:left="107" w:right="132"/>
              <w:rPr>
                <w:b/>
                <w:bCs/>
              </w:rPr>
            </w:pPr>
            <w:r>
              <w:rPr>
                <w:b/>
                <w:bCs/>
              </w:rPr>
              <w:t>Academic honesty/referencing:</w:t>
            </w:r>
          </w:p>
        </w:tc>
        <w:tc>
          <w:tcPr>
            <w:tcW w:w="6993" w:type="dxa"/>
            <w:gridSpan w:val="3"/>
          </w:tcPr>
          <w:p w14:paraId="4B419604" w14:textId="77777777" w:rsidR="0043462F" w:rsidRDefault="00644829">
            <w:pPr>
              <w:widowControl w:val="0"/>
              <w:pBdr>
                <w:top w:val="nil"/>
                <w:left w:val="nil"/>
                <w:bottom w:val="nil"/>
                <w:right w:val="nil"/>
                <w:between w:val="nil"/>
              </w:pBdr>
              <w:spacing w:before="117" w:line="240" w:lineRule="auto"/>
              <w:ind w:left="105" w:right="10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w:t>
            </w:r>
            <w:r>
              <w:lastRenderedPageBreak/>
              <w:t>this assessment.</w:t>
            </w:r>
          </w:p>
        </w:tc>
      </w:tr>
    </w:tbl>
    <w:p w14:paraId="5858524A"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4F59D0AD"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43A756FD"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05C0EF19" w14:textId="77777777" w:rsidR="0043462F" w:rsidRDefault="00644829">
      <w:pPr>
        <w:rPr>
          <w:rFonts w:ascii="Times New Roman" w:eastAsia="Times New Roman" w:hAnsi="Times New Roman" w:cs="Times New Roman"/>
          <w:b/>
          <w:bCs/>
          <w:sz w:val="32"/>
          <w:szCs w:val="32"/>
        </w:rPr>
      </w:pPr>
      <w:r>
        <w:br w:type="page"/>
      </w:r>
    </w:p>
    <w:p w14:paraId="55A1349F"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246CADDA"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785641DC"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20298192"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735C8033"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3EAF0D47" w14:textId="77777777" w:rsidR="0043462F" w:rsidRDefault="00644829">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RESEARCH, ANALYSE AND INVESTIGATE CYBERSECURITY INCIDENTS AND PERFORM DIGITAL FORENSIC ASSESSMENT</w:t>
      </w:r>
    </w:p>
    <w:p w14:paraId="5C9D343C" w14:textId="77777777" w:rsidR="0043462F" w:rsidRDefault="0043462F">
      <w:pPr>
        <w:spacing w:before="240" w:after="240" w:line="360" w:lineRule="auto"/>
        <w:jc w:val="center"/>
        <w:rPr>
          <w:rFonts w:ascii="Times New Roman" w:eastAsia="Times New Roman" w:hAnsi="Times New Roman" w:cs="Times New Roman"/>
          <w:sz w:val="24"/>
          <w:szCs w:val="24"/>
        </w:rPr>
      </w:pPr>
    </w:p>
    <w:p w14:paraId="15E9BAAA" w14:textId="77777777" w:rsidR="0043462F" w:rsidRDefault="00644829">
      <w:pPr>
        <w:spacing w:before="240" w:after="240" w:line="360" w:lineRule="auto"/>
        <w:jc w:val="both"/>
        <w:rPr>
          <w:rFonts w:ascii="Times New Roman" w:eastAsia="Times New Roman" w:hAnsi="Times New Roman" w:cs="Times New Roman"/>
          <w:sz w:val="24"/>
          <w:szCs w:val="24"/>
        </w:rPr>
      </w:pPr>
      <w:r>
        <w:br w:type="page"/>
      </w:r>
    </w:p>
    <w:p w14:paraId="42AACF91" w14:textId="77777777" w:rsidR="0043462F" w:rsidRDefault="00644829">
      <w:pPr>
        <w:keepNext/>
        <w:keepLines/>
        <w:pBdr>
          <w:top w:val="nil"/>
          <w:left w:val="nil"/>
          <w:bottom w:val="nil"/>
          <w:right w:val="nil"/>
          <w:between w:val="nil"/>
        </w:pBdr>
        <w:spacing w:before="480" w:line="360" w:lineRule="auto"/>
        <w:jc w:val="center"/>
        <w:rPr>
          <w:rFonts w:ascii="Times New Roman" w:eastAsia="Times New Roman" w:hAnsi="Times New Roman" w:cs="Times New Roman"/>
          <w:b/>
          <w:bCs/>
          <w:sz w:val="28"/>
          <w:szCs w:val="28"/>
        </w:rPr>
      </w:pPr>
      <w:bookmarkStart w:id="0" w:name="_t43cwg5oqs9t" w:colFirst="0" w:colLast="0"/>
      <w:bookmarkEnd w:id="0"/>
      <w:r>
        <w:rPr>
          <w:rFonts w:ascii="Times New Roman" w:eastAsia="Times New Roman" w:hAnsi="Times New Roman" w:cs="Times New Roman"/>
          <w:b/>
          <w:bCs/>
          <w:sz w:val="28"/>
          <w:szCs w:val="28"/>
        </w:rPr>
        <w:lastRenderedPageBreak/>
        <w:t>Table of Contents</w:t>
      </w:r>
    </w:p>
    <w:sdt>
      <w:sdtPr>
        <w:id w:val="1863533941"/>
        <w:docPartObj>
          <w:docPartGallery w:val="Table of Contents"/>
          <w:docPartUnique/>
        </w:docPartObj>
      </w:sdtPr>
      <w:sdtContent>
        <w:p w14:paraId="2DE9D647" w14:textId="77777777" w:rsidR="0043462F" w:rsidRDefault="00644829">
          <w:pPr>
            <w:widowControl w:val="0"/>
            <w:tabs>
              <w:tab w:val="right" w:leader="dot" w:pos="12000"/>
            </w:tabs>
            <w:spacing w:before="60" w:line="240" w:lineRule="auto"/>
            <w:rPr>
              <w:b/>
              <w:bCs/>
            </w:rPr>
          </w:pPr>
          <w:r>
            <w:fldChar w:fldCharType="begin"/>
          </w:r>
          <w:r>
            <w:instrText xml:space="preserve"> TOC \h \u \z \t "Heading 1,1,Heading 2,2,Heading 3,3,"</w:instrText>
          </w:r>
          <w:r>
            <w:fldChar w:fldCharType="separate"/>
          </w:r>
          <w:hyperlink w:anchor="_3y1aqh6pudol">
            <w:r>
              <w:rPr>
                <w:rFonts w:ascii="Times New Roman" w:eastAsia="Times New Roman" w:hAnsi="Times New Roman" w:cs="Times New Roman"/>
                <w:sz w:val="24"/>
                <w:szCs w:val="24"/>
              </w:rPr>
              <w:t>1. Current State of Digital Forensics</w:t>
            </w:r>
            <w:r>
              <w:rPr>
                <w:rFonts w:ascii="Times New Roman" w:eastAsia="Times New Roman" w:hAnsi="Times New Roman" w:cs="Times New Roman"/>
                <w:sz w:val="24"/>
                <w:szCs w:val="24"/>
              </w:rPr>
              <w:tab/>
              <w:t>6</w:t>
            </w:r>
          </w:hyperlink>
        </w:p>
        <w:p w14:paraId="7ECE2B25" w14:textId="77777777" w:rsidR="0043462F" w:rsidRDefault="00644829">
          <w:pPr>
            <w:widowControl w:val="0"/>
            <w:tabs>
              <w:tab w:val="right" w:leader="dot" w:pos="12000"/>
            </w:tabs>
            <w:spacing w:before="60" w:line="240" w:lineRule="auto"/>
            <w:rPr>
              <w:b/>
              <w:bCs/>
            </w:rPr>
          </w:pPr>
          <w:hyperlink w:anchor="_gcfklnc7my2i">
            <w:r>
              <w:rPr>
                <w:rFonts w:ascii="Times New Roman" w:eastAsia="Times New Roman" w:hAnsi="Times New Roman" w:cs="Times New Roman"/>
                <w:sz w:val="24"/>
                <w:szCs w:val="24"/>
              </w:rPr>
              <w:t>2. Digital Forensics Tools (Features and Capabilities)</w:t>
            </w:r>
            <w:r>
              <w:rPr>
                <w:rFonts w:ascii="Times New Roman" w:eastAsia="Times New Roman" w:hAnsi="Times New Roman" w:cs="Times New Roman"/>
                <w:sz w:val="24"/>
                <w:szCs w:val="24"/>
              </w:rPr>
              <w:tab/>
              <w:t>6</w:t>
            </w:r>
          </w:hyperlink>
        </w:p>
        <w:p w14:paraId="465A23FA" w14:textId="77777777" w:rsidR="0043462F" w:rsidRDefault="00644829">
          <w:pPr>
            <w:widowControl w:val="0"/>
            <w:tabs>
              <w:tab w:val="right" w:leader="dot" w:pos="12000"/>
            </w:tabs>
            <w:spacing w:before="60" w:line="240" w:lineRule="auto"/>
            <w:rPr>
              <w:b/>
              <w:bCs/>
            </w:rPr>
          </w:pPr>
          <w:hyperlink w:anchor="_5h8ascz4oedy">
            <w:r>
              <w:rPr>
                <w:rFonts w:ascii="Times New Roman" w:eastAsia="Times New Roman" w:hAnsi="Times New Roman" w:cs="Times New Roman"/>
                <w:sz w:val="24"/>
                <w:szCs w:val="24"/>
              </w:rPr>
              <w:t>3. Intersection of Digital Forensics and Cybersecurity</w:t>
            </w:r>
            <w:r>
              <w:rPr>
                <w:rFonts w:ascii="Times New Roman" w:eastAsia="Times New Roman" w:hAnsi="Times New Roman" w:cs="Times New Roman"/>
                <w:sz w:val="24"/>
                <w:szCs w:val="24"/>
              </w:rPr>
              <w:tab/>
              <w:t>7</w:t>
            </w:r>
          </w:hyperlink>
        </w:p>
        <w:p w14:paraId="0B22F947" w14:textId="77777777" w:rsidR="0043462F" w:rsidRDefault="00644829">
          <w:pPr>
            <w:widowControl w:val="0"/>
            <w:tabs>
              <w:tab w:val="right" w:leader="dot" w:pos="12000"/>
            </w:tabs>
            <w:spacing w:before="60" w:line="240" w:lineRule="auto"/>
            <w:rPr>
              <w:b/>
              <w:bCs/>
            </w:rPr>
          </w:pPr>
          <w:hyperlink w:anchor="_illlsy1fij6f">
            <w:r>
              <w:rPr>
                <w:rFonts w:ascii="Times New Roman" w:eastAsia="Times New Roman" w:hAnsi="Times New Roman" w:cs="Times New Roman"/>
                <w:sz w:val="24"/>
                <w:szCs w:val="24"/>
              </w:rPr>
              <w:t>4. Emerging Trends in Digital Forensics</w:t>
            </w:r>
            <w:r>
              <w:rPr>
                <w:rFonts w:ascii="Times New Roman" w:eastAsia="Times New Roman" w:hAnsi="Times New Roman" w:cs="Times New Roman"/>
                <w:sz w:val="24"/>
                <w:szCs w:val="24"/>
              </w:rPr>
              <w:tab/>
              <w:t>7</w:t>
            </w:r>
          </w:hyperlink>
        </w:p>
        <w:p w14:paraId="57C1C8E5" w14:textId="77777777" w:rsidR="0043462F" w:rsidRDefault="00644829">
          <w:pPr>
            <w:widowControl w:val="0"/>
            <w:tabs>
              <w:tab w:val="right" w:leader="dot" w:pos="12000"/>
            </w:tabs>
            <w:spacing w:before="60" w:line="240" w:lineRule="auto"/>
            <w:rPr>
              <w:b/>
              <w:bCs/>
            </w:rPr>
          </w:pPr>
          <w:hyperlink w:anchor="_pnpxcxjrxy2v">
            <w:r>
              <w:rPr>
                <w:rFonts w:ascii="Times New Roman" w:eastAsia="Times New Roman" w:hAnsi="Times New Roman" w:cs="Times New Roman"/>
                <w:sz w:val="24"/>
                <w:szCs w:val="24"/>
              </w:rPr>
              <w:t>5. Key Challenges in Digital Forensics</w:t>
            </w:r>
            <w:r>
              <w:rPr>
                <w:rFonts w:ascii="Times New Roman" w:eastAsia="Times New Roman" w:hAnsi="Times New Roman" w:cs="Times New Roman"/>
                <w:sz w:val="24"/>
                <w:szCs w:val="24"/>
              </w:rPr>
              <w:tab/>
              <w:t>8</w:t>
            </w:r>
          </w:hyperlink>
        </w:p>
        <w:p w14:paraId="4044EA8F" w14:textId="77777777" w:rsidR="0043462F" w:rsidRDefault="00644829">
          <w:pPr>
            <w:widowControl w:val="0"/>
            <w:tabs>
              <w:tab w:val="right" w:leader="dot" w:pos="12000"/>
            </w:tabs>
            <w:spacing w:before="60" w:line="240" w:lineRule="auto"/>
            <w:rPr>
              <w:b/>
              <w:bCs/>
            </w:rPr>
          </w:pPr>
          <w:hyperlink w:anchor="_fkn3z84w6x4q">
            <w:r>
              <w:rPr>
                <w:rFonts w:ascii="Times New Roman" w:eastAsia="Times New Roman" w:hAnsi="Times New Roman" w:cs="Times New Roman"/>
                <w:sz w:val="24"/>
                <w:szCs w:val="24"/>
              </w:rPr>
              <w:t>6. National and International Job Market</w:t>
            </w:r>
            <w:r>
              <w:rPr>
                <w:rFonts w:ascii="Times New Roman" w:eastAsia="Times New Roman" w:hAnsi="Times New Roman" w:cs="Times New Roman"/>
                <w:sz w:val="24"/>
                <w:szCs w:val="24"/>
              </w:rPr>
              <w:tab/>
              <w:t>8</w:t>
            </w:r>
          </w:hyperlink>
        </w:p>
        <w:p w14:paraId="2EE742F9" w14:textId="77777777" w:rsidR="0043462F" w:rsidRDefault="00644829">
          <w:pPr>
            <w:widowControl w:val="0"/>
            <w:tabs>
              <w:tab w:val="right" w:leader="dot" w:pos="12000"/>
            </w:tabs>
            <w:spacing w:before="60" w:line="240" w:lineRule="auto"/>
            <w:rPr>
              <w:b/>
              <w:bCs/>
            </w:rPr>
          </w:pPr>
          <w:hyperlink w:anchor="_iqs2k84qsp5q">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9</w:t>
            </w:r>
          </w:hyperlink>
        </w:p>
        <w:p w14:paraId="790107D2" w14:textId="77777777" w:rsidR="0043462F" w:rsidRDefault="00644829">
          <w:pPr>
            <w:widowControl w:val="0"/>
            <w:tabs>
              <w:tab w:val="right" w:leader="dot" w:pos="12000"/>
            </w:tabs>
            <w:spacing w:before="60" w:line="240" w:lineRule="auto"/>
            <w:rPr>
              <w:b/>
              <w:bCs/>
            </w:rPr>
          </w:pPr>
          <w:hyperlink w:anchor="_j00zbskt0rze">
            <w:r>
              <w:rPr>
                <w:rFonts w:ascii="Times New Roman" w:eastAsia="Times New Roman" w:hAnsi="Times New Roman" w:cs="Times New Roman"/>
                <w:sz w:val="24"/>
                <w:szCs w:val="24"/>
              </w:rPr>
              <w:t>1. Case Background</w:t>
            </w:r>
            <w:r>
              <w:rPr>
                <w:rFonts w:ascii="Times New Roman" w:eastAsia="Times New Roman" w:hAnsi="Times New Roman" w:cs="Times New Roman"/>
                <w:sz w:val="24"/>
                <w:szCs w:val="24"/>
              </w:rPr>
              <w:tab/>
              <w:t>11</w:t>
            </w:r>
          </w:hyperlink>
        </w:p>
        <w:p w14:paraId="3795FA6D" w14:textId="77777777" w:rsidR="0043462F" w:rsidRDefault="00644829">
          <w:pPr>
            <w:widowControl w:val="0"/>
            <w:tabs>
              <w:tab w:val="right" w:leader="dot" w:pos="12000"/>
            </w:tabs>
            <w:spacing w:before="60" w:line="240" w:lineRule="auto"/>
            <w:rPr>
              <w:b/>
              <w:bCs/>
            </w:rPr>
          </w:pPr>
          <w:hyperlink w:anchor="_x61t3u1xo0zk">
            <w:r>
              <w:rPr>
                <w:b/>
                <w:bCs/>
              </w:rPr>
              <w:t>2. Evidence Acquisition</w:t>
            </w:r>
            <w:r>
              <w:rPr>
                <w:b/>
                <w:bCs/>
              </w:rPr>
              <w:tab/>
              <w:t>13</w:t>
            </w:r>
          </w:hyperlink>
        </w:p>
        <w:p w14:paraId="0FB4FA3F" w14:textId="77777777" w:rsidR="0043462F" w:rsidRDefault="00644829">
          <w:pPr>
            <w:widowControl w:val="0"/>
            <w:tabs>
              <w:tab w:val="right" w:leader="dot" w:pos="12000"/>
            </w:tabs>
            <w:spacing w:before="60" w:line="240" w:lineRule="auto"/>
            <w:rPr>
              <w:b/>
              <w:bCs/>
            </w:rPr>
          </w:pPr>
          <w:hyperlink w:anchor="_dggi6yvrzbne">
            <w:r>
              <w:rPr>
                <w:b/>
                <w:bCs/>
              </w:rPr>
              <w:t>3. Communication Analysis</w:t>
            </w:r>
            <w:r>
              <w:rPr>
                <w:b/>
                <w:bCs/>
              </w:rPr>
              <w:tab/>
              <w:t>14</w:t>
            </w:r>
          </w:hyperlink>
        </w:p>
        <w:p w14:paraId="2CF103C7" w14:textId="77777777" w:rsidR="0043462F" w:rsidRDefault="00644829">
          <w:pPr>
            <w:widowControl w:val="0"/>
            <w:tabs>
              <w:tab w:val="right" w:leader="dot" w:pos="12000"/>
            </w:tabs>
            <w:spacing w:before="60" w:line="240" w:lineRule="auto"/>
            <w:rPr>
              <w:b/>
              <w:bCs/>
            </w:rPr>
          </w:pPr>
          <w:hyperlink w:anchor="_164g798iqd06">
            <w:r>
              <w:rPr>
                <w:b/>
                <w:bCs/>
              </w:rPr>
              <w:t>4. File Analysis</w:t>
            </w:r>
            <w:r>
              <w:rPr>
                <w:b/>
                <w:bCs/>
              </w:rPr>
              <w:tab/>
              <w:t>15</w:t>
            </w:r>
          </w:hyperlink>
        </w:p>
        <w:p w14:paraId="352AA84F" w14:textId="77777777" w:rsidR="0043462F" w:rsidRDefault="00644829">
          <w:pPr>
            <w:widowControl w:val="0"/>
            <w:tabs>
              <w:tab w:val="right" w:leader="dot" w:pos="12000"/>
            </w:tabs>
            <w:spacing w:before="60" w:line="240" w:lineRule="auto"/>
            <w:rPr>
              <w:b/>
              <w:bCs/>
            </w:rPr>
          </w:pPr>
          <w:hyperlink w:anchor="_fboc5ab5lxxn">
            <w:r>
              <w:rPr>
                <w:b/>
                <w:bCs/>
              </w:rPr>
              <w:t>5. Call Log and Email Correlation</w:t>
            </w:r>
            <w:r>
              <w:rPr>
                <w:b/>
                <w:bCs/>
              </w:rPr>
              <w:tab/>
              <w:t>16</w:t>
            </w:r>
          </w:hyperlink>
        </w:p>
        <w:p w14:paraId="4087AF53" w14:textId="77777777" w:rsidR="0043462F" w:rsidRDefault="00644829">
          <w:pPr>
            <w:widowControl w:val="0"/>
            <w:tabs>
              <w:tab w:val="right" w:leader="dot" w:pos="12000"/>
            </w:tabs>
            <w:spacing w:before="60" w:line="240" w:lineRule="auto"/>
            <w:rPr>
              <w:b/>
              <w:bCs/>
            </w:rPr>
          </w:pPr>
          <w:hyperlink w:anchor="_edfd4li2ud7">
            <w:r>
              <w:rPr>
                <w:b/>
                <w:bCs/>
              </w:rPr>
              <w:t>6. Suspect Profiling</w:t>
            </w:r>
            <w:r>
              <w:rPr>
                <w:b/>
                <w:bCs/>
              </w:rPr>
              <w:tab/>
              <w:t>17</w:t>
            </w:r>
          </w:hyperlink>
        </w:p>
        <w:p w14:paraId="305DC7B7" w14:textId="77777777" w:rsidR="0043462F" w:rsidRDefault="00644829">
          <w:pPr>
            <w:widowControl w:val="0"/>
            <w:tabs>
              <w:tab w:val="right" w:leader="dot" w:pos="12000"/>
            </w:tabs>
            <w:spacing w:before="60" w:line="240" w:lineRule="auto"/>
            <w:rPr>
              <w:b/>
              <w:bCs/>
            </w:rPr>
          </w:pPr>
          <w:hyperlink w:anchor="_hdiqfai696hr">
            <w:r>
              <w:rPr>
                <w:b/>
                <w:bCs/>
              </w:rPr>
              <w:t>7. Forensic Images</w:t>
            </w:r>
            <w:r>
              <w:rPr>
                <w:b/>
                <w:bCs/>
              </w:rPr>
              <w:tab/>
              <w:t>18</w:t>
            </w:r>
          </w:hyperlink>
        </w:p>
        <w:p w14:paraId="18C372AD" w14:textId="77777777" w:rsidR="0043462F" w:rsidRDefault="00644829">
          <w:pPr>
            <w:widowControl w:val="0"/>
            <w:tabs>
              <w:tab w:val="right" w:leader="dot" w:pos="12000"/>
            </w:tabs>
            <w:spacing w:before="60" w:line="240" w:lineRule="auto"/>
            <w:rPr>
              <w:b/>
              <w:bCs/>
            </w:rPr>
          </w:pPr>
          <w:hyperlink w:anchor="_jpovivtjkir9">
            <w:r>
              <w:rPr>
                <w:b/>
                <w:bCs/>
              </w:rPr>
              <w:t>8. Forensic Report</w:t>
            </w:r>
            <w:r>
              <w:rPr>
                <w:b/>
                <w:bCs/>
              </w:rPr>
              <w:tab/>
              <w:t>18</w:t>
            </w:r>
          </w:hyperlink>
        </w:p>
        <w:p w14:paraId="1D131D5C" w14:textId="77777777" w:rsidR="0043462F" w:rsidRDefault="00644829">
          <w:pPr>
            <w:widowControl w:val="0"/>
            <w:tabs>
              <w:tab w:val="right" w:leader="dot" w:pos="12000"/>
            </w:tabs>
            <w:spacing w:before="60" w:line="240" w:lineRule="auto"/>
            <w:ind w:left="360"/>
          </w:pPr>
          <w:hyperlink w:anchor="_xx52eiw88twm">
            <w:r>
              <w:t>8.1 Case Background</w:t>
            </w:r>
            <w:r>
              <w:tab/>
              <w:t>18</w:t>
            </w:r>
          </w:hyperlink>
        </w:p>
        <w:p w14:paraId="015A02FB" w14:textId="77777777" w:rsidR="0043462F" w:rsidRDefault="00644829">
          <w:pPr>
            <w:widowControl w:val="0"/>
            <w:tabs>
              <w:tab w:val="right" w:leader="dot" w:pos="12000"/>
            </w:tabs>
            <w:spacing w:before="60" w:line="240" w:lineRule="auto"/>
            <w:ind w:left="360"/>
          </w:pPr>
          <w:hyperlink w:anchor="_agywvos03ovb">
            <w:r>
              <w:t>8.2 Evidence Inventory</w:t>
            </w:r>
            <w:r>
              <w:tab/>
              <w:t>18</w:t>
            </w:r>
          </w:hyperlink>
        </w:p>
        <w:p w14:paraId="7530FF44" w14:textId="77777777" w:rsidR="0043462F" w:rsidRDefault="00644829">
          <w:pPr>
            <w:widowControl w:val="0"/>
            <w:tabs>
              <w:tab w:val="right" w:leader="dot" w:pos="12000"/>
            </w:tabs>
            <w:spacing w:before="60" w:line="240" w:lineRule="auto"/>
            <w:ind w:left="360"/>
          </w:pPr>
          <w:hyperlink w:anchor="_6312k1l84ajq">
            <w:r>
              <w:t>8.3 Methodology</w:t>
            </w:r>
            <w:r>
              <w:tab/>
              <w:t>19</w:t>
            </w:r>
          </w:hyperlink>
        </w:p>
        <w:p w14:paraId="73BDDAB9" w14:textId="77777777" w:rsidR="0043462F" w:rsidRDefault="00644829">
          <w:pPr>
            <w:widowControl w:val="0"/>
            <w:tabs>
              <w:tab w:val="right" w:leader="dot" w:pos="12000"/>
            </w:tabs>
            <w:spacing w:before="60" w:line="240" w:lineRule="auto"/>
            <w:ind w:left="360"/>
          </w:pPr>
          <w:hyperlink w:anchor="_bcgli3yde81u">
            <w:r>
              <w:t>8.4 Findings</w:t>
            </w:r>
            <w:r>
              <w:tab/>
              <w:t>19</w:t>
            </w:r>
          </w:hyperlink>
        </w:p>
        <w:p w14:paraId="557CDCB9" w14:textId="77777777" w:rsidR="0043462F" w:rsidRDefault="00644829">
          <w:pPr>
            <w:widowControl w:val="0"/>
            <w:tabs>
              <w:tab w:val="right" w:leader="dot" w:pos="12000"/>
            </w:tabs>
            <w:spacing w:before="60" w:line="240" w:lineRule="auto"/>
            <w:ind w:left="360"/>
          </w:pPr>
          <w:hyperlink w:anchor="_89qsdzhb58qq">
            <w:r>
              <w:t>8.5 Conclusion</w:t>
            </w:r>
            <w:r>
              <w:tab/>
              <w:t>20</w:t>
            </w:r>
          </w:hyperlink>
        </w:p>
        <w:p w14:paraId="322C863E" w14:textId="77777777" w:rsidR="0043462F" w:rsidRDefault="00644829">
          <w:pPr>
            <w:widowControl w:val="0"/>
            <w:tabs>
              <w:tab w:val="right" w:leader="dot" w:pos="12000"/>
            </w:tabs>
            <w:spacing w:before="60" w:line="240" w:lineRule="auto"/>
            <w:ind w:left="360"/>
          </w:pPr>
          <w:hyperlink w:anchor="_qw97j0be4fav">
            <w:r>
              <w:t>8.6 Recommendations</w:t>
            </w:r>
            <w:r>
              <w:tab/>
              <w:t>20</w:t>
            </w:r>
          </w:hyperlink>
        </w:p>
        <w:p w14:paraId="7126B49D" w14:textId="77777777" w:rsidR="0043462F" w:rsidRDefault="00644829">
          <w:pPr>
            <w:widowControl w:val="0"/>
            <w:tabs>
              <w:tab w:val="right" w:leader="dot" w:pos="12000"/>
            </w:tabs>
            <w:spacing w:before="60" w:line="240" w:lineRule="auto"/>
            <w:rPr>
              <w:b/>
              <w:bCs/>
            </w:rPr>
          </w:pPr>
          <w:hyperlink w:anchor="_hq1x6xlxj1wz">
            <w:r>
              <w:rPr>
                <w:b/>
                <w:bCs/>
              </w:rPr>
              <w:t>9. Analysis And Outcomes</w:t>
            </w:r>
            <w:r>
              <w:rPr>
                <w:b/>
                <w:bCs/>
              </w:rPr>
              <w:tab/>
              <w:t>20</w:t>
            </w:r>
          </w:hyperlink>
        </w:p>
        <w:p w14:paraId="74EBDECC" w14:textId="77777777" w:rsidR="0043462F" w:rsidRDefault="00644829">
          <w:pPr>
            <w:widowControl w:val="0"/>
            <w:tabs>
              <w:tab w:val="right" w:leader="dot" w:pos="12000"/>
            </w:tabs>
            <w:spacing w:before="60" w:line="240" w:lineRule="auto"/>
            <w:rPr>
              <w:b/>
              <w:bCs/>
            </w:rPr>
          </w:pPr>
          <w:hyperlink w:anchor="_9wb9py8zrxak">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22</w:t>
            </w:r>
          </w:hyperlink>
          <w:r>
            <w:fldChar w:fldCharType="end"/>
          </w:r>
        </w:p>
      </w:sdtContent>
    </w:sdt>
    <w:p w14:paraId="17CF2A61" w14:textId="77777777" w:rsidR="0043462F" w:rsidRDefault="00644829">
      <w:pPr>
        <w:spacing w:line="360" w:lineRule="auto"/>
        <w:rPr>
          <w:rFonts w:ascii="Times New Roman" w:eastAsia="Times New Roman" w:hAnsi="Times New Roman" w:cs="Times New Roman"/>
          <w:b/>
          <w:bCs/>
          <w:sz w:val="28"/>
          <w:szCs w:val="28"/>
        </w:rPr>
      </w:pPr>
      <w:r>
        <w:br w:type="page"/>
      </w:r>
    </w:p>
    <w:p w14:paraId="01997EDE"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78A4C3E4"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63FBF957"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54995931"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19FF9DCC"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7E554B49" w14:textId="77777777" w:rsidR="0043462F" w:rsidRDefault="00644829">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TASK 1: DIGITAL FORENSICS: CURRENT STATE, TOOLS, TRENDS AND INDUSTRY DEMAND</w:t>
      </w:r>
      <w:r>
        <w:br w:type="page"/>
      </w:r>
    </w:p>
    <w:p w14:paraId="293627DB" w14:textId="77777777" w:rsidR="0043462F" w:rsidRDefault="00644829">
      <w:pPr>
        <w:pStyle w:val="Heading1"/>
        <w:spacing w:line="360" w:lineRule="auto"/>
      </w:pPr>
      <w:bookmarkStart w:id="1" w:name="_3y1aqh6pudol" w:colFirst="0" w:colLast="0"/>
      <w:bookmarkEnd w:id="1"/>
      <w:r>
        <w:lastRenderedPageBreak/>
        <w:t>1. Current State of Digital Forensics</w:t>
      </w:r>
    </w:p>
    <w:p w14:paraId="1DA3CB9C"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the area of forensic science which is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identification, preservation, analysis, and presentation of digital evidence that has been gathered after the use of electronic equipment. This equipment is computers, smartphones, servers and storage media and network systems. The contemporary digital world has made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individuals depend on technology in communication, the improvement of business activities and data storage. Consequently, there has been a high rate of cybercrime, which is generating more crime investigations needing digital forensics.</w:t>
      </w:r>
    </w:p>
    <w:p w14:paraId="2FC6EB5A"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one of the main tools used in the investigation of cybercrime. Forensic methods help law enforcement agencies trace the actions of criminals that are carried out with the help of a computer or cell phone (Casino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Corporate investigations also extensively involve digital forensics, especially where corporate espionage is suspected or where an insider threat is involved. Among other things, employees can steal company data, intellectual property, or trade secrets and disclose them to their rivals. </w:t>
      </w:r>
    </w:p>
    <w:p w14:paraId="7D3FA0B3" w14:textId="77777777" w:rsidR="0043462F" w:rsidRDefault="00644829">
      <w:pPr>
        <w:pStyle w:val="Heading1"/>
        <w:spacing w:line="360" w:lineRule="auto"/>
      </w:pPr>
      <w:bookmarkStart w:id="2" w:name="_gcfklnc7my2i" w:colFirst="0" w:colLast="0"/>
      <w:bookmarkEnd w:id="2"/>
      <w:r>
        <w:t>2. Digital Forensics Tools (Features and Capabilities)</w:t>
      </w:r>
    </w:p>
    <w:p w14:paraId="0D04FE66"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 investigations are based on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tools that are used in the collection, preservation, and analysis of digital evidence without causing a change in original data. These tools enable an investigator to carry out intricate analyses effectively without interfering with the evidence. The first commonly used tool is Autopsy, an open source digital forensic platform which assists the investigator in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disk images and recovering digital evidence. Autopsy offers file system analysis, keyword, deleted files and timeline analysis features.</w:t>
      </w:r>
    </w:p>
    <w:p w14:paraId="13A03CD7"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FTK Imager is also another important tool whose main purpose is to acquire evidence. The FTK Imager enables the investigator to produce a forensic image of the storage media, like a hard disk, USB disk, or memory card (</w:t>
      </w:r>
      <w:r>
        <w:rPr>
          <w:rFonts w:ascii="Times New Roman" w:eastAsia="Times New Roman" w:hAnsi="Times New Roman" w:cs="Times New Roman"/>
          <w:sz w:val="24"/>
          <w:szCs w:val="24"/>
          <w:highlight w:val="white"/>
        </w:rPr>
        <w:t>Dubey, Bhatt and Negi, 2023</w:t>
      </w:r>
      <w:r>
        <w:rPr>
          <w:rFonts w:ascii="Times New Roman" w:eastAsia="Times New Roman" w:hAnsi="Times New Roman" w:cs="Times New Roman"/>
          <w:sz w:val="24"/>
          <w:szCs w:val="24"/>
        </w:rPr>
        <w:t xml:space="preserve">). Cellebrite is a popular mobile forensic application which is able to extract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data on smartphones and tablets. It is able to retrieve lost messages, call records, social network messages and application data available in mobile devices.</w:t>
      </w:r>
    </w:p>
    <w:p w14:paraId="054AB6E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professional digital forensic tool is EnCase, which is used in a thorough investigation. It also offers superior capabilities in data acquisition, file analysis, evidence management and reporting. Wireshark is a network analysis tool which is used to capture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network traffic. It enables </w:t>
      </w:r>
      <w:r>
        <w:rPr>
          <w:rFonts w:ascii="Times New Roman" w:eastAsia="Times New Roman" w:hAnsi="Times New Roman" w:cs="Times New Roman"/>
          <w:sz w:val="24"/>
          <w:szCs w:val="24"/>
        </w:rPr>
        <w:lastRenderedPageBreak/>
        <w:t xml:space="preserve">the investigator to trace data packets shared over the network, suspicious activities,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possible cyberattacks. </w:t>
      </w:r>
    </w:p>
    <w:p w14:paraId="1E57C1F8" w14:textId="77777777" w:rsidR="0043462F" w:rsidRDefault="00644829">
      <w:pPr>
        <w:pStyle w:val="Heading1"/>
        <w:spacing w:line="360" w:lineRule="auto"/>
      </w:pPr>
      <w:bookmarkStart w:id="3" w:name="_5h8ascz4oedy" w:colFirst="0" w:colLast="0"/>
      <w:bookmarkEnd w:id="3"/>
      <w:r>
        <w:t>3. Intersection of Digital Forensics and Cybersecurity</w:t>
      </w:r>
    </w:p>
    <w:p w14:paraId="27B8F8D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and cybersecurity are two fields that are closely interconnected, as they collaborate in ensuring the safety of digital systems and the investigation of security incidents. Although cybersecurity is concerned with the prevention of cyberattacks and securing information systems, digital forensics is conducted after they have taken place. Some of the security measures that are tested by cybersecurity personnel in a modern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include firewalls, intrusion detection systems, encryption, and access controls to contain cyber threats.</w:t>
      </w:r>
    </w:p>
    <w:p w14:paraId="7E2F67AF"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Incident response is one of the areas of intersection between these fields. A cyberattack involves incident response teams to contain the attack, damage mitigation, and re-creation of damaged systems (</w:t>
      </w:r>
      <w:r>
        <w:rPr>
          <w:rFonts w:ascii="Times New Roman" w:eastAsia="Times New Roman" w:hAnsi="Times New Roman" w:cs="Times New Roman"/>
          <w:sz w:val="24"/>
          <w:szCs w:val="24"/>
          <w:highlight w:val="white"/>
        </w:rPr>
        <w:t xml:space="preserve">Cook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One more major field is malware analysis. Militants typically build rogue software to infiltrate systems and steal data. Digital forensic investigators make malware samples worth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to comprehend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malware, the vulnerability of malware and how it broke into the system.</w:t>
      </w:r>
    </w:p>
    <w:p w14:paraId="7BA99005"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also necessary in investigating breaches of data.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to identify how hackers entered the sensitive information and what they have stolen. Another significant issue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is insider threats. Internal users or employees may misuse their access privileges deliberately to steal confidential information or destroy systems. </w:t>
      </w:r>
    </w:p>
    <w:p w14:paraId="3306FBF0" w14:textId="77777777" w:rsidR="0043462F" w:rsidRDefault="00644829">
      <w:pPr>
        <w:pStyle w:val="Heading1"/>
        <w:spacing w:line="360" w:lineRule="auto"/>
      </w:pPr>
      <w:bookmarkStart w:id="4" w:name="_illlsy1fij6f" w:colFirst="0" w:colLast="0"/>
      <w:bookmarkEnd w:id="4"/>
      <w:r>
        <w:t>4. Emerging Trends in Digital Forensics</w:t>
      </w:r>
    </w:p>
    <w:p w14:paraId="2DFC043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advancement in technology, digital forensics keeps up with the new challenges and technological changes. There are a number of emerging trends that will influence the future of digital forensic investigations. Cloud forensics has become one of the trends. Data in many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is stored in cloud environments of Amazon Web Services, Microsoft Azure, and Google Cloud.</w:t>
      </w:r>
    </w:p>
    <w:p w14:paraId="383AD6F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(AI) in digital forensics is another new trend. The automation of the forensic analysis, detection of suspicious patterns, and processing of large amounts of digital evidence is becoming increasingly automated due to the use of AI and machine learning algorithms. The Internet of Things (IoT) forensics is becoming significant as well. Smart home, wearable, and connected </w:t>
      </w:r>
      <w:r>
        <w:rPr>
          <w:rFonts w:ascii="Times New Roman" w:eastAsia="Times New Roman" w:hAnsi="Times New Roman" w:cs="Times New Roman"/>
          <w:sz w:val="24"/>
          <w:szCs w:val="24"/>
        </w:rPr>
        <w:lastRenderedPageBreak/>
        <w:t>appliances are examples of IoT devices that can generate substantial amounts of data, which can potentially hold prime evidence during investigations. The challenges of data analysis of these devices are, however, peculiar (</w:t>
      </w:r>
      <w:proofErr w:type="spellStart"/>
      <w:r>
        <w:rPr>
          <w:rFonts w:ascii="Times New Roman" w:eastAsia="Times New Roman" w:hAnsi="Times New Roman" w:cs="Times New Roman"/>
          <w:sz w:val="24"/>
          <w:szCs w:val="24"/>
          <w:highlight w:val="white"/>
        </w:rPr>
        <w:t>Ghonge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Another emerging field of digital investigations is blockchain forensics. Cryptocurrencies like Bitcoin and Ethereum have frequently been used in cybercrime to conduct ransomware and unlawful transactions. </w:t>
      </w:r>
    </w:p>
    <w:p w14:paraId="4455E73F" w14:textId="77777777" w:rsidR="0043462F" w:rsidRDefault="00644829">
      <w:pPr>
        <w:pStyle w:val="Heading1"/>
        <w:spacing w:line="360" w:lineRule="auto"/>
      </w:pPr>
      <w:bookmarkStart w:id="5" w:name="_pnpxcxjrxy2v" w:colFirst="0" w:colLast="0"/>
      <w:bookmarkEnd w:id="5"/>
      <w:r>
        <w:t>5. Key Challenges in Digital Forensics</w:t>
      </w:r>
    </w:p>
    <w:p w14:paraId="2E953F18"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also has a number of challenges that make the investigation difficult despite its significance. Encryption is extensively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which is one of the greatest challenges. A second issue is that modern systems are generating vast amounts of digital data. The various devices that investigators need to examine involve terabytes of data, and this may consume a lot of time when the process involves the investigation.</w:t>
      </w:r>
    </w:p>
    <w:p w14:paraId="2EA24214"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also a significant challenge of anti-forensic methods. Cybercriminals might deliberately seek to conceal or delete electronic evidence by wiping data, encrypting information, tampering with the logs, etc. Digital investigation can also be complicated by legal and jurisdictional problems. Attackers and servers of cybercrimes have often been located in diverse countries and thus, the investigators have been unable to legally access the digital evidence.</w:t>
      </w:r>
    </w:p>
    <w:p w14:paraId="21CDC23F" w14:textId="77777777" w:rsidR="0043462F" w:rsidRDefault="00644829">
      <w:pPr>
        <w:pStyle w:val="Heading1"/>
        <w:spacing w:line="360" w:lineRule="auto"/>
      </w:pPr>
      <w:bookmarkStart w:id="6" w:name="_fkn3z84w6x4q" w:colFirst="0" w:colLast="0"/>
      <w:bookmarkEnd w:id="6"/>
      <w:r>
        <w:t>6. National and International Job Market</w:t>
      </w:r>
    </w:p>
    <w:p w14:paraId="6DA1C194"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number of digital crimes and data losses has caused the demand for digital forensic professionals to increase. There is a need to employ qualified experts to probe into cybercrimes and examine digital evidence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different sectors. The typical examples of employment in this industry are Digital Forensics Analyst, Incident Response Specialist, Cybercrime Investigator, Malware Analyst, and Cybersecurity Consultant. The high demand for digital forensic experts has been witnessed in countries like the United Kingdom, the United States, India and most countries in Europe. There is a recruitment drive in government agencies, financial institutions, technology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and consulting firms to find those professionals who have knowledge of digital investigations.</w:t>
      </w:r>
      <w:r>
        <w:br w:type="page"/>
      </w:r>
    </w:p>
    <w:p w14:paraId="718C2AAC" w14:textId="77777777" w:rsidR="0043462F" w:rsidRDefault="00644829">
      <w:pPr>
        <w:pStyle w:val="Heading1"/>
        <w:spacing w:line="360" w:lineRule="auto"/>
      </w:pPr>
      <w:bookmarkStart w:id="7" w:name="_iqs2k84qsp5q" w:colFirst="0" w:colLast="0"/>
      <w:bookmarkEnd w:id="7"/>
      <w:r>
        <w:lastRenderedPageBreak/>
        <w:t>References</w:t>
      </w:r>
    </w:p>
    <w:p w14:paraId="294DF582"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Casino, F., </w:t>
      </w:r>
      <w:proofErr w:type="spellStart"/>
      <w:r>
        <w:rPr>
          <w:rFonts w:ascii="Times New Roman" w:eastAsia="Times New Roman" w:hAnsi="Times New Roman" w:cs="Times New Roman"/>
          <w:sz w:val="24"/>
          <w:szCs w:val="24"/>
          <w:highlight w:val="white"/>
        </w:rPr>
        <w:t>Dasaklis</w:t>
      </w:r>
      <w:proofErr w:type="spellEnd"/>
      <w:r>
        <w:rPr>
          <w:rFonts w:ascii="Times New Roman" w:eastAsia="Times New Roman" w:hAnsi="Times New Roman" w:cs="Times New Roman"/>
          <w:sz w:val="24"/>
          <w:szCs w:val="24"/>
          <w:highlight w:val="white"/>
        </w:rPr>
        <w:t xml:space="preserve">, T.K., </w:t>
      </w:r>
      <w:proofErr w:type="spellStart"/>
      <w:r>
        <w:rPr>
          <w:rFonts w:ascii="Times New Roman" w:eastAsia="Times New Roman" w:hAnsi="Times New Roman" w:cs="Times New Roman"/>
          <w:sz w:val="24"/>
          <w:szCs w:val="24"/>
          <w:highlight w:val="white"/>
        </w:rPr>
        <w:t>Spathoulas</w:t>
      </w:r>
      <w:proofErr w:type="spellEnd"/>
      <w:r>
        <w:rPr>
          <w:rFonts w:ascii="Times New Roman" w:eastAsia="Times New Roman" w:hAnsi="Times New Roman" w:cs="Times New Roman"/>
          <w:sz w:val="24"/>
          <w:szCs w:val="24"/>
          <w:highlight w:val="white"/>
        </w:rPr>
        <w:t xml:space="preserve">, G.P., Anagnostopoulos, M., Ghosal, A., </w:t>
      </w:r>
      <w:proofErr w:type="spellStart"/>
      <w:r>
        <w:rPr>
          <w:rFonts w:ascii="Times New Roman" w:eastAsia="Times New Roman" w:hAnsi="Times New Roman" w:cs="Times New Roman"/>
          <w:sz w:val="24"/>
          <w:szCs w:val="24"/>
          <w:highlight w:val="white"/>
        </w:rPr>
        <w:t>Borocz</w:t>
      </w:r>
      <w:proofErr w:type="spellEnd"/>
      <w:r>
        <w:rPr>
          <w:rFonts w:ascii="Times New Roman" w:eastAsia="Times New Roman" w:hAnsi="Times New Roman" w:cs="Times New Roman"/>
          <w:sz w:val="24"/>
          <w:szCs w:val="24"/>
          <w:highlight w:val="white"/>
        </w:rPr>
        <w:t xml:space="preserve">, I., Solanas, A., Conti, M. and </w:t>
      </w:r>
      <w:proofErr w:type="spellStart"/>
      <w:r>
        <w:rPr>
          <w:rFonts w:ascii="Times New Roman" w:eastAsia="Times New Roman" w:hAnsi="Times New Roman" w:cs="Times New Roman"/>
          <w:sz w:val="24"/>
          <w:szCs w:val="24"/>
          <w:highlight w:val="white"/>
        </w:rPr>
        <w:t>Patsakis</w:t>
      </w:r>
      <w:proofErr w:type="spellEnd"/>
      <w:r>
        <w:rPr>
          <w:rFonts w:ascii="Times New Roman" w:eastAsia="Times New Roman" w:hAnsi="Times New Roman" w:cs="Times New Roman"/>
          <w:sz w:val="24"/>
          <w:szCs w:val="24"/>
          <w:highlight w:val="white"/>
        </w:rPr>
        <w:t xml:space="preserve">, C., 2022. Research trends, challenges, and emerging topics in digital forensics: A review of reviews. </w:t>
      </w:r>
      <w:proofErr w:type="spellStart"/>
      <w:r>
        <w:rPr>
          <w:rFonts w:ascii="Times New Roman" w:eastAsia="Times New Roman" w:hAnsi="Times New Roman" w:cs="Times New Roman"/>
          <w:i/>
          <w:iCs/>
          <w:sz w:val="24"/>
          <w:szCs w:val="24"/>
        </w:rPr>
        <w:t>Ieee</w:t>
      </w:r>
      <w:proofErr w:type="spellEnd"/>
      <w:r>
        <w:rPr>
          <w:rFonts w:ascii="Times New Roman" w:eastAsia="Times New Roman" w:hAnsi="Times New Roman" w:cs="Times New Roman"/>
          <w:i/>
          <w:iCs/>
          <w:sz w:val="24"/>
          <w:szCs w:val="24"/>
        </w:rPr>
        <w:t xml:space="preserve"> Access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 pp.25464-25493.</w:t>
      </w:r>
    </w:p>
    <w:p w14:paraId="2ED03ACB"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Cook, M., </w:t>
      </w:r>
      <w:proofErr w:type="spellStart"/>
      <w:r>
        <w:rPr>
          <w:rFonts w:ascii="Times New Roman" w:eastAsia="Times New Roman" w:hAnsi="Times New Roman" w:cs="Times New Roman"/>
          <w:sz w:val="24"/>
          <w:szCs w:val="24"/>
          <w:highlight w:val="white"/>
        </w:rPr>
        <w:t>Marnerides</w:t>
      </w:r>
      <w:proofErr w:type="spellEnd"/>
      <w:r>
        <w:rPr>
          <w:rFonts w:ascii="Times New Roman" w:eastAsia="Times New Roman" w:hAnsi="Times New Roman" w:cs="Times New Roman"/>
          <w:sz w:val="24"/>
          <w:szCs w:val="24"/>
          <w:highlight w:val="white"/>
        </w:rPr>
        <w:t xml:space="preserve">, A., Johnson, C. and </w:t>
      </w:r>
      <w:proofErr w:type="spellStart"/>
      <w:r>
        <w:rPr>
          <w:rFonts w:ascii="Times New Roman" w:eastAsia="Times New Roman" w:hAnsi="Times New Roman" w:cs="Times New Roman"/>
          <w:sz w:val="24"/>
          <w:szCs w:val="24"/>
          <w:highlight w:val="white"/>
        </w:rPr>
        <w:t>Pezaros</w:t>
      </w:r>
      <w:proofErr w:type="spellEnd"/>
      <w:r>
        <w:rPr>
          <w:rFonts w:ascii="Times New Roman" w:eastAsia="Times New Roman" w:hAnsi="Times New Roman" w:cs="Times New Roman"/>
          <w:sz w:val="24"/>
          <w:szCs w:val="24"/>
          <w:highlight w:val="white"/>
        </w:rPr>
        <w:t xml:space="preserve">, D., 2023. A survey on industrial control system digital forensics: challenges, advances and future directions. </w:t>
      </w:r>
      <w:r>
        <w:rPr>
          <w:rFonts w:ascii="Times New Roman" w:eastAsia="Times New Roman" w:hAnsi="Times New Roman" w:cs="Times New Roman"/>
          <w:i/>
          <w:iCs/>
          <w:sz w:val="24"/>
          <w:szCs w:val="24"/>
        </w:rPr>
        <w:t>IEEE communications surveys &amp; tutorials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25</w:t>
      </w:r>
      <w:r>
        <w:rPr>
          <w:rFonts w:ascii="Times New Roman" w:eastAsia="Times New Roman" w:hAnsi="Times New Roman" w:cs="Times New Roman"/>
          <w:sz w:val="24"/>
          <w:szCs w:val="24"/>
        </w:rPr>
        <w:t>(3), pp.1705-1747.</w:t>
      </w:r>
    </w:p>
    <w:p w14:paraId="056C4AED"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Dubey, H., Bhatt, S. and Negi, L., 2023. Digital Forensics Techniques and Trends: A Review. </w:t>
      </w:r>
      <w:r>
        <w:rPr>
          <w:rFonts w:ascii="Times New Roman" w:eastAsia="Times New Roman" w:hAnsi="Times New Roman" w:cs="Times New Roman"/>
          <w:i/>
          <w:iCs/>
          <w:sz w:val="24"/>
          <w:szCs w:val="24"/>
        </w:rPr>
        <w:t>International Arab Journal of Information Technology (IAJIT)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w:t>
      </w:r>
      <w:r>
        <w:rPr>
          <w:rFonts w:ascii="Times New Roman" w:eastAsia="Times New Roman" w:hAnsi="Times New Roman" w:cs="Times New Roman"/>
          <w:sz w:val="24"/>
          <w:szCs w:val="24"/>
        </w:rPr>
        <w:t>(4).</w:t>
      </w:r>
    </w:p>
    <w:p w14:paraId="26831D06" w14:textId="77777777" w:rsidR="0043462F" w:rsidRDefault="0064482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Ghonge</w:t>
      </w:r>
      <w:proofErr w:type="spellEnd"/>
      <w:r>
        <w:rPr>
          <w:rFonts w:ascii="Times New Roman" w:eastAsia="Times New Roman" w:hAnsi="Times New Roman" w:cs="Times New Roman"/>
          <w:sz w:val="24"/>
          <w:szCs w:val="24"/>
          <w:highlight w:val="white"/>
        </w:rPr>
        <w:t xml:space="preserve">, M.M., Pramanik, S., </w:t>
      </w:r>
      <w:proofErr w:type="spellStart"/>
      <w:r>
        <w:rPr>
          <w:rFonts w:ascii="Times New Roman" w:eastAsia="Times New Roman" w:hAnsi="Times New Roman" w:cs="Times New Roman"/>
          <w:sz w:val="24"/>
          <w:szCs w:val="24"/>
          <w:highlight w:val="white"/>
        </w:rPr>
        <w:t>Mangrulkar</w:t>
      </w:r>
      <w:proofErr w:type="spellEnd"/>
      <w:r>
        <w:rPr>
          <w:rFonts w:ascii="Times New Roman" w:eastAsia="Times New Roman" w:hAnsi="Times New Roman" w:cs="Times New Roman"/>
          <w:sz w:val="24"/>
          <w:szCs w:val="24"/>
          <w:highlight w:val="white"/>
        </w:rPr>
        <w:t xml:space="preserve">, R. and Le, D.N. eds., 2022. </w:t>
      </w:r>
      <w:r>
        <w:rPr>
          <w:rFonts w:ascii="Times New Roman" w:eastAsia="Times New Roman" w:hAnsi="Times New Roman" w:cs="Times New Roman"/>
          <w:i/>
          <w:iCs/>
          <w:sz w:val="24"/>
          <w:szCs w:val="24"/>
        </w:rPr>
        <w:t>Cyber security and digital forensics: Challenges and future trends</w:t>
      </w:r>
      <w:r>
        <w:rPr>
          <w:rFonts w:ascii="Times New Roman" w:eastAsia="Times New Roman" w:hAnsi="Times New Roman" w:cs="Times New Roman"/>
          <w:sz w:val="24"/>
          <w:szCs w:val="24"/>
        </w:rPr>
        <w:t>. John Wiley &amp; Sons.</w:t>
      </w:r>
      <w:r>
        <w:br w:type="page"/>
      </w:r>
    </w:p>
    <w:p w14:paraId="0EFD2821" w14:textId="77777777" w:rsidR="0043462F" w:rsidRDefault="0043462F">
      <w:pPr>
        <w:spacing w:before="240" w:after="240" w:line="360" w:lineRule="auto"/>
        <w:jc w:val="center"/>
        <w:rPr>
          <w:rFonts w:ascii="Times New Roman" w:eastAsia="Times New Roman" w:hAnsi="Times New Roman" w:cs="Times New Roman"/>
          <w:sz w:val="24"/>
          <w:szCs w:val="24"/>
        </w:rPr>
      </w:pPr>
    </w:p>
    <w:p w14:paraId="20F92F44" w14:textId="77777777" w:rsidR="0043462F" w:rsidRDefault="0043462F">
      <w:pPr>
        <w:spacing w:before="240" w:after="240" w:line="360" w:lineRule="auto"/>
        <w:jc w:val="center"/>
        <w:rPr>
          <w:rFonts w:ascii="Times New Roman" w:eastAsia="Times New Roman" w:hAnsi="Times New Roman" w:cs="Times New Roman"/>
          <w:sz w:val="24"/>
          <w:szCs w:val="24"/>
        </w:rPr>
      </w:pPr>
    </w:p>
    <w:p w14:paraId="1296FCCD" w14:textId="77777777" w:rsidR="0043462F" w:rsidRDefault="0043462F">
      <w:pPr>
        <w:spacing w:before="240" w:after="240" w:line="360" w:lineRule="auto"/>
        <w:jc w:val="center"/>
        <w:rPr>
          <w:rFonts w:ascii="Times New Roman" w:eastAsia="Times New Roman" w:hAnsi="Times New Roman" w:cs="Times New Roman"/>
          <w:sz w:val="24"/>
          <w:szCs w:val="24"/>
        </w:rPr>
      </w:pPr>
    </w:p>
    <w:p w14:paraId="456D07AF"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02CC9BCB" w14:textId="77777777" w:rsidR="0043462F" w:rsidRDefault="0043462F">
      <w:pPr>
        <w:spacing w:before="240" w:after="240" w:line="360" w:lineRule="auto"/>
        <w:jc w:val="center"/>
        <w:rPr>
          <w:rFonts w:ascii="Times New Roman" w:eastAsia="Times New Roman" w:hAnsi="Times New Roman" w:cs="Times New Roman"/>
          <w:b/>
          <w:bCs/>
          <w:sz w:val="32"/>
          <w:szCs w:val="32"/>
        </w:rPr>
      </w:pPr>
    </w:p>
    <w:p w14:paraId="7E817EB4" w14:textId="77777777" w:rsidR="0043462F" w:rsidRDefault="00644829">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TASK 2: DIGITAL FORENSIC INVESTIGATION REPORT</w:t>
      </w:r>
    </w:p>
    <w:p w14:paraId="48E6B5EE" w14:textId="77777777" w:rsidR="0043462F" w:rsidRDefault="00644829">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CASE TITLE: INVESTIGATION OF INTELLECTUAL PROPERTY THEFT AT QUANTUM TECH</w:t>
      </w:r>
      <w:r>
        <w:rPr>
          <w:rFonts w:ascii="Times New Roman" w:eastAsia="Times New Roman" w:hAnsi="Times New Roman" w:cs="Times New Roman"/>
          <w:b/>
          <w:bCs/>
          <w:sz w:val="24"/>
          <w:szCs w:val="24"/>
        </w:rPr>
        <w:br/>
        <w:t xml:space="preserve"> CASE ID: QT-AI-2025 INVESTIGATION</w:t>
      </w:r>
      <w:r>
        <w:rPr>
          <w:rFonts w:ascii="Times New Roman" w:eastAsia="Times New Roman" w:hAnsi="Times New Roman" w:cs="Times New Roman"/>
          <w:b/>
          <w:bCs/>
          <w:sz w:val="24"/>
          <w:szCs w:val="24"/>
        </w:rPr>
        <w:br/>
        <w:t xml:space="preserve"> PREPARED BY: DIGITAL FORENSICS INVESTIGATOR</w:t>
      </w:r>
      <w:r>
        <w:rPr>
          <w:rFonts w:ascii="Times New Roman" w:eastAsia="Times New Roman" w:hAnsi="Times New Roman" w:cs="Times New Roman"/>
          <w:b/>
          <w:bCs/>
          <w:sz w:val="24"/>
          <w:szCs w:val="24"/>
        </w:rPr>
        <w:br/>
        <w:t xml:space="preserve"> DATE: APRIL 2026</w:t>
      </w:r>
    </w:p>
    <w:p w14:paraId="55DE43A7" w14:textId="77777777" w:rsidR="0043462F" w:rsidRDefault="00644829">
      <w:pPr>
        <w:spacing w:before="240" w:after="240" w:line="360" w:lineRule="auto"/>
        <w:jc w:val="both"/>
        <w:rPr>
          <w:rFonts w:ascii="Times New Roman" w:eastAsia="Times New Roman" w:hAnsi="Times New Roman" w:cs="Times New Roman"/>
          <w:sz w:val="24"/>
          <w:szCs w:val="24"/>
        </w:rPr>
      </w:pPr>
      <w:r>
        <w:br w:type="page"/>
      </w:r>
    </w:p>
    <w:p w14:paraId="4AD62F7D" w14:textId="77777777" w:rsidR="0043462F" w:rsidRDefault="00644829">
      <w:pPr>
        <w:pStyle w:val="Heading1"/>
        <w:spacing w:line="360" w:lineRule="auto"/>
      </w:pPr>
      <w:bookmarkStart w:id="8" w:name="_j00zbskt0rze" w:colFirst="0" w:colLast="0"/>
      <w:bookmarkEnd w:id="8"/>
      <w:r>
        <w:lastRenderedPageBreak/>
        <w:t>1. Case Background</w:t>
      </w:r>
    </w:p>
    <w:p w14:paraId="15E8B5BD"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Quantum Tech is a leading technology corporation in the world with the focus of developing high-tech semiconductor layouts and artificial intelligence (AI) hardware solutions.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spent a lot of resources in research and development, especially in high-level AI processing chips to be used in next-generation computing platforms. Among the most lucrative research results produced by the company is the proprietary semiconductor design, which is known as QT-AI-2025, which is a patented AI chip design that provides tremendous gains in terms of processing efficiency, power consumption, and machine learning acceleration. Given that the semiconductor industry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high degree of competition, the intellectual property of QT-AI-2025 is a significant strategic resource of Quantum Tech. Any illegal release of such technology may enable other rival companies to duplicate such designs at no cost, as opposed to spending the vast sums of research involved to come up with such designs. The company therefore has very tight security measures and surveillance within their premises to ensure that sensitive engineering records, patent aids and design schematics, as well as technical prototypes, are not lost </w:t>
      </w:r>
      <w:r w:rsidR="00CA7247">
        <w:rPr>
          <w:rFonts w:ascii="Times New Roman" w:eastAsia="Times New Roman" w:hAnsi="Times New Roman" w:cs="Times New Roman"/>
          <w:sz w:val="24"/>
          <w:szCs w:val="24"/>
        </w:rPr>
        <w:t>[5]</w:t>
      </w:r>
      <w:r>
        <w:rPr>
          <w:rFonts w:ascii="Times New Roman" w:eastAsia="Times New Roman" w:hAnsi="Times New Roman" w:cs="Times New Roman"/>
          <w:sz w:val="24"/>
          <w:szCs w:val="24"/>
        </w:rPr>
        <w:t>.</w:t>
      </w:r>
      <w:r w:rsidR="00CA72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current study started after the internal cybersecurity monitoring system in Quantum Tech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atypical access patterns on the proprietary patent database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Such monitoring systems are geared to detect such abnormal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as excessive downloading of files, operating outside the stipulated working hours, and any other action of copying restricted files. Security records indicated that confidential design documents concerning the patent QT-AI-2025 were viewed under Emma, who is a senior engineer and had recently been employed at the semiconductor design department of this company. As an additional study of the access logs showed the files were accessed and could have been duplicated late evening hours, at which Emma was not planned to be working. It also occurred in the logs that a number of the design files were downloaded several times in a short period of time, and this seemed suspicious, as there was a possibility that the files could have been duplicated to some form of external storage device. Since the QT-AI-2025 patent records have chip architecture schematic layout plans and circuit plans, and proprietary design algorithms, it was threatening that the files could have been exfiltrated by hackers and other malicious individuals, potentially harming the intellectual property protection structure at the company.</w:t>
      </w:r>
      <w:r w:rsidR="00CA72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After this first discovery, Quantum Tech started off with an internal security investigation. In this internal investigation, forensic analysts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workstation action logs and discovered traces that showed that removable media had been attached to the Emma workstation around the time that suspicious database access occurred. Connection logs were identified to show that, sometime after accessing the patent files, a USB flash drive was inserted. This fact caused the suspicion that the </w:t>
      </w:r>
      <w:r>
        <w:rPr>
          <w:rFonts w:ascii="Times New Roman" w:eastAsia="Times New Roman" w:hAnsi="Times New Roman" w:cs="Times New Roman"/>
          <w:sz w:val="24"/>
          <w:szCs w:val="24"/>
        </w:rPr>
        <w:lastRenderedPageBreak/>
        <w:t xml:space="preserve">sensitive files on the patent might have been transferred to the removable storage device, where they could have been transferred illegally outside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0F38DA">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The follow-up internal surveillance also revealed messages between Emma and outsiders using the different messaging media. Such messages seemed to mention engineering confidential information, and have talks on possible financial reimbursements. The statements implied that there is a possibility of the initial draft information in relation to their design being provided to a third party </w:t>
      </w:r>
      <w:r w:rsidR="00CA7247">
        <w:rPr>
          <w:rFonts w:ascii="Times New Roman" w:eastAsia="Times New Roman" w:hAnsi="Times New Roman" w:cs="Times New Roman"/>
          <w:sz w:val="24"/>
          <w:szCs w:val="24"/>
        </w:rPr>
        <w:t>[4]</w:t>
      </w:r>
      <w:r>
        <w:rPr>
          <w:rFonts w:ascii="Times New Roman" w:eastAsia="Times New Roman" w:hAnsi="Times New Roman" w:cs="Times New Roman"/>
          <w:sz w:val="24"/>
          <w:szCs w:val="24"/>
        </w:rPr>
        <w:t>. Two individuals were identified as potentially involved in the suspected intellectual property theft:</w:t>
      </w:r>
    </w:p>
    <w:p w14:paraId="1B90D9A5" w14:textId="77777777" w:rsidR="0043462F" w:rsidRDefault="00644829">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Joe was also mentioned as one of the external sources who went through Emma a lot via messaging programs and phone calls. An initial examination indicated that Joe could have been a middle person whose duty was to connect Emma with a possible customer.</w:t>
      </w:r>
    </w:p>
    <w:p w14:paraId="1EFA5B72" w14:textId="77777777" w:rsidR="0043462F" w:rsidRDefault="00644829">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person was Norman, who was associated with a technological firm referred to as NexGen Circuits, which is one of the direct competitors of Quantum Tech in the semiconductor industry. NexGen Circuits has already competed with Quantum Tech on several AI hardware customer engagements and has the potential to leverage a number of openings to the proprietary chip design technology of Quantum Tech.</w:t>
      </w:r>
    </w:p>
    <w:p w14:paraId="0592E95A" w14:textId="77777777" w:rsidR="0043462F" w:rsidRDefault="00644829">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made the investigators suspect that the secret QT-AI-2025 patent design was possibly sold to NexGen Circuits through Joe, acting as an agent in between Emma and </w:t>
      </w:r>
      <w:r w:rsidR="000F38DA">
        <w:rPr>
          <w:rFonts w:ascii="Times New Roman" w:eastAsia="Times New Roman" w:hAnsi="Times New Roman" w:cs="Times New Roman"/>
          <w:sz w:val="24"/>
          <w:szCs w:val="24"/>
        </w:rPr>
        <w:t>[3]</w:t>
      </w:r>
      <w:r>
        <w:rPr>
          <w:rFonts w:ascii="Times New Roman" w:eastAsia="Times New Roman" w:hAnsi="Times New Roman" w:cs="Times New Roman"/>
          <w:sz w:val="24"/>
          <w:szCs w:val="24"/>
        </w:rPr>
        <w:t>.</w:t>
      </w:r>
    </w:p>
    <w:p w14:paraId="700ED95D" w14:textId="77777777" w:rsidR="0043462F" w:rsidRDefault="00644829">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alleged action was corporate espionage and theft of intellectual property, Quantum Tech took the case to law enforcement. A formal digital forensic inquiry was brought out to ascertain whether indeed the proprietary patent information was copied, transferred or sold.</w:t>
      </w:r>
    </w:p>
    <w:p w14:paraId="04B5C36B"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objectives of the investigation include:</w:t>
      </w:r>
    </w:p>
    <w:p w14:paraId="4C169273" w14:textId="77777777" w:rsidR="0043462F" w:rsidRDefault="00644829">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question to be answered is to establish whether confidential patent files were accessed and copied out of the internal systems of Quantum Tech illegally.</w:t>
      </w:r>
    </w:p>
    <w:p w14:paraId="18FD108F" w14:textId="77777777" w:rsidR="0043462F" w:rsidRDefault="0064482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defined whether the files were moved to external drives, such as a USB.</w:t>
      </w:r>
    </w:p>
    <w:p w14:paraId="3F70FC11" w14:textId="77777777" w:rsidR="0043462F" w:rsidRDefault="0064482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logs on intercepted mobile devices, such as WhatsApp, Instagram, email communications, and call logs.</w:t>
      </w:r>
    </w:p>
    <w:p w14:paraId="6C82E1E7" w14:textId="77777777" w:rsidR="0043462F" w:rsidRDefault="0064482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up an intricate chronology of there being a suspected theft and attempted sale of the patent.</w:t>
      </w:r>
    </w:p>
    <w:p w14:paraId="742150ED" w14:textId="77777777" w:rsidR="0043462F" w:rsidRDefault="00644829">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Detecting the identities of the players and the motives of the parties that were participating in the suspect corporate espionage case.</w:t>
      </w:r>
    </w:p>
    <w:p w14:paraId="3D2A979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process of carrying out the investigation, the law enforcement agencies obtained legal power to confiscate some of the digital devices of the suspects. It is estimated that such gadgets hold invaluable data in digital form, including communication records, files exchanged, metadata artefacts, and transaction discussions, which might determine the existence of confidential patent information being illegally obtained and transferred in digital form (</w:t>
      </w:r>
      <w:r>
        <w:rPr>
          <w:rFonts w:ascii="Times New Roman" w:eastAsia="Times New Roman" w:hAnsi="Times New Roman" w:cs="Times New Roman"/>
          <w:sz w:val="24"/>
          <w:szCs w:val="24"/>
          <w:highlight w:val="white"/>
        </w:rPr>
        <w:t>DeRose, 2022</w:t>
      </w:r>
      <w:r>
        <w:rPr>
          <w:rFonts w:ascii="Times New Roman" w:eastAsia="Times New Roman" w:hAnsi="Times New Roman" w:cs="Times New Roman"/>
          <w:sz w:val="24"/>
          <w:szCs w:val="24"/>
        </w:rPr>
        <w:t>). The data retrieved in these devices will be examined under the diverse accepted digital forensic tools to create results that are admissible in the court and have the capabilities to corroborate any charges of intellectual theft, corporate spying, and conspiracy.</w:t>
      </w:r>
    </w:p>
    <w:p w14:paraId="26069A08" w14:textId="77777777" w:rsidR="0043462F" w:rsidRDefault="00644829">
      <w:pPr>
        <w:pStyle w:val="Heading1"/>
        <w:spacing w:line="360" w:lineRule="auto"/>
      </w:pPr>
      <w:bookmarkStart w:id="9" w:name="_x61t3u1xo0zk" w:colFirst="0" w:colLast="0"/>
      <w:bookmarkEnd w:id="9"/>
      <w:r>
        <w:t>2. Evidence Acquisition</w:t>
      </w:r>
    </w:p>
    <w:p w14:paraId="664FE964"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collected data through the industry-standard digital forensic tools were all applied to the evidence acquisition process in order to ensure the integrity and admissibility of all the collected data. Cellebrite UFED identified Emma, Joe and Norman using Smartphones which were connected to the forensic workstation. Logical and physical extractions were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 xml:space="preserve"> where possible, which enabled </w:t>
      </w:r>
      <w:proofErr w:type="gramStart"/>
      <w:r>
        <w:rPr>
          <w:rFonts w:ascii="Times New Roman" w:eastAsia="Times New Roman" w:hAnsi="Times New Roman" w:cs="Times New Roman"/>
          <w:sz w:val="24"/>
          <w:szCs w:val="24"/>
        </w:rPr>
        <w:t>a complete</w:t>
      </w:r>
      <w:proofErr w:type="gramEnd"/>
      <w:r>
        <w:rPr>
          <w:rFonts w:ascii="Times New Roman" w:eastAsia="Times New Roman" w:hAnsi="Times New Roman" w:cs="Times New Roman"/>
          <w:sz w:val="24"/>
          <w:szCs w:val="24"/>
        </w:rPr>
        <w:t xml:space="preserve"> retrieval of system data, application data, call logs, messages, and media files. Further, any file found in the USB flash drive in Emma was merely imaged, and appropriate tools of acquisition were employed in retaining the quality of stored information in its original format. The entire acquisition process followed chain of custody procedures where handling of the devices is well-documented, the time of their acquisition and the information of the examiners. The photos obtained were assigned different identifiers of evidence and properly stored to prevent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In the process of data acquisition, cryptographic hash values (MD5 and SHA-1) were computed and re-computed after data analysis as a quality check to ensure data integrity. </w:t>
      </w:r>
    </w:p>
    <w:p w14:paraId="22B97BEB"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0BDA646A" wp14:editId="544B003D">
            <wp:extent cx="5943600" cy="3340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40D3B100"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image shows the interface of the device recognition of Cellebrite UFED, and a successful identification of a suspect smartphone (OnePlus) has been conducted. The identification measures that the device is well-connected to the forensic workstation and is prepared to extract the data. This step is crucial in the digital forensic process because it makes sure that the acquisition process is done under controlled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conditions. Application of a familiar tool based on the industry will guarantee that the extraction is carried out in accordance with forensic procedures. Proper detection also reduces the chances of losing or altering data so that the integrity and admissibility of the data obtained in the device are maintained.</w:t>
      </w:r>
    </w:p>
    <w:p w14:paraId="143A238C" w14:textId="77777777" w:rsidR="0043462F" w:rsidRDefault="00644829">
      <w:pPr>
        <w:pStyle w:val="Heading1"/>
        <w:spacing w:line="360" w:lineRule="auto"/>
      </w:pPr>
      <w:bookmarkStart w:id="10" w:name="_6312k1l84ajq" w:colFirst="0" w:colLast="0"/>
      <w:bookmarkEnd w:id="10"/>
      <w:r>
        <w:t>3. Methodology</w:t>
      </w:r>
    </w:p>
    <w:p w14:paraId="15725D78"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methodological approach was used to ensure that a complete and credible forensic investigation was accomplished. This started with the retrieval of digital evidence with a set of industry-standard tools, including (but not limited to) Cellebrite UFED in the extraction of mobile devices and Autopsy in the analysis of file systems. The broader range of data was extracted using logical and physical methods of extraction, and the communication records, file system and stored media were to be included in the extraction methods. An after-acquisition test on the integrity of the forensic images was subsequently done by cryptographic hash algorithms, i.e. by MD5 and SHA-1. It was observed that the data did not change during the investigation because the number of hashes in the input and </w:t>
      </w:r>
      <w:r>
        <w:rPr>
          <w:rFonts w:ascii="Times New Roman" w:eastAsia="Times New Roman" w:hAnsi="Times New Roman" w:cs="Times New Roman"/>
          <w:sz w:val="24"/>
          <w:szCs w:val="24"/>
        </w:rPr>
        <w:lastRenderedPageBreak/>
        <w:t xml:space="preserve">output of the analysis was the same. The extracted data were then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the Cellebrite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xml:space="preserve"> that aided in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call logs, emails and other communication artefacts. The USB flash drive was swiped, and files were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establish metadata properties (data on creation and modification dates) and other requisite attributes of metadata analysis. Relevant documents were tracked. Also, correlation methods were used to correlate communication events to file activity, allowing to recreate a consistent timeline.</w:t>
      </w:r>
    </w:p>
    <w:p w14:paraId="5F78937E" w14:textId="77777777" w:rsidR="0043462F" w:rsidRDefault="00644829">
      <w:pPr>
        <w:pStyle w:val="Heading1"/>
        <w:spacing w:line="360" w:lineRule="auto"/>
      </w:pPr>
      <w:bookmarkStart w:id="11" w:name="_bcgli3yde81u" w:colFirst="0" w:colLast="0"/>
      <w:bookmarkEnd w:id="11"/>
      <w:r>
        <w:t>4. Findings</w:t>
      </w:r>
    </w:p>
    <w:p w14:paraId="2FBF2CE1"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forensic examination showed that there was considerable evidence showing coordinated action among the suspects with regard to illegal access to sensitive information. The communication analysis showed that Emma and Joe were communicating extensively with other parties through call logs and email communications, which indicated that they are involved in the efforts of their coordination. These messages were in the time patterns, showing that there was increased activity in the time when data transfer was likely to occur, supporting the hypothesis that the increased activity was premeditated. Examination of the files in the USB flash drive of Emma confirmed that it had a few stored files with a regular texture, implying that the files were stored deliberately. The metadata analysis revealed that the time stamps of the creation and modification were the most recent ones, and it is understandable, given the order of communicative events. This may suggest that the files have been accessed and possibly transferred between instances of active communication in the suspects. Call log and email records correlation indicated congruent overlaps in communication interactions, additional proof of coordinated actions. The combined data of the communication data and file activity provides a vivid indication of a probable intention to pass copyrighted information. </w:t>
      </w:r>
    </w:p>
    <w:p w14:paraId="542980FD" w14:textId="77777777" w:rsidR="0043462F" w:rsidRDefault="00644829">
      <w:pPr>
        <w:pStyle w:val="Heading2"/>
        <w:spacing w:line="360" w:lineRule="auto"/>
      </w:pPr>
      <w:bookmarkStart w:id="12" w:name="_dggi6yvrzbne" w:colFirst="0" w:colLast="0"/>
      <w:bookmarkEnd w:id="12"/>
      <w:r>
        <w:t>4.1 Communication Analysis</w:t>
      </w:r>
    </w:p>
    <w:p w14:paraId="57464E2A"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analysis aimed to retrieve and interpret the data of interaction in different media, like call logs, email, and social media applications on Emma, Joe and Norman smartphones. Through the assistance of Cellebrite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xml:space="preserve">, the artefacts of communication that were involved in the incident have been tracked down and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acquire information on the connections and coordination among the suspects. Analysis of call logs showed that there were several communication efforts, such as outgoing and missed calls, meaning that communication between the concerned parties was frequent. These findings were also supported by the analysis of emails, since the archives of frequent notifications and exchanges that refer to critical personalities showed that there could have </w:t>
      </w:r>
      <w:r>
        <w:rPr>
          <w:rFonts w:ascii="Times New Roman" w:eastAsia="Times New Roman" w:hAnsi="Times New Roman" w:cs="Times New Roman"/>
          <w:sz w:val="24"/>
          <w:szCs w:val="24"/>
        </w:rPr>
        <w:lastRenderedPageBreak/>
        <w:t>been communication and coordination. These communications have a time distribution trend that indicates that there are more active time periods during a given period, which is coincidental to the approximate period during which data moves. Attaching a timeline of how devices interacted by associating the communication events between them made the difference in determining the order of interactions, as well as their prevalence. The analysis was also used to determine any mentions of the QT-AI-2025 patent, including any conversation of file sharing, payment or meeting arrangements.</w:t>
      </w:r>
    </w:p>
    <w:p w14:paraId="3F317C72"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5C54F3CF" wp14:editId="421A2943">
            <wp:extent cx="5943600" cy="3340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687FFD6D"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image indicates extracted call logs on the suspect phone available on the Cellebrite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The information it holds is on timestamps, forms of calls (incoming, outgoing, missed) and contact numbers. Several attempts at communication are recorded in the logs, suggesting that communication between the people engaged in it was frequent. Indications of intentional communication (purposeful) rather than accidental interaction are known by the repetitive nature of calls. The time stamps are especially essential in creating a chronology of events, as well as when there was increased activity. The evidence is critical in creating a relationship between suspects and aiding the investigation process through showing the consistency and traceability of communication.</w:t>
      </w:r>
    </w:p>
    <w:p w14:paraId="112A1A8A" w14:textId="77777777" w:rsidR="0043462F" w:rsidRDefault="00644829">
      <w:pPr>
        <w:pStyle w:val="Heading2"/>
        <w:spacing w:line="360" w:lineRule="auto"/>
      </w:pPr>
      <w:bookmarkStart w:id="13" w:name="_164g798iqd06" w:colFirst="0" w:colLast="0"/>
      <w:bookmarkEnd w:id="13"/>
      <w:r>
        <w:t>4.2 File Analysis</w:t>
      </w:r>
    </w:p>
    <w:p w14:paraId="1748CEBE"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file analysis was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contents of Emma's USB flash disc so as to determine files that were related to the QT-AI-2025 patent. When experts applied some forensic tools, the storage </w:t>
      </w:r>
      <w:r>
        <w:rPr>
          <w:rFonts w:ascii="Times New Roman" w:eastAsia="Times New Roman" w:hAnsi="Times New Roman" w:cs="Times New Roman"/>
          <w:sz w:val="24"/>
          <w:szCs w:val="24"/>
        </w:rPr>
        <w:lastRenderedPageBreak/>
        <w:t>machine was meticulously examined, revealing that it had several files, including images and well-</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folders, which can be linked to proprietary files. A special focus was put on searching for documents such as PDFs, design files, or technical information that can lead to indicating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usage of intellectual property. The identified files were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with metadata to identify the way they were used and where they originated. The important properties, such as the date of creation, last modified date, file path, and hash values (MD5), were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The metadata revealed that files were recently accessed, which led to thinking that the files may have been accessed or transferred during a period of investigation. The fact that there are systematic directories also implies that they are not just stored in an ad hoc fashion. This discussion will provide valuable details on the possible controls of data and their extraction. In the combination of the three factors, which include file presence with metadata timestamps and controlled storage, sensitive information about the QT-AI-2025 patent was likely replicated and installed to be illegally shared.</w:t>
      </w:r>
    </w:p>
    <w:p w14:paraId="5F3001C0" w14:textId="77777777" w:rsidR="0043462F" w:rsidRDefault="0064482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0ADB9BF" wp14:editId="23BB9607">
            <wp:extent cx="5943600" cy="3327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27400"/>
                    </a:xfrm>
                    <a:prstGeom prst="rect">
                      <a:avLst/>
                    </a:prstGeom>
                    <a:ln/>
                  </pic:spPr>
                </pic:pic>
              </a:graphicData>
            </a:graphic>
          </wp:inline>
        </w:drawing>
      </w:r>
    </w:p>
    <w:p w14:paraId="4FBFFB77"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artwork is a compilation of spam emails in a Gmail account on the device. It comprises the email subject, time and sender/ receiver identities. The fact that the notifications have names of people, such as Joe and others, is an indication of continual communication with key suspects. Email logs may also provide good context as these may be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and time-stamped documents, which can be superimposed on other evidence sources. Regularity in email activity makes it possible to create patterns of communication and potential coordination. This finding plays an important role in showing </w:t>
      </w:r>
      <w:r>
        <w:rPr>
          <w:rFonts w:ascii="Times New Roman" w:eastAsia="Times New Roman" w:hAnsi="Times New Roman" w:cs="Times New Roman"/>
          <w:sz w:val="24"/>
          <w:szCs w:val="24"/>
        </w:rPr>
        <w:lastRenderedPageBreak/>
        <w:t>that there was digital correspondence as well as other media of communication during the time of investigation.</w:t>
      </w:r>
    </w:p>
    <w:p w14:paraId="131EE078" w14:textId="77777777" w:rsidR="0043462F" w:rsidRDefault="00644829">
      <w:pPr>
        <w:pStyle w:val="Heading2"/>
        <w:spacing w:line="360" w:lineRule="auto"/>
      </w:pPr>
      <w:bookmarkStart w:id="14" w:name="_fboc5ab5lxxn" w:colFirst="0" w:colLast="0"/>
      <w:bookmarkEnd w:id="14"/>
      <w:r>
        <w:t>4.3 Call Log and Email Correlation</w:t>
      </w:r>
    </w:p>
    <w:p w14:paraId="22962613"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incident victims were correlated with the email logs and the call logs to establish associations between the communication incidents and establish coordinated communication among the suspects. The call logs accessed with the help of the smartphones indicated that there were various incoming calls, outgoing calls, and missed calls among the various individuals concerned, showing that there was, in fact, an ongoing and prominent communication. These call logs have been matched with email logs with a view to establishing any overlapping time stamps and patterns of interaction. Messages and communication with key individuals were indicated through email messages, suggesting that there was constant communication in addition to the calling process. Through </w:t>
      </w:r>
      <w:proofErr w:type="spellStart"/>
      <w:r>
        <w:rPr>
          <w:rFonts w:ascii="Times New Roman" w:eastAsia="Times New Roman" w:hAnsi="Times New Roman" w:cs="Times New Roman"/>
          <w:sz w:val="24"/>
          <w:szCs w:val="24"/>
        </w:rPr>
        <w:t>synchronisation</w:t>
      </w:r>
      <w:proofErr w:type="spellEnd"/>
      <w:r>
        <w:rPr>
          <w:rFonts w:ascii="Times New Roman" w:eastAsia="Times New Roman" w:hAnsi="Times New Roman" w:cs="Times New Roman"/>
          <w:sz w:val="24"/>
          <w:szCs w:val="24"/>
        </w:rPr>
        <w:t xml:space="preserve"> of call timestamps and email activity, they noticed that communication was frequently close-timed, implying a planned series of contact followed by electronic communication. This pattern suggests the concerted action geared to transferring information in different channels. This correlation enhances the evidencing power as it shows the same trend in various communication formats. The fact that call and email records found evidence that the suspects were actively coordinating their activities with others, as well as the fact that they might have been on the verge of transferring and negotiating sensitive information on the QT-AI-2025 patent, corroborates the hypothesis that the suspects were indeed actively coordinating their activities with others.</w:t>
      </w:r>
    </w:p>
    <w:p w14:paraId="753F6F81" w14:textId="77777777" w:rsidR="0043462F" w:rsidRDefault="0064482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6E774283" wp14:editId="703F9B3A">
            <wp:extent cx="5943600" cy="33401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1DA5A871"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picture illustrates the way the data in the stored files, comprising image thumbnails and associated metadata, is processed. The most important metadata values like creation date, modification date, file location and MD5 hash are displayed. This information is very important in establishing the source, usage and integrity of the files. The timestamps indicate the most recent activity on the files, and this means that during the interpretation of the period in question, the information has been accessed or altered. Formatted file storage implies a certain order versus cluttered storage. This kind of analysis aids in determining that files are either copied, transferred or ready to be distributed, giving a high confidence in lifting off a possible data exfiltration.</w:t>
      </w:r>
    </w:p>
    <w:p w14:paraId="773BC533" w14:textId="77777777" w:rsidR="0043462F" w:rsidRDefault="00644829">
      <w:pPr>
        <w:pStyle w:val="Heading2"/>
        <w:spacing w:line="360" w:lineRule="auto"/>
      </w:pPr>
      <w:bookmarkStart w:id="15" w:name="_edfd4li2ud7" w:colFirst="0" w:colLast="0"/>
      <w:bookmarkEnd w:id="15"/>
      <w:r>
        <w:t>4.4 Suspect Profiling</w:t>
      </w:r>
    </w:p>
    <w:p w14:paraId="4B0920AD"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digital evidence analysis, different motives and possible roles of the suspects can be determined. Emma can be said to be the primary party in the commission of the act since she had access to proprietary information as she was an employee. The USB drive and documents of communication also show that they had access to sensitive files that were directly related to the QT-AI-2025 patent. Her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suggests that she is intentionally trying to steal and probably traffic sensitive information. Joe is supposed to be the mediator, or the way of communication between Emma and the outside world. The mentions of the call logs and emails demonstrate that he was also engaged in assisting in setting up the procedure of information exchange, which implies that he was a significant individual in the planning of the flow of information. This is the middleman role, which is enabled by </w:t>
      </w:r>
      <w:r>
        <w:rPr>
          <w:rFonts w:ascii="Times New Roman" w:eastAsia="Times New Roman" w:hAnsi="Times New Roman" w:cs="Times New Roman"/>
          <w:sz w:val="24"/>
          <w:szCs w:val="24"/>
        </w:rPr>
        <w:lastRenderedPageBreak/>
        <w:t xml:space="preserve">the many contacts he has with different parties. Norman is considered the prospective buyer, and he is brought to the case by way of being drawn into the communication trends. There may be little to no direct </w:t>
      </w:r>
      <w:proofErr w:type="spellStart"/>
      <w:proofErr w:type="gramStart"/>
      <w:r>
        <w:rPr>
          <w:rFonts w:ascii="Times New Roman" w:eastAsia="Times New Roman" w:hAnsi="Times New Roman" w:cs="Times New Roman"/>
          <w:sz w:val="24"/>
          <w:szCs w:val="24"/>
        </w:rPr>
        <w:t>evidence,e</w:t>
      </w:r>
      <w:proofErr w:type="spellEnd"/>
      <w:proofErr w:type="gramEnd"/>
      <w:r>
        <w:rPr>
          <w:rFonts w:ascii="Times New Roman" w:eastAsia="Times New Roman" w:hAnsi="Times New Roman" w:cs="Times New Roman"/>
          <w:sz w:val="24"/>
          <w:szCs w:val="24"/>
        </w:rPr>
        <w:t xml:space="preserve"> but the fact that it was correlated with the chains of communication is indicative that there could be an interest in gaining access to the proprietary data. Overall, the facts validate the existence of a coordinated effort between extraction, facilitation and targeting data acquisition.</w:t>
      </w:r>
    </w:p>
    <w:p w14:paraId="38375D19" w14:textId="77777777" w:rsidR="0043462F" w:rsidRDefault="00644829">
      <w:pPr>
        <w:pStyle w:val="Heading2"/>
        <w:spacing w:line="360" w:lineRule="auto"/>
      </w:pPr>
      <w:bookmarkStart w:id="16" w:name="_hdiqfai696hr" w:colFirst="0" w:colLast="0"/>
      <w:bookmarkEnd w:id="16"/>
      <w:r>
        <w:t>4.5 Forensic Images</w:t>
      </w:r>
    </w:p>
    <w:p w14:paraId="3EFB502A"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documentation proved to be the screenshots and other forensic pictures, which are essential records of the investigations that were undertaken and the results obtained. They contain device acquisition screens, call log extractions, email records and file metadata views, which have been extracted by a forensic tool like Cellebrite UFED and Autopsy. The images have been appropriately labelled and cited in the report to back up particular analytical results. The pictures indicate the validity of the data extraction procedure, the availability of communications records and records of files about the investigation. These photographs are to be recorded in a proper way with transparency, reproducibility and enhancing the evidential value of the analysis in a legal context.</w:t>
      </w:r>
    </w:p>
    <w:p w14:paraId="4A3F2B0E"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5332FD6D" wp14:editId="66311417">
            <wp:extent cx="6224400" cy="35052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6224400" cy="3505200"/>
                    </a:xfrm>
                    <a:prstGeom prst="rect">
                      <a:avLst/>
                    </a:prstGeom>
                    <a:ln/>
                  </pic:spPr>
                </pic:pic>
              </a:graphicData>
            </a:graphic>
          </wp:inline>
        </w:drawing>
      </w:r>
    </w:p>
    <w:p w14:paraId="7463A315"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screenshot shows geospatial artefacts that are obtained through Cellebrite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xml:space="preserve">, which implies 783 location records of devices related to media files. A selected entry shows precise </w:t>
      </w:r>
      <w:r>
        <w:rPr>
          <w:rFonts w:ascii="Times New Roman" w:eastAsia="Times New Roman" w:hAnsi="Times New Roman" w:cs="Times New Roman"/>
          <w:sz w:val="24"/>
          <w:szCs w:val="24"/>
        </w:rPr>
        <w:lastRenderedPageBreak/>
        <w:t xml:space="preserve">GPS coordinates (52.486061, 1.883908) with a timestamp of 07/05/2025 09:17:26, indicating when the image was captured. The source file comes out of a Samsung Galaxy A13 folder, which proves the device attribution. In the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of the global map, the activity is concentrated in Europe, Africa, and Asia and indicates extensive movement or widespread data acquisition. Symbiotic metadata (timestamp, coordinates, file origin) aspects</w:t>
      </w:r>
      <w:proofErr w:type="gramStart"/>
      <w:r>
        <w:rPr>
          <w:rFonts w:ascii="Times New Roman" w:eastAsia="Times New Roman" w:hAnsi="Times New Roman" w:cs="Times New Roman"/>
          <w:sz w:val="24"/>
          <w:szCs w:val="24"/>
        </w:rPr>
        <w:t>, to a large extent, give</w:t>
      </w:r>
      <w:proofErr w:type="gramEnd"/>
      <w:r>
        <w:rPr>
          <w:rFonts w:ascii="Times New Roman" w:eastAsia="Times New Roman" w:hAnsi="Times New Roman" w:cs="Times New Roman"/>
          <w:sz w:val="24"/>
          <w:szCs w:val="24"/>
        </w:rPr>
        <w:t xml:space="preserve"> a robust evidentiary backing to the correlation of physical presence and possible moments of data access or transfer.</w:t>
      </w:r>
    </w:p>
    <w:p w14:paraId="2D744528"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3DC99DD" wp14:editId="41076F27">
            <wp:extent cx="6224400" cy="35052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6224400" cy="3505200"/>
                    </a:xfrm>
                    <a:prstGeom prst="rect">
                      <a:avLst/>
                    </a:prstGeom>
                    <a:ln/>
                  </pic:spPr>
                </pic:pic>
              </a:graphicData>
            </a:graphic>
          </wp:inline>
        </w:drawing>
      </w:r>
    </w:p>
    <w:p w14:paraId="608DD1FE"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image, one can see a processed extraction of the communication data on WhatsApp in the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xml:space="preserve"> of Cellebrite, which revealed a chat with the label of Top-up and the participant ID 447917162788. The main attributes of the dataset are start time (06/06/2023 09:22:31 UTC) and last activity (31/01/2025 11:28:14 UTC), which proves to be a time-consuming process. The availability of 382 overall messages in 12 chat threads attests to a large volume of data to forensically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This description confirms successful logical extraction and sets the stage for further analysis of the conversation. Temporal range must be important to create a timeline of interactions and define the timeframes of increased communication concerning the potential data breach.</w:t>
      </w:r>
    </w:p>
    <w:p w14:paraId="3BBDDB89"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55400A07" wp14:editId="14CD86BD">
            <wp:extent cx="6224400" cy="3505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6224400" cy="3505200"/>
                    </a:xfrm>
                    <a:prstGeom prst="rect">
                      <a:avLst/>
                    </a:prstGeom>
                    <a:ln/>
                  </pic:spPr>
                </pic:pic>
              </a:graphicData>
            </a:graphic>
          </wp:inline>
        </w:drawing>
      </w:r>
    </w:p>
    <w:p w14:paraId="7D9BDD93"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screenshot indicates the contents of the message that were extracted using Cellebrite Physical </w:t>
      </w:r>
      <w:proofErr w:type="spellStart"/>
      <w:r>
        <w:rPr>
          <w:rFonts w:ascii="Times New Roman" w:eastAsia="Times New Roman" w:hAnsi="Times New Roman" w:cs="Times New Roman"/>
          <w:sz w:val="24"/>
          <w:szCs w:val="24"/>
        </w:rPr>
        <w:t>Analyser</w:t>
      </w:r>
      <w:proofErr w:type="spellEnd"/>
      <w:r>
        <w:rPr>
          <w:rFonts w:ascii="Times New Roman" w:eastAsia="Times New Roman" w:hAnsi="Times New Roman" w:cs="Times New Roman"/>
          <w:sz w:val="24"/>
          <w:szCs w:val="24"/>
        </w:rPr>
        <w:t>, and it provides definite evidence of suspicious activity. The following one of the messages is written on 21/08/2024: I will possess a most useful piece of information. I would regard selling it, i.e. he is going to commercially exploit confidential information. Reactions of the follow-up would guarantee that there had been and was an additional side indicating coordination. Extra timestamps (e.g. 07:27:09 UTC, 09:58:21 UTC) can be used to sequentially sort the interaction. The knowledge of proprietary assets (ABC technologies, language does) indicates that this is relevant in the patent of QT-AI-2025. This forms considerable incriminating evidence as to conspiracy and corporate spying.</w:t>
      </w:r>
    </w:p>
    <w:p w14:paraId="5F904331" w14:textId="77777777" w:rsidR="0043462F" w:rsidRDefault="00644829">
      <w:pPr>
        <w:pStyle w:val="Heading1"/>
        <w:spacing w:line="360" w:lineRule="auto"/>
      </w:pPr>
      <w:bookmarkStart w:id="17" w:name="_hq1x6xlxj1wz" w:colFirst="0" w:colLast="0"/>
      <w:bookmarkEnd w:id="17"/>
      <w:r>
        <w:t>5. Analysis And Outcomes</w:t>
      </w:r>
    </w:p>
    <w:p w14:paraId="3C6E9321"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interpretation of the digital information backed by the obtained results of forensic tools offers a clear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vision of the operations carried out by the people involved. The effort to research the acquisition of the suspect device was not futile, as the suspect device showed up in the device detection interface. The fact that the OnePlus smartphone was identified with the help of a forensic tool proves that the data extraction procedure has been carried out under a controlled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setting. This will make future discovery of any other evidence on sound and untampered data, upholding the proofs of forensic investigations. The communication analysis, in particular, the call logs extracted, reveals that there was such a pattern of interaction between the involved parties. The call </w:t>
      </w:r>
      <w:r>
        <w:rPr>
          <w:rFonts w:ascii="Times New Roman" w:eastAsia="Times New Roman" w:hAnsi="Times New Roman" w:cs="Times New Roman"/>
          <w:sz w:val="24"/>
          <w:szCs w:val="24"/>
        </w:rPr>
        <w:lastRenderedPageBreak/>
        <w:t xml:space="preserve">history shows that there are a lot of outgoing and missed calls, but at a short time rate. This tendency signifies it is a recurring contact-making, which corresponds to active and intentional communication in opposition to accidental or unintended contacts. These calls have the time stamps, which are crucial in re-creating the </w:t>
      </w:r>
      <w:proofErr w:type="spellStart"/>
      <w:r>
        <w:rPr>
          <w:rFonts w:ascii="Times New Roman" w:eastAsia="Times New Roman" w:hAnsi="Times New Roman" w:cs="Times New Roman"/>
          <w:sz w:val="24"/>
          <w:szCs w:val="24"/>
        </w:rPr>
        <w:t>sequentiality</w:t>
      </w:r>
      <w:proofErr w:type="spellEnd"/>
      <w:r>
        <w:rPr>
          <w:rFonts w:ascii="Times New Roman" w:eastAsia="Times New Roman" w:hAnsi="Times New Roman" w:cs="Times New Roman"/>
          <w:sz w:val="24"/>
          <w:szCs w:val="24"/>
        </w:rPr>
        <w:t xml:space="preserve"> of events that were interconnected, since they indicate the areas where the communication was high. These clustering interactions can extend a long way to show the presence of coordination among the suspects during the time period during which the investigation was being conducted. To further reinforce this observation, the analysis of emails gives further evidence of communication between the individuals. The records retrieved by Gmail show notifications and links to the messages by important authorities, such as references to Joe and others. Using these records, one can observe that communication was not limited to voice calls, as it has grown to include digital letters, which depict a multi-channel approach to communication. </w:t>
      </w:r>
    </w:p>
    <w:p w14:paraId="790F3B24"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that in the email data, there are timestamps, this can be correlated with call logs, indicating that the communication events occurred closely in time. This reinforced the decision that the suspects were in constant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interactions of information. The file and metadata analysis give essential clues to how the suspect handled data on their machine. The files considered, such as the stored images, are supplemented with metadata, like their creation dates, modification dates, file paths, and MD5 hash values. The metadata indicates that the files were of recent date, and it matches the time of high communication discovered during the analysis of the call and emails </w:t>
      </w:r>
      <w:r w:rsidR="000F38DA">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Based on this time, match the communication and file handling activities that have a direct relationship. The systematic arrangement of files also suggests a premeditated storage and management, and not an incidental accumulation, </w:t>
      </w:r>
      <w:proofErr w:type="spellStart"/>
      <w:r>
        <w:rPr>
          <w:rFonts w:ascii="Times New Roman" w:eastAsia="Times New Roman" w:hAnsi="Times New Roman" w:cs="Times New Roman"/>
          <w:sz w:val="24"/>
          <w:szCs w:val="24"/>
        </w:rPr>
        <w:t>signalling</w:t>
      </w:r>
      <w:proofErr w:type="spellEnd"/>
      <w:r>
        <w:rPr>
          <w:rFonts w:ascii="Times New Roman" w:eastAsia="Times New Roman" w:hAnsi="Times New Roman" w:cs="Times New Roman"/>
          <w:sz w:val="24"/>
          <w:szCs w:val="24"/>
        </w:rPr>
        <w:t xml:space="preserve"> an intentional attitude to data management. A combination of the information on device purchases retrieved, communication history, e-mail, and file metadata is helpful to identify a logical flow of events. The evidence indicates that indeed the equipment in question was actively in use to communicate and to preserve data over the course of the investigation. The repetition of the communication attempts and the same degree of file activity indicate the existence of coordinated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The reliability of results can be enhanced by the fact that the results were found by many independent sources of data, which adds greater stability to the results and reduces the possibility of coincidence. The similarity between the log of calls, email history and file metadata produces a clear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pattern which can be employed to arrive at a conclusion of purposeful data access and even transfer.</w:t>
      </w:r>
    </w:p>
    <w:p w14:paraId="585CD255" w14:textId="77777777" w:rsidR="0043462F" w:rsidRDefault="00644829">
      <w:pPr>
        <w:pStyle w:val="Heading1"/>
        <w:spacing w:line="360" w:lineRule="auto"/>
      </w:pPr>
      <w:bookmarkStart w:id="18" w:name="_89qsdzhb58qq" w:colFirst="0" w:colLast="0"/>
      <w:bookmarkEnd w:id="18"/>
      <w:r>
        <w:lastRenderedPageBreak/>
        <w:t>6. Conclusion</w:t>
      </w:r>
    </w:p>
    <w:p w14:paraId="7BFDE343"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forensic investigation gives strong and viable evidence that affirms that sensitive data involving the QT-AI-2025 patent was accessed, manipulated, and there is a likelihood of its transfer without permission. The evidence presented through the usage of communication logs, email data and file system analysis depicts a clear pattern of conspiracy between and among the suspects. The call records demonstrate the repeated and intentional communication efforts, and the email accounts provide evidence of continued communication and exchange of information. In addition, file and metadata analysis indicate that the data in question were actively accessed, edited and stored within the same time frame as the communication events happened. Since Emma is an internal employee with access privileges, she is seen as the main offender in stealing confidential data. The fact that regular patterns of communication between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parties can justify why Joe is a better mediator implies that he could have been involved in the process of information exchange. Norman is the person to whom it can be reasonably concluded to be the one being communicated to, since, rather than being the direct recipient in the sequence of communication, he is an indirect recipient. The consistency of findings and the fact that it correlates with several other independent pieces of evidence are strong points in the reliability of the findings.</w:t>
      </w:r>
    </w:p>
    <w:p w14:paraId="5604801E" w14:textId="77777777" w:rsidR="0043462F" w:rsidRDefault="00644829">
      <w:pPr>
        <w:pStyle w:val="Heading1"/>
        <w:spacing w:line="360" w:lineRule="auto"/>
      </w:pPr>
      <w:bookmarkStart w:id="19" w:name="_qw97j0be4fav" w:colFirst="0" w:colLast="0"/>
      <w:bookmarkEnd w:id="19"/>
      <w:r>
        <w:t>7. Recommendations</w:t>
      </w:r>
    </w:p>
    <w:p w14:paraId="05B3E5A1" w14:textId="77777777" w:rsidR="0043462F" w:rsidRDefault="006448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prevent such cases in the future, Quantum Tech will need to assure them that the best data security practices are embraced. This includes coming up with strict access control policies in order to limit access to sensitive information about employees based on need. The applications of the removable storage devices, such as USB drives, should be monitored by endpoint security solutions and prevented. It also needs to be equipped with real-time monitoring of activities and regular security audits, which will help in the identification of any suspicious activity at its initial stage. The introduction of awareness programs, training employees in data protection policies and insider threats is also advised. Legally, the Law Enforcement agencies should consider an act of corporate espionage,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to proprietary information and planned misappropriation of proprietary information. Enhancing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security processes and increasing the exercise of the law will go a long way to reduce risks of subsequent data breaches and insider threats.</w:t>
      </w:r>
    </w:p>
    <w:p w14:paraId="617D0616" w14:textId="77777777" w:rsidR="0043462F" w:rsidRDefault="00644829">
      <w:pPr>
        <w:spacing w:before="240" w:after="240" w:line="360" w:lineRule="auto"/>
        <w:jc w:val="both"/>
        <w:rPr>
          <w:rFonts w:ascii="Times New Roman" w:eastAsia="Times New Roman" w:hAnsi="Times New Roman" w:cs="Times New Roman"/>
          <w:sz w:val="24"/>
          <w:szCs w:val="24"/>
        </w:rPr>
      </w:pPr>
      <w:r>
        <w:br w:type="page"/>
      </w:r>
    </w:p>
    <w:p w14:paraId="145F6777" w14:textId="77777777" w:rsidR="0043462F" w:rsidRDefault="00644829">
      <w:pPr>
        <w:pStyle w:val="Heading1"/>
        <w:spacing w:line="360" w:lineRule="auto"/>
      </w:pPr>
      <w:bookmarkStart w:id="20" w:name="_9wb9py8zrxak" w:colFirst="0" w:colLast="0"/>
      <w:bookmarkEnd w:id="20"/>
      <w:r>
        <w:lastRenderedPageBreak/>
        <w:t>References</w:t>
      </w:r>
    </w:p>
    <w:p w14:paraId="2B11022B" w14:textId="77777777" w:rsidR="0043462F" w:rsidRDefault="00644829">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Bonnet, S. and Teuteberg, F., 2023. Impact of blockchain and distributed ledger technology for the management, protection, enforcement and monetization of intellectual property: a systematic literature review. </w:t>
      </w:r>
      <w:r>
        <w:rPr>
          <w:rFonts w:ascii="Times New Roman" w:eastAsia="Times New Roman" w:hAnsi="Times New Roman" w:cs="Times New Roman"/>
          <w:i/>
          <w:iCs/>
          <w:sz w:val="24"/>
          <w:szCs w:val="24"/>
        </w:rPr>
        <w:t>Information Systems and e-Business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(2), pp.229-275.</w:t>
      </w:r>
    </w:p>
    <w:p w14:paraId="468CFF77" w14:textId="77777777" w:rsidR="0043462F" w:rsidRDefault="0064482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Dev, A.S., Pathak, A. and Banerjee, D., 2026. Advancing Industrial Efficiency: The Role of Quantum Technologies in Modern Manufacturing Systems. </w:t>
      </w:r>
      <w:r>
        <w:rPr>
          <w:rFonts w:ascii="Times New Roman" w:eastAsia="Times New Roman" w:hAnsi="Times New Roman" w:cs="Times New Roman"/>
          <w:i/>
          <w:iCs/>
          <w:sz w:val="24"/>
          <w:szCs w:val="24"/>
        </w:rPr>
        <w:t>Journal of Advance Manufacturing System and Technology ISSN: 3107-8133 (Online)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(2).</w:t>
      </w:r>
    </w:p>
    <w:p w14:paraId="2A315BE3" w14:textId="77777777" w:rsidR="0043462F" w:rsidRDefault="0064482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Kop, M., Aboy, M. and </w:t>
      </w:r>
      <w:proofErr w:type="spellStart"/>
      <w:r>
        <w:rPr>
          <w:rFonts w:ascii="Times New Roman" w:eastAsia="Times New Roman" w:hAnsi="Times New Roman" w:cs="Times New Roman"/>
          <w:sz w:val="24"/>
          <w:szCs w:val="24"/>
          <w:highlight w:val="white"/>
        </w:rPr>
        <w:t>Minssen</w:t>
      </w:r>
      <w:proofErr w:type="spellEnd"/>
      <w:r>
        <w:rPr>
          <w:rFonts w:ascii="Times New Roman" w:eastAsia="Times New Roman" w:hAnsi="Times New Roman" w:cs="Times New Roman"/>
          <w:sz w:val="24"/>
          <w:szCs w:val="24"/>
          <w:highlight w:val="white"/>
        </w:rPr>
        <w:t xml:space="preserve">, T., 2022. Intellectual property in quantum computing and market power: a theoretical discussion and empirical analysis. </w:t>
      </w:r>
      <w:r>
        <w:rPr>
          <w:rFonts w:ascii="Times New Roman" w:eastAsia="Times New Roman" w:hAnsi="Times New Roman" w:cs="Times New Roman"/>
          <w:i/>
          <w:iCs/>
          <w:sz w:val="24"/>
          <w:szCs w:val="24"/>
        </w:rPr>
        <w:t>Journal of Intellectual Property Law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(8), pp.613-628.</w:t>
      </w:r>
    </w:p>
    <w:p w14:paraId="429EDD45" w14:textId="77777777" w:rsidR="0043462F" w:rsidRDefault="0064482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Plourde, W., 2023. Intellectual Property Security Using QKD: An End to the Evisceration of American Intellectual Property. </w:t>
      </w:r>
      <w:r>
        <w:rPr>
          <w:rFonts w:ascii="Times New Roman" w:eastAsia="Times New Roman" w:hAnsi="Times New Roman" w:cs="Times New Roman"/>
          <w:i/>
          <w:iCs/>
          <w:sz w:val="24"/>
          <w:szCs w:val="24"/>
        </w:rPr>
        <w:t>IDEA</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64</w:t>
      </w:r>
      <w:r>
        <w:rPr>
          <w:rFonts w:ascii="Times New Roman" w:eastAsia="Times New Roman" w:hAnsi="Times New Roman" w:cs="Times New Roman"/>
          <w:sz w:val="24"/>
          <w:szCs w:val="24"/>
        </w:rPr>
        <w:t>, p.774.</w:t>
      </w:r>
    </w:p>
    <w:p w14:paraId="639B76AF" w14:textId="77777777" w:rsidR="0043462F" w:rsidRDefault="00644829">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Zia-Ul-Haq, M. and Mujtaba, G., 2023. Legal Challenges of Intellectual Property Rights for Quantum Computing. </w:t>
      </w:r>
      <w:r>
        <w:rPr>
          <w:rFonts w:ascii="Times New Roman" w:eastAsia="Times New Roman" w:hAnsi="Times New Roman" w:cs="Times New Roman"/>
          <w:i/>
          <w:iCs/>
          <w:sz w:val="24"/>
          <w:szCs w:val="24"/>
        </w:rPr>
        <w:t>Trends in Intellectual Property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(1), pp.1-17.</w:t>
      </w:r>
    </w:p>
    <w:sectPr w:rsidR="0043462F">
      <w:footerReference w:type="default" r:id="rId15"/>
      <w:pgSz w:w="12240" w:h="15840"/>
      <w:pgMar w:top="1133" w:right="1162" w:bottom="1235" w:left="1275" w:header="720" w:footer="56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0D2E9" w14:textId="77777777" w:rsidR="00025F8C" w:rsidRDefault="00025F8C">
      <w:pPr>
        <w:spacing w:line="240" w:lineRule="auto"/>
      </w:pPr>
      <w:r>
        <w:separator/>
      </w:r>
    </w:p>
  </w:endnote>
  <w:endnote w:type="continuationSeparator" w:id="0">
    <w:p w14:paraId="37931620" w14:textId="77777777" w:rsidR="00025F8C" w:rsidRDefault="00025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C8F8336-90A8-4D02-8700-2DA9703D64F9}"/>
  </w:font>
  <w:font w:name="Cambria">
    <w:panose1 w:val="02040503050406030204"/>
    <w:charset w:val="00"/>
    <w:family w:val="roman"/>
    <w:pitch w:val="variable"/>
    <w:sig w:usb0="E00006FF" w:usb1="420024FF" w:usb2="02000000" w:usb3="00000000" w:csb0="0000019F" w:csb1="00000000"/>
    <w:embedRegular r:id="rId2" w:fontKey="{E077E60D-D344-4D7E-823F-13C55BFBB5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DAAD8" w14:textId="77777777" w:rsidR="0043462F" w:rsidRDefault="00644829">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CA7247">
      <w:rPr>
        <w:rFonts w:ascii="Times New Roman" w:eastAsia="Times New Roman" w:hAnsi="Times New Roman" w:cs="Times New Roman"/>
        <w:noProof/>
        <w:color w:val="000000"/>
        <w:sz w:val="20"/>
        <w:szCs w:val="20"/>
      </w:rPr>
      <w:t>21</w:t>
    </w:r>
    <w:r>
      <w:rPr>
        <w:rFonts w:ascii="Times New Roman" w:eastAsia="Times New Roman" w:hAnsi="Times New Roman" w:cs="Times New Roman"/>
        <w:color w:val="000000"/>
        <w:sz w:val="20"/>
        <w:szCs w:val="20"/>
      </w:rPr>
      <w:fldChar w:fldCharType="end"/>
    </w:r>
  </w:p>
  <w:p w14:paraId="320FDDB0" w14:textId="77777777" w:rsidR="0043462F" w:rsidRDefault="0043462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CAE0" w14:textId="77777777" w:rsidR="00025F8C" w:rsidRDefault="00025F8C">
      <w:pPr>
        <w:spacing w:line="240" w:lineRule="auto"/>
      </w:pPr>
      <w:r>
        <w:separator/>
      </w:r>
    </w:p>
  </w:footnote>
  <w:footnote w:type="continuationSeparator" w:id="0">
    <w:p w14:paraId="77194A76" w14:textId="77777777" w:rsidR="00025F8C" w:rsidRDefault="00025F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6857B6"/>
    <w:multiLevelType w:val="multilevel"/>
    <w:tmpl w:val="3404F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872F9C"/>
    <w:multiLevelType w:val="multilevel"/>
    <w:tmpl w:val="4258B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2B2883"/>
    <w:multiLevelType w:val="multilevel"/>
    <w:tmpl w:val="A77810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7593146">
    <w:abstractNumId w:val="2"/>
  </w:num>
  <w:num w:numId="2" w16cid:durableId="1401831384">
    <w:abstractNumId w:val="0"/>
  </w:num>
  <w:num w:numId="3" w16cid:durableId="1602446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62F"/>
    <w:rsid w:val="00025F8C"/>
    <w:rsid w:val="00064427"/>
    <w:rsid w:val="000F38DA"/>
    <w:rsid w:val="00251EBB"/>
    <w:rsid w:val="0043462F"/>
    <w:rsid w:val="00644829"/>
    <w:rsid w:val="00CA7247"/>
    <w:rsid w:val="00DB3B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4133C"/>
  <w15:docId w15:val="{EBFE6DFF-8BD0-4D0C-8509-3FAED4EBC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240" w:after="240"/>
      <w:jc w:val="both"/>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6196</Words>
  <Characters>35323</Characters>
  <Application>Microsoft Office Word</Application>
  <DocSecurity>0</DocSecurity>
  <Lines>294</Lines>
  <Paragraphs>82</Paragraphs>
  <ScaleCrop>false</ScaleCrop>
  <Company/>
  <LinksUpToDate>false</LinksUpToDate>
  <CharactersWithSpaces>41437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Sameer Panchal</dc:creator>
  <cp:lastModifiedBy>Sameer Rajubhai Panchal (2516024)</cp:lastModifiedBy>
  <cp:revision>2</cp:revision>
  <dcterms:created xsi:type="dcterms:W3CDTF">2026-04-29T11:37:00Z</dcterms:created>
  <dcterms:modified xsi:type="dcterms:W3CDTF">2026-04-29T11:37:00Z</dcterms:modified>
</cp:coreProperties>
</file>