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spacing w:after="240" w:before="240" w:lineRule="auto"/>
        <w:ind w:left="0" w:firstLine="0"/>
        <w:jc w:val="left"/>
        <w:rPr>
          <w:rFonts w:ascii="Times New Roman" w:cs="Times New Roman" w:eastAsia="Times New Roman" w:hAnsi="Times New Roman"/>
        </w:rPr>
      </w:pPr>
      <w:bookmarkStart w:colFirst="0" w:colLast="0" w:name="_3kpyltpqoh04" w:id="0"/>
      <w:bookmarkEnd w:id="0"/>
      <w:r w:rsidDel="00000000" w:rsidR="00000000" w:rsidRPr="00000000">
        <w:rPr>
          <w:rFonts w:ascii="Times New Roman" w:cs="Times New Roman" w:eastAsia="Times New Roman" w:hAnsi="Times New Roman"/>
          <w:rtl w:val="0"/>
        </w:rPr>
        <w:t xml:space="preserve">Was death celebrated or feared in the Middle Ages?</w:t>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the Middle Ages, death was an inescapable presence that shaped daily life, religious practices and cultural expressions. Plagues, wars and high infant mortality rates made death a constant, often visible reality, while the influence of the Church framed it as both a feared punishment and a pathway to salvation. Throughout the Middle Ages, attitudes towards death didn't necessarily change much, though it did become more present in art and literature after the 14th century due to the Black Death. Through examining medieval art and literature we can see the complex attitudes towards death from acceptance to fear. However even though views on death may have varied, most messages carried the same meaning, “memento mori” or “death is inevitable”.</w:t>
      </w:r>
    </w:p>
    <w:p w:rsidR="00000000" w:rsidDel="00000000" w:rsidP="00000000" w:rsidRDefault="00000000" w:rsidRPr="00000000" w14:paraId="0000000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Death in the Middle Ages was celebrated primarily through religious practices that emphasised its spiritual significance and the hope for eternal life. While the physical reality of death was often grim, the medieval Christian view framed death as a gateway to salvation. “Thus, the Christian is urged to look foward to death with joy, as if to a new birth”.</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The main focus was to emphasise the importance of a “clean soul” to allow eternal life in Heaven. Therefore within Christianity there wasn't much focus on death itself but rather the part after death. For example, Easter is a yearly celebration of Jesus defeating death for the benefit of Christian souls which was often re-enacted and  “by the fifteenth century the re-enactment had become a standard way of celebrating Easter.”</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Within funerals the “soul of the deceased was the most important aspect” </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There were different funeral rites and rituals which were used in a way to celebrate the deceased and help them gain eternal life, for example the body would be washed and anointed with holy oils and Mass would take place. </w:t>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last rites is a common Christian practice where they hope it saves the soul thereby sending it to Heaven. They are performed when someone is in danger of death and cannot be performed on someone who has already passed. Therefore dying quickly without confessing sins was seen as a bad death and may have been feared among the population. “The thirteenth century bishop and liturgist of Mende, Gulielmus Durandus…… he thinks that to die suddenly is to die not for some manifest reason, but solely by the judgement of God”</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This fear would have been particularly high during times of desperation like the Black Death where many died alone and unexpectedly. Bodies, especially amongst the poor, were not given proper burials and time to repent therefore, according to Christianity this would lead to a bad, painful afterlife. Fears about death may have grown due to this. Moreover the myth that God sent the plague to punish would have made these fears much worse. “An important objective was to instill a sense of fear and humility, which in turn would lead to repentance.”</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tl w:val="0"/>
        </w:rPr>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Saints played a central role in the Christian understanding of death and they could be seen as a way of celebrating death. Saints associated with a “good death” are normally prayed to during times of sickness or at the hours of death, for example, St. Joseph is often called the patron saint of peaceful passing. Relics were also widely worshipped as they were believed to hold miraculous powers, including the ability to heal. Many would go on pilgrimages to these relics to pray and wish for better health for themselves or loved ones. Saints are also celebrated on their feast days which often fall on their death, seen as their “heavenly birthday”. However the saints are not necessarily celebrated because of their death but how they lived their life and what they proceed to do in the afterlife, like their relics holding healing powers. </w:t>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In the 1380s was the introduction to the Cadaver monuments. These feature a sculpted tomb with a skeleton or decomposing body laying on top. They were designed to remind viewers of the transience of mortal life and are often interpreted as a form of “memento mori” “thus the afterlife should be at the centre of one’s earthly thoughts and deeds”.</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Fonts w:ascii="Georgia" w:cs="Georgia" w:eastAsia="Georgia" w:hAnsi="Georgia"/>
          <w:sz w:val="24"/>
          <w:szCs w:val="24"/>
          <w:rtl w:val="0"/>
        </w:rPr>
        <w:t xml:space="preserve"> Over the centuries the depictions became more realistic and gruesome. They were intentionally unsettling, designed to provoke reflection on mortality, however, they were not created to frighten people in a senseless way, but rather to instil a healthy fear for death and the afterlife. This fear was meant to motivate repentance and devotion to God. </w:t>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four Horsemen of the Apocalypse are symbolic figures described in the Bible, each representing a specific concept. “</w:t>
      </w:r>
      <w:r w:rsidDel="00000000" w:rsidR="00000000" w:rsidRPr="00000000">
        <w:rPr>
          <w:rFonts w:ascii="Georgia" w:cs="Georgia" w:eastAsia="Georgia" w:hAnsi="Georgia"/>
          <w:sz w:val="24"/>
          <w:szCs w:val="24"/>
          <w:highlight w:val="white"/>
          <w:rtl w:val="0"/>
        </w:rPr>
        <w:t xml:space="preserve">These four horsemen appear to symbolically portray four disastrous occurrences that will take place before the second coming of Jesus Christ.”</w:t>
      </w:r>
      <w:r w:rsidDel="00000000" w:rsidR="00000000" w:rsidRPr="00000000">
        <w:rPr>
          <w:rFonts w:ascii="Georgia" w:cs="Georgia" w:eastAsia="Georgia" w:hAnsi="Georgia"/>
          <w:sz w:val="24"/>
          <w:szCs w:val="24"/>
          <w:highlight w:val="white"/>
          <w:vertAlign w:val="superscript"/>
        </w:rPr>
        <w:footnoteReference w:customMarkFollows="0" w:id="6"/>
      </w:r>
      <w:r w:rsidDel="00000000" w:rsidR="00000000" w:rsidRPr="00000000">
        <w:rPr>
          <w:rFonts w:ascii="Georgia" w:cs="Georgia" w:eastAsia="Georgia" w:hAnsi="Georgia"/>
          <w:sz w:val="24"/>
          <w:szCs w:val="24"/>
          <w:rtl w:val="0"/>
        </w:rPr>
        <w:t xml:space="preserve"> The white horse is conquest, the rider carries a bow and is normally given a crown, symbolising the power to conquer. Some interpretations suggest its a symbol of false peace and deception while others suggest its picturing Christ. The red horse represents war and bloodshed.  The black horse symbolises famine, this is shown in images of the rider holding a pair of scales, indicating the weighing and rationing of food. The pale horse, often described as sickly, represents death. </w:t>
        <w:br w:type="textWrapping"/>
        <w:t xml:space="preserve">The four Horsemen of the Apocalypse, were not explicitly intended to instil fear about death but rather convey a warning about judgement and the consequences of human sin. The vivid depictions were likely meant to spur urgency, encouraging readers to turn to God in light of the future. However their imagery has evoked fear due to its portrayal of suffering, death and calamity. </w:t>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While fear of death might have been a natural reaction to the Four Horsemen’s imagery, their primary purpose was to warn and call for repentance. </w:t>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E">
      <w:pPr>
        <w:ind w:firstLine="720"/>
        <w:rPr>
          <w:rFonts w:ascii="Georgia" w:cs="Georgia" w:eastAsia="Georgia" w:hAnsi="Georgia"/>
          <w:sz w:val="24"/>
          <w:szCs w:val="24"/>
          <w:highlight w:val="white"/>
        </w:rPr>
      </w:pPr>
      <w:r w:rsidDel="00000000" w:rsidR="00000000" w:rsidRPr="00000000">
        <w:rPr>
          <w:rFonts w:ascii="Georgia" w:cs="Georgia" w:eastAsia="Georgia" w:hAnsi="Georgia"/>
          <w:sz w:val="24"/>
          <w:szCs w:val="24"/>
          <w:rtl w:val="0"/>
        </w:rPr>
        <w:t xml:space="preserve">   Another form of artwork that may have been used to create fear was the Danse Macabre. The Danse Macabre or “Dance of Death” is a medieval concept that depicts a dance led by death, typically personified as a skeleton, involving people from all statuses for example, kings, popes, peasants and children. The Danse Macabre originated in 14th century Europe, during a period of upheaval events such as the Black Death, famines and war. “</w:t>
      </w:r>
      <w:r w:rsidDel="00000000" w:rsidR="00000000" w:rsidRPr="00000000">
        <w:rPr>
          <w:rFonts w:ascii="Georgia" w:cs="Georgia" w:eastAsia="Georgia" w:hAnsi="Georgia"/>
          <w:sz w:val="24"/>
          <w:szCs w:val="24"/>
          <w:highlight w:val="white"/>
          <w:rtl w:val="0"/>
        </w:rPr>
        <w:t xml:space="preserve">It showed that the rich and the poor were equal when facing death, regardless of social status.”</w:t>
      </w:r>
      <w:r w:rsidDel="00000000" w:rsidR="00000000" w:rsidRPr="00000000">
        <w:rPr>
          <w:rFonts w:ascii="Georgia" w:cs="Georgia" w:eastAsia="Georgia" w:hAnsi="Georgia"/>
          <w:sz w:val="24"/>
          <w:szCs w:val="24"/>
          <w:highlight w:val="white"/>
          <w:vertAlign w:val="superscript"/>
        </w:rPr>
        <w:footnoteReference w:customMarkFollows="0" w:id="7"/>
      </w:r>
      <w:r w:rsidDel="00000000" w:rsidR="00000000" w:rsidRPr="00000000">
        <w:rPr>
          <w:rFonts w:ascii="Georgia" w:cs="Georgia" w:eastAsia="Georgia" w:hAnsi="Georgia"/>
          <w:sz w:val="24"/>
          <w:szCs w:val="24"/>
          <w:highlight w:val="white"/>
          <w:rtl w:val="0"/>
        </w:rPr>
        <w:t xml:space="preserve"> This was especially impactful during times when the feudal system was at its highest. It was intended to remind people of the inevitability of death and the transient nature of life. The Danse Macabre likely enhanced fear within people especially at time of so much death and in the context of religious belief, it may have intensified fear about judgement and the afterlife. “The image represents a future state- what the subject will become- and so contributes to the construction of the subject’s sense of self. In this case its the notion of the sinner.”</w:t>
      </w:r>
      <w:r w:rsidDel="00000000" w:rsidR="00000000" w:rsidRPr="00000000">
        <w:rPr>
          <w:rFonts w:ascii="Georgia" w:cs="Georgia" w:eastAsia="Georgia" w:hAnsi="Georgia"/>
          <w:sz w:val="24"/>
          <w:szCs w:val="24"/>
          <w:highlight w:val="white"/>
          <w:vertAlign w:val="superscript"/>
        </w:rPr>
        <w:footnoteReference w:customMarkFollows="0" w:id="8"/>
      </w:r>
      <w:r w:rsidDel="00000000" w:rsidR="00000000" w:rsidRPr="00000000">
        <w:rPr>
          <w:rFonts w:ascii="Georgia" w:cs="Georgia" w:eastAsia="Georgia" w:hAnsi="Georgia"/>
          <w:sz w:val="24"/>
          <w:szCs w:val="24"/>
          <w:highlight w:val="white"/>
          <w:rtl w:val="0"/>
        </w:rPr>
        <w:t xml:space="preserve"> Religious groups may have used these images at times of desperation to encourage more to turn to God and repent. At this time there was already much fear in God and being a “sinner”, theories spread quickly around the cause of the Black Death being a punishment from God for humanity’s sins. Many people thought that the plague was a form of divine wrath sent to purify the world of its moral corruption and people were urged to seek repentance, the artworks created around this time like the Danse Macabre may have been used to emphasise this. However, although this image was often dark and may have caused some fear, in some ways, it conveys the message that death should not be feared but accepted as a natural part of life. The imagery itself isn't necessarily gruesome, it often paints a happier, peaceful picture of death with people dancing and celebrating.</w:t>
      </w:r>
    </w:p>
    <w:p w:rsidR="00000000" w:rsidDel="00000000" w:rsidP="00000000" w:rsidRDefault="00000000" w:rsidRPr="00000000" w14:paraId="0000000F">
      <w:pPr>
        <w:ind w:firstLine="72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 </w:t>
      </w:r>
    </w:p>
    <w:p w:rsidR="00000000" w:rsidDel="00000000" w:rsidP="00000000" w:rsidRDefault="00000000" w:rsidRPr="00000000" w14:paraId="00000010">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               In the Middle Ages, there were some things that were feared more than death. While death was inevitable, certain threats were considered more terrifying. </w:t>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The fear of eternal damnation was one of the most profound fears of the Middle Ages. People were deeply concerned about the state of their souls after death, and the prospect of eternal torment in hell for living a sinful life was considered far worse than physical death. Moreover, people were also afraid of illnesses such as leprosy. Leprosy wa</w:t>
      </w:r>
      <w:r w:rsidDel="00000000" w:rsidR="00000000" w:rsidRPr="00000000">
        <w:rPr>
          <w:rFonts w:ascii="Georgia" w:cs="Georgia" w:eastAsia="Georgia" w:hAnsi="Georgia"/>
          <w:sz w:val="24"/>
          <w:szCs w:val="24"/>
          <w:rtl w:val="0"/>
        </w:rPr>
        <w:t xml:space="preserve">s characterised by disfiguring skin lesions, nerve damage, and a gradual degeneration</w:t>
      </w:r>
      <w:r w:rsidDel="00000000" w:rsidR="00000000" w:rsidRPr="00000000">
        <w:rPr>
          <w:rFonts w:ascii="Georgia" w:cs="Georgia" w:eastAsia="Georgia" w:hAnsi="Georgia"/>
          <w:sz w:val="24"/>
          <w:szCs w:val="24"/>
          <w:highlight w:val="white"/>
          <w:rtl w:val="0"/>
        </w:rPr>
        <w:t xml:space="preserve"> of affected body parts, therefore people feared the suffering behind leprosy not just the death. </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sz w:val="24"/>
          <w:szCs w:val="24"/>
          <w:rtl w:val="0"/>
        </w:rPr>
        <w:t xml:space="preserve">Reactions to leprosy were complex and varied in the middle ages. Some, for example, viewed it as divine punishment for sin, known as ‘the living death”</w:t>
      </w:r>
      <w:r w:rsidDel="00000000" w:rsidR="00000000" w:rsidRPr="00000000">
        <w:rPr>
          <w:rFonts w:ascii="Georgia" w:cs="Georgia" w:eastAsia="Georgia" w:hAnsi="Georgia"/>
          <w:sz w:val="24"/>
          <w:szCs w:val="24"/>
          <w:vertAlign w:val="superscript"/>
        </w:rPr>
        <w:footnoteReference w:customMarkFollows="0" w:id="9"/>
      </w:r>
      <w:r w:rsidDel="00000000" w:rsidR="00000000" w:rsidRPr="00000000">
        <w:rPr>
          <w:rFonts w:ascii="Georgia" w:cs="Georgia" w:eastAsia="Georgia" w:hAnsi="Georgia"/>
          <w:sz w:val="24"/>
          <w:szCs w:val="24"/>
          <w:rtl w:val="0"/>
        </w:rPr>
        <w:t xml:space="preserve">, “ corruption of the soul could result in physical disease: leprosy was thought to be an indication of sexual sin”</w:t>
      </w:r>
      <w:r w:rsidDel="00000000" w:rsidR="00000000" w:rsidRPr="00000000">
        <w:rPr>
          <w:rFonts w:ascii="Georgia" w:cs="Georgia" w:eastAsia="Georgia" w:hAnsi="Georgia"/>
          <w:sz w:val="24"/>
          <w:szCs w:val="24"/>
          <w:vertAlign w:val="superscript"/>
        </w:rPr>
        <w:footnoteReference w:customMarkFollows="0" w:id="10"/>
      </w:r>
      <w:r w:rsidDel="00000000" w:rsidR="00000000" w:rsidRPr="00000000">
        <w:rPr>
          <w:rFonts w:ascii="Georgia" w:cs="Georgia" w:eastAsia="Georgia" w:hAnsi="Georgia"/>
          <w:sz w:val="24"/>
          <w:szCs w:val="24"/>
          <w:rtl w:val="0"/>
        </w:rPr>
        <w:t xml:space="preserve">. Many were isolated from society and located in leper colonies or leprosaria outside of the towns. </w:t>
      </w:r>
      <w:r w:rsidDel="00000000" w:rsidR="00000000" w:rsidRPr="00000000">
        <w:rPr>
          <w:rtl w:val="0"/>
        </w:rPr>
      </w:r>
    </w:p>
    <w:p w:rsidR="00000000" w:rsidDel="00000000" w:rsidP="00000000" w:rsidRDefault="00000000" w:rsidRPr="00000000" w14:paraId="00000012">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                 </w:t>
      </w:r>
    </w:p>
    <w:p w:rsidR="00000000" w:rsidDel="00000000" w:rsidP="00000000" w:rsidRDefault="00000000" w:rsidRPr="00000000" w14:paraId="00000013">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              Overall, throughout the Middle ages death became a common occurrence and was likely to hit at any time. Death in paintings, poems and architecture was a popular theme throughout the whole period, carrying the same message of memento   mori meaning death is inevitable. Christianity carried a huge influence over the feelings towards death encouraging people to be mindful of the health of their souls at all times. Although the thought of death may have been feared, there were many other factors that could have been feared more than death, for example, leprosy and eternal damnation. Death was not celebrated in the modern sense of “celebration”, but it was treated as a significant passage with deep symbolic practices like Requiem Masses. </w:t>
      </w:r>
      <w:r w:rsidDel="00000000" w:rsidR="00000000" w:rsidRPr="00000000">
        <w:rPr>
          <w:rtl w:val="0"/>
        </w:rPr>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5">
      <w:pPr>
        <w:pStyle w:val="Heading2"/>
        <w:rPr>
          <w:rFonts w:ascii="Times New Roman" w:cs="Times New Roman" w:eastAsia="Times New Roman" w:hAnsi="Times New Roman"/>
        </w:rPr>
      </w:pPr>
      <w:bookmarkStart w:colFirst="0" w:colLast="0" w:name="_kx5066mnqxey" w:id="1"/>
      <w:bookmarkEnd w:id="1"/>
      <w:r w:rsidDel="00000000" w:rsidR="00000000" w:rsidRPr="00000000">
        <w:rPr>
          <w:rFonts w:ascii="Times New Roman" w:cs="Times New Roman" w:eastAsia="Times New Roman" w:hAnsi="Times New Roman"/>
          <w:rtl w:val="0"/>
        </w:rPr>
        <w:t xml:space="preserve">Bibliography </w:t>
      </w:r>
    </w:p>
    <w:p w:rsidR="00000000" w:rsidDel="00000000" w:rsidP="00000000" w:rsidRDefault="00000000" w:rsidRPr="00000000" w14:paraId="00000016">
      <w:pPr>
        <w:spacing w:line="240" w:lineRule="auto"/>
        <w:rPr/>
      </w:pPr>
      <w:r w:rsidDel="00000000" w:rsidR="00000000" w:rsidRPr="00000000">
        <w:rPr>
          <w:rFonts w:ascii="Georgia" w:cs="Georgia" w:eastAsia="Georgia" w:hAnsi="Georgia"/>
          <w:sz w:val="24"/>
          <w:szCs w:val="24"/>
          <w:highlight w:val="white"/>
          <w:rtl w:val="0"/>
        </w:rPr>
        <w:t xml:space="preserve">Christopher Daniell. (1997). </w:t>
      </w:r>
      <w:r w:rsidDel="00000000" w:rsidR="00000000" w:rsidRPr="00000000">
        <w:rPr>
          <w:rFonts w:ascii="Georgia" w:cs="Georgia" w:eastAsia="Georgia" w:hAnsi="Georgia"/>
          <w:i w:val="1"/>
          <w:sz w:val="24"/>
          <w:szCs w:val="24"/>
          <w:rtl w:val="0"/>
        </w:rPr>
        <w:t xml:space="preserve">Death and Burial in Medieval England</w:t>
      </w:r>
      <w:r w:rsidDel="00000000" w:rsidR="00000000" w:rsidRPr="00000000">
        <w:rPr>
          <w:rFonts w:ascii="Georgia" w:cs="Georgia" w:eastAsia="Georgia" w:hAnsi="Georgia"/>
          <w:sz w:val="24"/>
          <w:szCs w:val="24"/>
          <w:highlight w:val="white"/>
          <w:rtl w:val="0"/>
        </w:rPr>
        <w:t xml:space="preserve">. London: Routledge. p.1</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Christopher Daniell. (1997). </w:t>
      </w:r>
      <w:r w:rsidDel="00000000" w:rsidR="00000000" w:rsidRPr="00000000">
        <w:rPr>
          <w:rFonts w:ascii="Georgia" w:cs="Georgia" w:eastAsia="Georgia" w:hAnsi="Georgia"/>
          <w:i w:val="1"/>
          <w:sz w:val="24"/>
          <w:szCs w:val="24"/>
          <w:rtl w:val="0"/>
        </w:rPr>
        <w:t xml:space="preserve">Death and Burial in Medieval England</w:t>
      </w:r>
      <w:r w:rsidDel="00000000" w:rsidR="00000000" w:rsidRPr="00000000">
        <w:rPr>
          <w:rFonts w:ascii="Georgia" w:cs="Georgia" w:eastAsia="Georgia" w:hAnsi="Georgia"/>
          <w:sz w:val="24"/>
          <w:szCs w:val="24"/>
          <w:highlight w:val="white"/>
          <w:rtl w:val="0"/>
        </w:rPr>
        <w:t xml:space="preserve">. London: Routledge. P.66.</w:t>
      </w:r>
    </w:p>
    <w:p w:rsidR="00000000" w:rsidDel="00000000" w:rsidP="00000000" w:rsidRDefault="00000000" w:rsidRPr="00000000" w14:paraId="00000019">
      <w:pPr>
        <w:spacing w:line="240" w:lineRule="auto"/>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A">
      <w:pPr>
        <w:spacing w:line="240" w:lineRule="auto"/>
        <w:rPr>
          <w:sz w:val="24"/>
          <w:szCs w:val="24"/>
        </w:rPr>
      </w:pPr>
      <w:r w:rsidDel="00000000" w:rsidR="00000000" w:rsidRPr="00000000">
        <w:rPr>
          <w:rFonts w:ascii="Georgia" w:cs="Georgia" w:eastAsia="Georgia" w:hAnsi="Georgia"/>
          <w:sz w:val="24"/>
          <w:szCs w:val="24"/>
          <w:highlight w:val="white"/>
          <w:rtl w:val="0"/>
        </w:rPr>
        <w:t xml:space="preserve">Christopher Daniell. (1997). </w:t>
      </w:r>
      <w:r w:rsidDel="00000000" w:rsidR="00000000" w:rsidRPr="00000000">
        <w:rPr>
          <w:rFonts w:ascii="Georgia" w:cs="Georgia" w:eastAsia="Georgia" w:hAnsi="Georgia"/>
          <w:i w:val="1"/>
          <w:sz w:val="24"/>
          <w:szCs w:val="24"/>
          <w:rtl w:val="0"/>
        </w:rPr>
        <w:t xml:space="preserve">Death and Burial in Medieval England</w:t>
      </w:r>
      <w:r w:rsidDel="00000000" w:rsidR="00000000" w:rsidRPr="00000000">
        <w:rPr>
          <w:rFonts w:ascii="Georgia" w:cs="Georgia" w:eastAsia="Georgia" w:hAnsi="Georgia"/>
          <w:sz w:val="24"/>
          <w:szCs w:val="24"/>
          <w:highlight w:val="white"/>
          <w:rtl w:val="0"/>
        </w:rPr>
        <w:t xml:space="preserve">. London: Routledge. p.206</w:t>
      </w:r>
      <w:r w:rsidDel="00000000" w:rsidR="00000000" w:rsidRPr="00000000">
        <w:rPr>
          <w:rtl w:val="0"/>
        </w:rPr>
      </w:r>
    </w:p>
    <w:p w:rsidR="00000000" w:rsidDel="00000000" w:rsidP="00000000" w:rsidRDefault="00000000" w:rsidRPr="00000000" w14:paraId="0000001B">
      <w:pPr>
        <w:rPr>
          <w:sz w:val="30"/>
          <w:szCs w:val="30"/>
          <w:highlight w:val="white"/>
        </w:rPr>
      </w:pPr>
      <w:r w:rsidDel="00000000" w:rsidR="00000000" w:rsidRPr="00000000">
        <w:rPr>
          <w:rtl w:val="0"/>
        </w:rPr>
      </w:r>
    </w:p>
    <w:p w:rsidR="00000000" w:rsidDel="00000000" w:rsidP="00000000" w:rsidRDefault="00000000" w:rsidRPr="00000000" w14:paraId="0000001C">
      <w:pPr>
        <w:spacing w:line="240" w:lineRule="auto"/>
        <w:rPr>
          <w:sz w:val="30"/>
          <w:szCs w:val="30"/>
          <w:highlight w:val="white"/>
        </w:rPr>
      </w:pPr>
      <w:r w:rsidDel="00000000" w:rsidR="00000000" w:rsidRPr="00000000">
        <w:rPr>
          <w:rFonts w:ascii="Georgia" w:cs="Georgia" w:eastAsia="Georgia" w:hAnsi="Georgia"/>
          <w:sz w:val="24"/>
          <w:szCs w:val="24"/>
          <w:highlight w:val="white"/>
          <w:rtl w:val="0"/>
        </w:rPr>
        <w:t xml:space="preserve">Christopher Daniell. (1997). </w:t>
      </w:r>
      <w:r w:rsidDel="00000000" w:rsidR="00000000" w:rsidRPr="00000000">
        <w:rPr>
          <w:rFonts w:ascii="Georgia" w:cs="Georgia" w:eastAsia="Georgia" w:hAnsi="Georgia"/>
          <w:i w:val="1"/>
          <w:sz w:val="24"/>
          <w:szCs w:val="24"/>
          <w:rtl w:val="0"/>
        </w:rPr>
        <w:t xml:space="preserve">Death and Burial in Medieval England</w:t>
      </w:r>
      <w:r w:rsidDel="00000000" w:rsidR="00000000" w:rsidRPr="00000000">
        <w:rPr>
          <w:rFonts w:ascii="Georgia" w:cs="Georgia" w:eastAsia="Georgia" w:hAnsi="Georgia"/>
          <w:sz w:val="24"/>
          <w:szCs w:val="24"/>
          <w:highlight w:val="white"/>
          <w:rtl w:val="0"/>
        </w:rPr>
        <w:t xml:space="preserve">. London: Routledge. p.2</w:t>
      </w:r>
      <w:r w:rsidDel="00000000" w:rsidR="00000000" w:rsidRPr="00000000">
        <w:rPr>
          <w:rtl w:val="0"/>
        </w:rPr>
      </w:r>
    </w:p>
    <w:p w:rsidR="00000000" w:rsidDel="00000000" w:rsidP="00000000" w:rsidRDefault="00000000" w:rsidRPr="00000000" w14:paraId="0000001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Dr Christina Welch. (2022). English and Welsh Carved Cadavers. [Online]. The Churches Conservation Trust. Available at: </w:t>
      </w:r>
      <w:hyperlink r:id="rId7">
        <w:r w:rsidDel="00000000" w:rsidR="00000000" w:rsidRPr="00000000">
          <w:rPr>
            <w:rFonts w:ascii="Georgia" w:cs="Georgia" w:eastAsia="Georgia" w:hAnsi="Georgia"/>
            <w:color w:val="1155cc"/>
            <w:sz w:val="24"/>
            <w:szCs w:val="24"/>
            <w:u w:val="single"/>
            <w:rtl w:val="0"/>
          </w:rPr>
          <w:t xml:space="preserve">https://www.visitchurches.org.uk/what-we-do/blog/english-and-welsh-carved-cadavers-an-overview-with- </w:t>
        </w:r>
      </w:hyperlink>
      <w:r w:rsidDel="00000000" w:rsidR="00000000" w:rsidRPr="00000000">
        <w:rPr>
          <w:rFonts w:ascii="Georgia" w:cs="Georgia" w:eastAsia="Georgia" w:hAnsi="Georgia"/>
          <w:sz w:val="24"/>
          <w:szCs w:val="24"/>
          <w:rtl w:val="0"/>
        </w:rPr>
        <w:t xml:space="preserve">[Accessed 24 November 2024].</w:t>
      </w:r>
    </w:p>
    <w:p w:rsidR="00000000" w:rsidDel="00000000" w:rsidP="00000000" w:rsidRDefault="00000000" w:rsidRPr="00000000" w14:paraId="0000001F">
      <w:pPr>
        <w:rPr>
          <w:sz w:val="30"/>
          <w:szCs w:val="30"/>
          <w:highlight w:val="white"/>
        </w:rPr>
      </w:pPr>
      <w:r w:rsidDel="00000000" w:rsidR="00000000" w:rsidRPr="00000000">
        <w:rPr>
          <w:rtl w:val="0"/>
        </w:rPr>
      </w:r>
    </w:p>
    <w:p w:rsidR="00000000" w:rsidDel="00000000" w:rsidP="00000000" w:rsidRDefault="00000000" w:rsidRPr="00000000" w14:paraId="00000020">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Harry Sherrin. (2023). </w:t>
      </w:r>
      <w:r w:rsidDel="00000000" w:rsidR="00000000" w:rsidRPr="00000000">
        <w:rPr>
          <w:rFonts w:ascii="Georgia" w:cs="Georgia" w:eastAsia="Georgia" w:hAnsi="Georgia"/>
          <w:i w:val="1"/>
          <w:sz w:val="24"/>
          <w:szCs w:val="24"/>
          <w:rtl w:val="0"/>
        </w:rPr>
        <w:t xml:space="preserve">Living with Leprosy in Medieval England</w:t>
      </w:r>
      <w:r w:rsidDel="00000000" w:rsidR="00000000" w:rsidRPr="00000000">
        <w:rPr>
          <w:rFonts w:ascii="Georgia" w:cs="Georgia" w:eastAsia="Georgia" w:hAnsi="Georgia"/>
          <w:sz w:val="24"/>
          <w:szCs w:val="24"/>
          <w:highlight w:val="white"/>
          <w:rtl w:val="0"/>
        </w:rPr>
        <w:t xml:space="preserve">. [Online]. HistoryHit. Available at:</w:t>
      </w:r>
      <w:hyperlink r:id="rId8">
        <w:r w:rsidDel="00000000" w:rsidR="00000000" w:rsidRPr="00000000">
          <w:rPr>
            <w:rFonts w:ascii="Georgia" w:cs="Georgia" w:eastAsia="Georgia" w:hAnsi="Georgia"/>
            <w:color w:val="1155cc"/>
            <w:sz w:val="24"/>
            <w:szCs w:val="24"/>
            <w:highlight w:val="white"/>
            <w:u w:val="single"/>
            <w:rtl w:val="0"/>
          </w:rPr>
          <w:t xml:space="preserve"> https://www.historyhit.com/leprosy-in-medieval-england/ </w:t>
        </w:r>
      </w:hyperlink>
      <w:r w:rsidDel="00000000" w:rsidR="00000000" w:rsidRPr="00000000">
        <w:rPr>
          <w:rFonts w:ascii="Georgia" w:cs="Georgia" w:eastAsia="Georgia" w:hAnsi="Georgia"/>
          <w:sz w:val="24"/>
          <w:szCs w:val="24"/>
          <w:highlight w:val="white"/>
          <w:rtl w:val="0"/>
        </w:rPr>
        <w:t xml:space="preserve">[Accessed 22 November 2024].</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HOPE BOLINGER. (2024). </w:t>
      </w:r>
      <w:r w:rsidDel="00000000" w:rsidR="00000000" w:rsidRPr="00000000">
        <w:rPr>
          <w:rFonts w:ascii="Georgia" w:cs="Georgia" w:eastAsia="Georgia" w:hAnsi="Georgia"/>
          <w:i w:val="1"/>
          <w:sz w:val="24"/>
          <w:szCs w:val="24"/>
          <w:rtl w:val="0"/>
        </w:rPr>
        <w:t xml:space="preserve">Who Are the Four Horsemen of the Apocalypse?</w:t>
      </w:r>
      <w:r w:rsidDel="00000000" w:rsidR="00000000" w:rsidRPr="00000000">
        <w:rPr>
          <w:rFonts w:ascii="Georgia" w:cs="Georgia" w:eastAsia="Georgia" w:hAnsi="Georgia"/>
          <w:sz w:val="24"/>
          <w:szCs w:val="24"/>
          <w:highlight w:val="white"/>
          <w:rtl w:val="0"/>
        </w:rPr>
        <w:t xml:space="preserve">. [Online]. Christianity.com. Available at:</w:t>
      </w:r>
      <w:hyperlink r:id="rId9">
        <w:r w:rsidDel="00000000" w:rsidR="00000000" w:rsidRPr="00000000">
          <w:rPr>
            <w:rFonts w:ascii="Georgia" w:cs="Georgia" w:eastAsia="Georgia" w:hAnsi="Georgia"/>
            <w:color w:val="1155cc"/>
            <w:sz w:val="24"/>
            <w:szCs w:val="24"/>
            <w:u w:val="single"/>
            <w:rtl w:val="0"/>
          </w:rPr>
          <w:t xml:space="preserve">https://www.christianity.com/wiki/end-times/who-are-the-four-horsemen-in-revelation-their-meaning-and-significance.html</w:t>
        </w:r>
      </w:hyperlink>
      <w:r w:rsidDel="00000000" w:rsidR="00000000" w:rsidRPr="00000000">
        <w:rPr>
          <w:rFonts w:ascii="Georgia" w:cs="Georgia" w:eastAsia="Georgia" w:hAnsi="Georgia"/>
          <w:sz w:val="24"/>
          <w:szCs w:val="24"/>
          <w:highlight w:val="white"/>
          <w:rtl w:val="0"/>
        </w:rPr>
        <w:t xml:space="preserve"> [Accessed 20 November 2024].</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Marie-Madeleine Renauld,. (2021). </w:t>
      </w:r>
      <w:r w:rsidDel="00000000" w:rsidR="00000000" w:rsidRPr="00000000">
        <w:rPr>
          <w:rFonts w:ascii="Georgia" w:cs="Georgia" w:eastAsia="Georgia" w:hAnsi="Georgia"/>
          <w:i w:val="1"/>
          <w:sz w:val="24"/>
          <w:szCs w:val="24"/>
          <w:rtl w:val="0"/>
        </w:rPr>
        <w:t xml:space="preserve">Danse Macabre: The Allegorical Representation of Death</w:t>
      </w:r>
      <w:r w:rsidDel="00000000" w:rsidR="00000000" w:rsidRPr="00000000">
        <w:rPr>
          <w:rFonts w:ascii="Georgia" w:cs="Georgia" w:eastAsia="Georgia" w:hAnsi="Georgia"/>
          <w:sz w:val="24"/>
          <w:szCs w:val="24"/>
          <w:highlight w:val="white"/>
          <w:rtl w:val="0"/>
        </w:rPr>
        <w:t xml:space="preserve">. [Online]. The Collector. Available at: </w:t>
      </w:r>
      <w:hyperlink r:id="rId10">
        <w:r w:rsidDel="00000000" w:rsidR="00000000" w:rsidRPr="00000000">
          <w:rPr>
            <w:rFonts w:ascii="Georgia" w:cs="Georgia" w:eastAsia="Georgia" w:hAnsi="Georgia"/>
            <w:color w:val="1155cc"/>
            <w:sz w:val="24"/>
            <w:szCs w:val="24"/>
            <w:highlight w:val="white"/>
            <w:u w:val="single"/>
            <w:rtl w:val="0"/>
          </w:rPr>
          <w:t xml:space="preserve">https://www.thecollector.com/danse-macabre-middle-ages-danse-of-death/ </w:t>
        </w:r>
      </w:hyperlink>
      <w:r w:rsidDel="00000000" w:rsidR="00000000" w:rsidRPr="00000000">
        <w:rPr>
          <w:rFonts w:ascii="Georgia" w:cs="Georgia" w:eastAsia="Georgia" w:hAnsi="Georgia"/>
          <w:sz w:val="24"/>
          <w:szCs w:val="24"/>
          <w:highlight w:val="white"/>
          <w:rtl w:val="0"/>
        </w:rPr>
        <w:t xml:space="preserve">[Accessed 20 November 2024].</w:t>
      </w:r>
    </w:p>
    <w:p w:rsidR="00000000" w:rsidDel="00000000" w:rsidP="00000000" w:rsidRDefault="00000000" w:rsidRPr="00000000" w14:paraId="00000025">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6">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Paul Binkski. (1996). </w:t>
      </w:r>
      <w:r w:rsidDel="00000000" w:rsidR="00000000" w:rsidRPr="00000000">
        <w:rPr>
          <w:rFonts w:ascii="Georgia" w:cs="Georgia" w:eastAsia="Georgia" w:hAnsi="Georgia"/>
          <w:i w:val="1"/>
          <w:sz w:val="24"/>
          <w:szCs w:val="24"/>
          <w:highlight w:val="white"/>
          <w:rtl w:val="0"/>
        </w:rPr>
        <w:t xml:space="preserve">Medieval Death</w:t>
      </w:r>
      <w:r w:rsidDel="00000000" w:rsidR="00000000" w:rsidRPr="00000000">
        <w:rPr>
          <w:rFonts w:ascii="Georgia" w:cs="Georgia" w:eastAsia="Georgia" w:hAnsi="Georgia"/>
          <w:sz w:val="24"/>
          <w:szCs w:val="24"/>
          <w:highlight w:val="white"/>
          <w:rtl w:val="0"/>
        </w:rPr>
        <w:t xml:space="preserve">. London: British Museum Press. P.138.</w:t>
      </w:r>
    </w:p>
    <w:p w:rsidR="00000000" w:rsidDel="00000000" w:rsidP="00000000" w:rsidRDefault="00000000" w:rsidRPr="00000000" w14:paraId="00000027">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8">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Philippe Aries. (1977). The hour of our death. Paris: Editions du Seuil. P.11.</w:t>
      </w:r>
    </w:p>
    <w:p w:rsidR="00000000" w:rsidDel="00000000" w:rsidP="00000000" w:rsidRDefault="00000000" w:rsidRPr="00000000" w14:paraId="00000029">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A">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Philippe Aries. (1977). The hour of our death. Paris: Editions du Seuil. p.13.</w:t>
      </w:r>
    </w:p>
    <w:sectPr>
      <w:head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6">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https://www.christianity.com/wiki/end-times/who-are-the-four-horsemen-in-revelation-their-meaning-and-significance.html</w:t>
        </w:r>
      </w:hyperlink>
      <w:r w:rsidDel="00000000" w:rsidR="00000000" w:rsidRPr="00000000">
        <w:rPr>
          <w:rtl w:val="0"/>
        </w:rPr>
      </w:r>
    </w:p>
  </w:footnote>
  <w:footnote w:id="7">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sz w:val="20"/>
            <w:szCs w:val="20"/>
            <w:u w:val="single"/>
            <w:rtl w:val="0"/>
          </w:rPr>
          <w:t xml:space="preserve"> https://www.thecollector.com/danse-macabre-middle-ages-danse-of-death/</w:t>
        </w:r>
      </w:hyperlink>
      <w:r w:rsidDel="00000000" w:rsidR="00000000" w:rsidRPr="00000000">
        <w:rPr>
          <w:rtl w:val="0"/>
        </w:rPr>
      </w:r>
    </w:p>
  </w:footnote>
  <w:footnote w:id="8">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Paul Binkski. (1996). </w:t>
      </w:r>
      <w:r w:rsidDel="00000000" w:rsidR="00000000" w:rsidRPr="00000000">
        <w:rPr>
          <w:i w:val="1"/>
          <w:sz w:val="20"/>
          <w:szCs w:val="20"/>
          <w:rtl w:val="0"/>
        </w:rPr>
        <w:t xml:space="preserve">Medieval Death</w:t>
      </w:r>
      <w:r w:rsidDel="00000000" w:rsidR="00000000" w:rsidRPr="00000000">
        <w:rPr>
          <w:sz w:val="20"/>
          <w:szCs w:val="20"/>
          <w:highlight w:val="white"/>
          <w:rtl w:val="0"/>
        </w:rPr>
        <w:t xml:space="preserve">. London: British Museum Press. p.138.</w:t>
      </w:r>
      <w:r w:rsidDel="00000000" w:rsidR="00000000" w:rsidRPr="00000000">
        <w:rPr>
          <w:rtl w:val="0"/>
        </w:rPr>
      </w:r>
    </w:p>
  </w:footnote>
  <w:footnote w:id="9">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https://www.historyhit.com/leprosy-in-medieval-england/</w:t>
        </w:r>
      </w:hyperlink>
      <w:r w:rsidDel="00000000" w:rsidR="00000000" w:rsidRPr="00000000">
        <w:rPr>
          <w:rtl w:val="0"/>
        </w:rPr>
      </w:r>
    </w:p>
  </w:footnote>
  <w:footnote w:id="1">
    <w:p w:rsidR="00000000" w:rsidDel="00000000" w:rsidP="00000000" w:rsidRDefault="00000000" w:rsidRPr="00000000" w14:paraId="00000030">
      <w:pPr>
        <w:spacing w:line="240" w:lineRule="auto"/>
        <w:rPr>
          <w:rFonts w:ascii="Georgia" w:cs="Georgia" w:eastAsia="Georgia" w:hAnsi="Georgia"/>
          <w:sz w:val="20"/>
          <w:szCs w:val="20"/>
        </w:rPr>
      </w:pPr>
      <w:r w:rsidDel="00000000" w:rsidR="00000000" w:rsidRPr="00000000">
        <w:rPr>
          <w:rStyle w:val="FootnoteReference"/>
          <w:vertAlign w:val="superscript"/>
        </w:rPr>
        <w:footnoteRef/>
      </w:r>
      <w:r w:rsidDel="00000000" w:rsidR="00000000" w:rsidRPr="00000000">
        <w:rPr>
          <w:rFonts w:ascii="Georgia" w:cs="Georgia" w:eastAsia="Georgia" w:hAnsi="Georgia"/>
          <w:sz w:val="20"/>
          <w:szCs w:val="20"/>
          <w:rtl w:val="0"/>
        </w:rPr>
        <w:t xml:space="preserve"> </w:t>
      </w:r>
      <w:r w:rsidDel="00000000" w:rsidR="00000000" w:rsidRPr="00000000">
        <w:rPr>
          <w:rFonts w:ascii="Georgia" w:cs="Georgia" w:eastAsia="Georgia" w:hAnsi="Georgia"/>
          <w:sz w:val="20"/>
          <w:szCs w:val="20"/>
          <w:highlight w:val="white"/>
          <w:rtl w:val="0"/>
        </w:rPr>
        <w:t xml:space="preserve">Christopher Daniell. (1997). </w:t>
      </w:r>
      <w:r w:rsidDel="00000000" w:rsidR="00000000" w:rsidRPr="00000000">
        <w:rPr>
          <w:rFonts w:ascii="Georgia" w:cs="Georgia" w:eastAsia="Georgia" w:hAnsi="Georgia"/>
          <w:i w:val="1"/>
          <w:sz w:val="20"/>
          <w:szCs w:val="20"/>
          <w:rtl w:val="0"/>
        </w:rPr>
        <w:t xml:space="preserve">Death and Burial in Medieval England</w:t>
      </w:r>
      <w:r w:rsidDel="00000000" w:rsidR="00000000" w:rsidRPr="00000000">
        <w:rPr>
          <w:rFonts w:ascii="Georgia" w:cs="Georgia" w:eastAsia="Georgia" w:hAnsi="Georgia"/>
          <w:sz w:val="20"/>
          <w:szCs w:val="20"/>
          <w:highlight w:val="white"/>
          <w:rtl w:val="0"/>
        </w:rPr>
        <w:t xml:space="preserve">. London: Routledge. p.66.</w:t>
      </w:r>
      <w:r w:rsidDel="00000000" w:rsidR="00000000" w:rsidRPr="00000000">
        <w:rPr>
          <w:rtl w:val="0"/>
        </w:rPr>
      </w:r>
    </w:p>
  </w:footnote>
  <w:footnote w:id="2">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Christopher Daniell. (1997). </w:t>
      </w:r>
      <w:r w:rsidDel="00000000" w:rsidR="00000000" w:rsidRPr="00000000">
        <w:rPr>
          <w:rFonts w:ascii="Georgia" w:cs="Georgia" w:eastAsia="Georgia" w:hAnsi="Georgia"/>
          <w:i w:val="1"/>
          <w:sz w:val="20"/>
          <w:szCs w:val="20"/>
          <w:rtl w:val="0"/>
        </w:rPr>
        <w:t xml:space="preserve">Death and Burial in Medieval England</w:t>
      </w:r>
      <w:r w:rsidDel="00000000" w:rsidR="00000000" w:rsidRPr="00000000">
        <w:rPr>
          <w:rFonts w:ascii="Georgia" w:cs="Georgia" w:eastAsia="Georgia" w:hAnsi="Georgia"/>
          <w:sz w:val="20"/>
          <w:szCs w:val="20"/>
          <w:highlight w:val="white"/>
          <w:rtl w:val="0"/>
        </w:rPr>
        <w:t xml:space="preserve">. London: Routledge. p.206</w:t>
      </w:r>
      <w:r w:rsidDel="00000000" w:rsidR="00000000" w:rsidRPr="00000000">
        <w:rPr>
          <w:rtl w:val="0"/>
        </w:rPr>
      </w:r>
    </w:p>
  </w:footnote>
  <w:footnote w:id="10">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Christopher Daniell. (1997). </w:t>
      </w:r>
      <w:r w:rsidDel="00000000" w:rsidR="00000000" w:rsidRPr="00000000">
        <w:rPr>
          <w:rFonts w:ascii="Georgia" w:cs="Georgia" w:eastAsia="Georgia" w:hAnsi="Georgia"/>
          <w:i w:val="1"/>
          <w:sz w:val="20"/>
          <w:szCs w:val="20"/>
          <w:rtl w:val="0"/>
        </w:rPr>
        <w:t xml:space="preserve">Death and Burial in Medieval England</w:t>
      </w:r>
      <w:r w:rsidDel="00000000" w:rsidR="00000000" w:rsidRPr="00000000">
        <w:rPr>
          <w:rFonts w:ascii="Georgia" w:cs="Georgia" w:eastAsia="Georgia" w:hAnsi="Georgia"/>
          <w:sz w:val="20"/>
          <w:szCs w:val="20"/>
          <w:highlight w:val="white"/>
          <w:rtl w:val="0"/>
        </w:rPr>
        <w:t xml:space="preserve">. London: Routledge. p.1</w:t>
      </w:r>
      <w:r w:rsidDel="00000000" w:rsidR="00000000" w:rsidRPr="00000000">
        <w:rPr>
          <w:rtl w:val="0"/>
        </w:rPr>
      </w:r>
    </w:p>
  </w:footnote>
  <w:footnote w:id="4">
    <w:p w:rsidR="00000000" w:rsidDel="00000000" w:rsidP="00000000" w:rsidRDefault="00000000" w:rsidRPr="00000000" w14:paraId="00000033">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Georgia" w:cs="Georgia" w:eastAsia="Georgia" w:hAnsi="Georgia"/>
          <w:sz w:val="20"/>
          <w:szCs w:val="20"/>
          <w:highlight w:val="white"/>
          <w:rtl w:val="0"/>
        </w:rPr>
        <w:t xml:space="preserve">Christopher Daniell. (1997). </w:t>
      </w:r>
      <w:r w:rsidDel="00000000" w:rsidR="00000000" w:rsidRPr="00000000">
        <w:rPr>
          <w:rFonts w:ascii="Georgia" w:cs="Georgia" w:eastAsia="Georgia" w:hAnsi="Georgia"/>
          <w:i w:val="1"/>
          <w:sz w:val="20"/>
          <w:szCs w:val="20"/>
          <w:rtl w:val="0"/>
        </w:rPr>
        <w:t xml:space="preserve">Death and Burial in Medieval England</w:t>
      </w:r>
      <w:r w:rsidDel="00000000" w:rsidR="00000000" w:rsidRPr="00000000">
        <w:rPr>
          <w:rFonts w:ascii="Georgia" w:cs="Georgia" w:eastAsia="Georgia" w:hAnsi="Georgia"/>
          <w:sz w:val="20"/>
          <w:szCs w:val="20"/>
          <w:highlight w:val="white"/>
          <w:rtl w:val="0"/>
        </w:rPr>
        <w:t xml:space="preserve">. London: Routledge. p.2</w:t>
      </w:r>
      <w:r w:rsidDel="00000000" w:rsidR="00000000" w:rsidRPr="00000000">
        <w:rPr>
          <w:rtl w:val="0"/>
        </w:rPr>
      </w:r>
    </w:p>
  </w:footnote>
  <w:footnote w:id="3">
    <w:p w:rsidR="00000000" w:rsidDel="00000000" w:rsidP="00000000" w:rsidRDefault="00000000" w:rsidRPr="00000000" w14:paraId="00000034">
      <w:pPr>
        <w:spacing w:line="240" w:lineRule="auto"/>
        <w:rPr>
          <w:sz w:val="10"/>
          <w:szCs w:val="1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Philippe Aries. (1977). </w:t>
      </w:r>
      <w:r w:rsidDel="00000000" w:rsidR="00000000" w:rsidRPr="00000000">
        <w:rPr>
          <w:i w:val="1"/>
          <w:sz w:val="20"/>
          <w:szCs w:val="20"/>
          <w:rtl w:val="0"/>
        </w:rPr>
        <w:t xml:space="preserve">The hour of our death</w:t>
      </w:r>
      <w:r w:rsidDel="00000000" w:rsidR="00000000" w:rsidRPr="00000000">
        <w:rPr>
          <w:sz w:val="20"/>
          <w:szCs w:val="20"/>
          <w:highlight w:val="white"/>
          <w:rtl w:val="0"/>
        </w:rPr>
        <w:t xml:space="preserve">. Paris: Editions du Seuil. p.11.</w:t>
      </w:r>
      <w:r w:rsidDel="00000000" w:rsidR="00000000" w:rsidRPr="00000000">
        <w:rPr>
          <w:rtl w:val="0"/>
        </w:rPr>
      </w:r>
    </w:p>
  </w:footnote>
  <w:footnote w:id="0">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Philippe Aries. (1977). </w:t>
      </w:r>
      <w:r w:rsidDel="00000000" w:rsidR="00000000" w:rsidRPr="00000000">
        <w:rPr>
          <w:i w:val="1"/>
          <w:sz w:val="20"/>
          <w:szCs w:val="20"/>
          <w:rtl w:val="0"/>
        </w:rPr>
        <w:t xml:space="preserve">The hour of our death</w:t>
      </w:r>
      <w:r w:rsidDel="00000000" w:rsidR="00000000" w:rsidRPr="00000000">
        <w:rPr>
          <w:sz w:val="20"/>
          <w:szCs w:val="20"/>
          <w:highlight w:val="white"/>
          <w:rtl w:val="0"/>
        </w:rPr>
        <w:t xml:space="preserve">. Paris: Editions du Seuil. p.13..</w:t>
      </w:r>
      <w:r w:rsidDel="00000000" w:rsidR="00000000" w:rsidRPr="00000000">
        <w:rPr>
          <w:rtl w:val="0"/>
        </w:rPr>
      </w:r>
    </w:p>
  </w:footnote>
  <w:footnote w:id="5">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https://www.visitchurches.org.uk/what-we-do/blog/english-and-welsh-carved-cadavers-an-overview-with-dr-christina-welch.html</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B">
    <w:pPr>
      <w:rPr/>
    </w:pPr>
    <w:r w:rsidDel="00000000" w:rsidR="00000000" w:rsidRPr="00000000">
      <w:rPr>
        <w:rtl w:val="0"/>
      </w:rPr>
      <w:t xml:space="preserve">Katie Howell            Wordcount- 1779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eader" Target="header1.xml"/><Relationship Id="rId10" Type="http://schemas.openxmlformats.org/officeDocument/2006/relationships/hyperlink" Target="https://www.thecollector.com/danse-macabre-middle-ages-danse-of-death/" TargetMode="External"/><Relationship Id="rId9" Type="http://schemas.openxmlformats.org/officeDocument/2006/relationships/hyperlink" Target="https://www.christianity.com/wiki/end-times/who-are-the-four-horsemen-in-revelation-their-meaning-and-significance.html"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visitchurches.org.uk/what-we-do/blog/english-and-welsh-carved-cadavers-an-overview-with-" TargetMode="External"/><Relationship Id="rId8" Type="http://schemas.openxmlformats.org/officeDocument/2006/relationships/hyperlink" Target="https://www.historyhit.com/leprosy-in-medieval-england/"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christianity.com/wiki/end-times/who-are-the-four-horsemen-in-revelation-their-meaning-and-significance.html" TargetMode="External"/><Relationship Id="rId2" Type="http://schemas.openxmlformats.org/officeDocument/2006/relationships/hyperlink" Target="https://www.thecollector.com/danse-macabre-middle-ages-danse-of-death/" TargetMode="External"/><Relationship Id="rId3" Type="http://schemas.openxmlformats.org/officeDocument/2006/relationships/hyperlink" Target="https://www.historyhit.com/leprosy-in-medieval-england/" TargetMode="External"/><Relationship Id="rId4" Type="http://schemas.openxmlformats.org/officeDocument/2006/relationships/hyperlink" Target="https://www.visitchurches.org.uk/what-we-do/blog/english-and-welsh-carved-cadavers-an-overview-with-dr-christina-welc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