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76723506"/>
        <w:docPartObj>
          <w:docPartGallery w:val="Cover Pages"/>
          <w:docPartUnique/>
        </w:docPartObj>
      </w:sdtPr>
      <w:sdtContent>
        <w:p w:rsidR="006530B2" w:rsidRDefault="00802614">
          <w:pPr>
            <w:spacing w:after="160" w:line="259" w:lineRule="auto"/>
            <w:jc w:val="left"/>
            <w:rPr>
              <w:rFonts w:asciiTheme="majorHAnsi" w:eastAsiaTheme="majorEastAsia" w:hAnsiTheme="majorHAnsi" w:cstheme="majorBidi"/>
              <w:color w:val="2F5496" w:themeColor="accent1" w:themeShade="BF"/>
              <w:sz w:val="32"/>
              <w:szCs w:val="32"/>
            </w:rPr>
          </w:pPr>
          <w:r w:rsidRPr="00802614">
            <w:rPr>
              <w:noProof/>
            </w:rPr>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idth-percent:941;mso-height-percent:773;mso-position-horizontal:center;mso-position-horizontal-relative:page;mso-position-vertical:center;mso-position-vertical-relative:page;mso-width-percent:941;mso-height-percent:773;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tblPr>
                      <w:tblGrid>
                        <w:gridCol w:w="6293"/>
                        <w:gridCol w:w="5959"/>
                      </w:tblGrid>
                      <w:tr w:rsidR="006530B2">
                        <w:trPr>
                          <w:jc w:val="center"/>
                        </w:trPr>
                        <w:tc>
                          <w:tcPr>
                            <w:tcW w:w="2568" w:type="pct"/>
                            <w:vAlign w:val="center"/>
                          </w:tcPr>
                          <w:p w:rsidR="006530B2" w:rsidRDefault="00C21F3B">
                            <w:pPr>
                              <w:jc w:val="right"/>
                            </w:pPr>
                            <w:r>
                              <w:rPr>
                                <w:noProof/>
                              </w:rPr>
                              <w:drawing>
                                <wp:inline distT="0" distB="0" distL="0" distR="0">
                                  <wp:extent cx="3064510" cy="4431982"/>
                                  <wp:effectExtent l="0" t="0" r="2540" b="698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 uri="{837473B0-CC2E-450A-ABE3-18F120FF3D39}">
                                                <a1611:picAttrSrcUr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11="http://schemas.microsoft.com/office/drawing/2016/11/main" r:id="rId9"/>
                                              </a:ext>
                                            </a:extLst>
                                          </a:blip>
                                          <a:stretch>
                                            <a:fillRect/>
                                          </a:stretch>
                                        </pic:blipFill>
                                        <pic:spPr>
                                          <a:xfrm>
                                            <a:off x="0" y="0"/>
                                            <a:ext cx="3068237" cy="44373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6530B2" w:rsidRDefault="00C21F3B">
                                <w:pPr>
                                  <w:pStyle w:val="NoSpacing"/>
                                  <w:spacing w:line="312" w:lineRule="auto"/>
                                  <w:jc w:val="right"/>
                                  <w:rPr>
                                    <w:caps/>
                                    <w:color w:val="191919" w:themeColor="text1" w:themeTint="E6"/>
                                    <w:sz w:val="72"/>
                                    <w:szCs w:val="72"/>
                                  </w:rPr>
                                </w:pPr>
                                <w:r w:rsidRPr="00FE261F">
                                  <w:rPr>
                                    <w:caps/>
                                    <w:color w:val="191919" w:themeColor="text1" w:themeTint="E6"/>
                                    <w:sz w:val="72"/>
                                    <w:szCs w:val="72"/>
                                  </w:rPr>
                                  <w:t>COMMUNITY ENGAGEMENT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6530B2" w:rsidRDefault="00C21F3B">
                                <w:pPr>
                                  <w:jc w:val="right"/>
                                </w:pPr>
                                <w:r>
                                  <w:rPr>
                                    <w:color w:val="000000" w:themeColor="text1"/>
                                  </w:rPr>
                                  <w:t>Assignment 2</w:t>
                                </w:r>
                              </w:p>
                            </w:sdtContent>
                          </w:sdt>
                        </w:tc>
                        <w:tc>
                          <w:tcPr>
                            <w:tcW w:w="2432" w:type="pct"/>
                            <w:vAlign w:val="center"/>
                          </w:tcPr>
                          <w:p w:rsidR="00C21F3B" w:rsidRDefault="00C21F3B" w:rsidP="00C21F3B">
                            <w:pPr>
                              <w:pStyle w:val="NoSpacing"/>
                              <w:rPr>
                                <w:caps/>
                                <w:color w:val="ED7D31" w:themeColor="accent2"/>
                                <w:sz w:val="26"/>
                                <w:szCs w:val="26"/>
                              </w:rPr>
                            </w:pPr>
                            <w:r>
                              <w:rPr>
                                <w:caps/>
                                <w:color w:val="ED7D31" w:themeColor="accent2"/>
                                <w:sz w:val="26"/>
                                <w:szCs w:val="26"/>
                              </w:rPr>
                              <w:t xml:space="preserve">Lecturer: </w:t>
                            </w:r>
                            <w:r w:rsidR="001E6510">
                              <w:rPr>
                                <w:caps/>
                                <w:color w:val="ED7D31" w:themeColor="accent2"/>
                                <w:sz w:val="26"/>
                                <w:szCs w:val="26"/>
                              </w:rPr>
                              <w:t>DR. MOLLY</w:t>
                            </w:r>
                            <w:r>
                              <w:rPr>
                                <w:caps/>
                                <w:color w:val="ED7D31" w:themeColor="accent2"/>
                                <w:sz w:val="26"/>
                                <w:szCs w:val="26"/>
                              </w:rPr>
                              <w:t xml:space="preserve"> jack</w:t>
                            </w:r>
                          </w:p>
                          <w:sdt>
                            <w:sdtPr>
                              <w:rPr>
                                <w:rFonts w:ascii="Calibri" w:eastAsia="Calibri" w:hAnsi="Calibri"/>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p w:rsidR="006530B2" w:rsidRDefault="00C21F3B">
                                <w:pPr>
                                  <w:rPr>
                                    <w:color w:val="000000" w:themeColor="text1"/>
                                  </w:rPr>
                                </w:pPr>
                                <w:r w:rsidRPr="00C21F3B">
                                  <w:rPr>
                                    <w:rFonts w:ascii="Calibri" w:eastAsia="Calibri" w:hAnsi="Calibri"/>
                                    <w:color w:val="000000" w:themeColor="text1"/>
                                    <w:sz w:val="28"/>
                                    <w:szCs w:val="28"/>
                                  </w:rPr>
                                  <w:t>Hampstead Garden Suburb community in London borough in Barnet</w:t>
                                </w:r>
                              </w:p>
                            </w:sdtContent>
                          </w:sdt>
                          <w:p w:rsidR="00C21F3B" w:rsidRDefault="00802614" w:rsidP="00C21F3B">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9737A7">
                                  <w:rPr>
                                    <w:color w:val="ED7D31" w:themeColor="accent2"/>
                                    <w:sz w:val="26"/>
                                    <w:szCs w:val="26"/>
                                  </w:rPr>
                                  <w:t>Elena</w:t>
                                </w:r>
                                <w:r w:rsidR="009737A7">
                                  <w:rPr>
                                    <w:color w:val="ED7D31" w:themeColor="accent2"/>
                                    <w:sz w:val="26"/>
                                    <w:szCs w:val="26"/>
                                    <w:lang w:val="bg-BG"/>
                                  </w:rPr>
                                  <w:t xml:space="preserve"> Nedelchev</w:t>
                                </w:r>
                                <w:r w:rsidR="009737A7">
                                  <w:rPr>
                                    <w:color w:val="ED7D31" w:themeColor="accent2"/>
                                    <w:sz w:val="26"/>
                                    <w:szCs w:val="26"/>
                                  </w:rPr>
                                  <w:t>a</w:t>
                                </w:r>
                              </w:sdtContent>
                            </w:sdt>
                          </w:p>
                          <w:p w:rsidR="006530B2" w:rsidRDefault="0080261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21F3B">
                                  <w:rPr>
                                    <w:color w:val="44546A" w:themeColor="text2"/>
                                  </w:rPr>
                                  <w:t>SN 2112413</w:t>
                                </w:r>
                              </w:sdtContent>
                            </w:sdt>
                          </w:p>
                        </w:tc>
                      </w:tr>
                    </w:tbl>
                    <w:p w:rsidR="006530B2" w:rsidRDefault="006530B2"/>
                  </w:txbxContent>
                </v:textbox>
                <w10:wrap anchorx="page" anchory="page"/>
              </v:shape>
            </w:pict>
          </w:r>
          <w:r w:rsidR="006530B2">
            <w:br w:type="page"/>
          </w:r>
        </w:p>
      </w:sdtContent>
    </w:sdt>
    <w:sdt>
      <w:sdtPr>
        <w:rPr>
          <w:rFonts w:ascii="Times New Roman" w:eastAsia="Times New Roman" w:hAnsi="Times New Roman" w:cs="Times New Roman"/>
          <w:color w:val="auto"/>
          <w:sz w:val="24"/>
          <w:szCs w:val="24"/>
        </w:rPr>
        <w:id w:val="-2070564288"/>
        <w:docPartObj>
          <w:docPartGallery w:val="Table of Contents"/>
          <w:docPartUnique/>
        </w:docPartObj>
      </w:sdtPr>
      <w:sdtEndPr>
        <w:rPr>
          <w:b/>
          <w:bCs/>
          <w:noProof/>
        </w:rPr>
      </w:sdtEndPr>
      <w:sdtContent>
        <w:p w:rsidR="006530B2" w:rsidRDefault="006530B2">
          <w:pPr>
            <w:pStyle w:val="TOCHeading"/>
          </w:pPr>
          <w:r>
            <w:t>Table of Contents</w:t>
          </w:r>
        </w:p>
        <w:p w:rsidR="006530B2" w:rsidRDefault="00802614">
          <w:pPr>
            <w:pStyle w:val="TOC1"/>
            <w:tabs>
              <w:tab w:val="right" w:leader="dot" w:pos="9350"/>
            </w:tabs>
            <w:rPr>
              <w:rFonts w:asciiTheme="minorHAnsi" w:eastAsiaTheme="minorEastAsia" w:hAnsiTheme="minorHAnsi" w:cstheme="minorBidi"/>
              <w:noProof/>
              <w:sz w:val="22"/>
              <w:szCs w:val="22"/>
            </w:rPr>
          </w:pPr>
          <w:r w:rsidRPr="00802614">
            <w:fldChar w:fldCharType="begin"/>
          </w:r>
          <w:r w:rsidR="006530B2">
            <w:instrText xml:space="preserve"> TOC \o "1-3" \h \z \u </w:instrText>
          </w:r>
          <w:r w:rsidRPr="00802614">
            <w:fldChar w:fldCharType="separate"/>
          </w:r>
          <w:hyperlink w:anchor="_Toc102925686" w:history="1">
            <w:r w:rsidR="006530B2" w:rsidRPr="000050D4">
              <w:rPr>
                <w:rStyle w:val="Hyperlink"/>
                <w:rFonts w:cstheme="minorHAnsi"/>
                <w:noProof/>
              </w:rPr>
              <w:t>Introduction</w:t>
            </w:r>
            <w:r w:rsidR="006530B2">
              <w:rPr>
                <w:noProof/>
                <w:webHidden/>
              </w:rPr>
              <w:tab/>
            </w:r>
            <w:r>
              <w:rPr>
                <w:noProof/>
                <w:webHidden/>
              </w:rPr>
              <w:fldChar w:fldCharType="begin"/>
            </w:r>
            <w:r w:rsidR="006530B2">
              <w:rPr>
                <w:noProof/>
                <w:webHidden/>
              </w:rPr>
              <w:instrText xml:space="preserve"> PAGEREF _Toc102925686 \h </w:instrText>
            </w:r>
            <w:r>
              <w:rPr>
                <w:noProof/>
                <w:webHidden/>
              </w:rPr>
            </w:r>
            <w:r>
              <w:rPr>
                <w:noProof/>
                <w:webHidden/>
              </w:rPr>
              <w:fldChar w:fldCharType="separate"/>
            </w:r>
            <w:r w:rsidR="006530B2">
              <w:rPr>
                <w:noProof/>
                <w:webHidden/>
              </w:rPr>
              <w:t>2</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87" w:history="1">
            <w:r w:rsidR="006530B2" w:rsidRPr="000050D4">
              <w:rPr>
                <w:rStyle w:val="Hyperlink"/>
                <w:rFonts w:cstheme="minorHAnsi"/>
                <w:noProof/>
              </w:rPr>
              <w:t>Reflection</w:t>
            </w:r>
            <w:r w:rsidR="006530B2">
              <w:rPr>
                <w:noProof/>
                <w:webHidden/>
              </w:rPr>
              <w:tab/>
            </w:r>
            <w:r>
              <w:rPr>
                <w:noProof/>
                <w:webHidden/>
              </w:rPr>
              <w:fldChar w:fldCharType="begin"/>
            </w:r>
            <w:r w:rsidR="006530B2">
              <w:rPr>
                <w:noProof/>
                <w:webHidden/>
              </w:rPr>
              <w:instrText xml:space="preserve"> PAGEREF _Toc102925687 \h </w:instrText>
            </w:r>
            <w:r>
              <w:rPr>
                <w:noProof/>
                <w:webHidden/>
              </w:rPr>
            </w:r>
            <w:r>
              <w:rPr>
                <w:noProof/>
                <w:webHidden/>
              </w:rPr>
              <w:fldChar w:fldCharType="separate"/>
            </w:r>
            <w:r w:rsidR="006530B2">
              <w:rPr>
                <w:noProof/>
                <w:webHidden/>
              </w:rPr>
              <w:t>2</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88" w:history="1">
            <w:r w:rsidR="006530B2" w:rsidRPr="000050D4">
              <w:rPr>
                <w:rStyle w:val="Hyperlink"/>
                <w:rFonts w:cstheme="minorHAnsi"/>
                <w:bCs/>
                <w:noProof/>
              </w:rPr>
              <w:t>Description</w:t>
            </w:r>
            <w:r w:rsidR="006530B2">
              <w:rPr>
                <w:noProof/>
                <w:webHidden/>
              </w:rPr>
              <w:tab/>
            </w:r>
            <w:r>
              <w:rPr>
                <w:noProof/>
                <w:webHidden/>
              </w:rPr>
              <w:fldChar w:fldCharType="begin"/>
            </w:r>
            <w:r w:rsidR="006530B2">
              <w:rPr>
                <w:noProof/>
                <w:webHidden/>
              </w:rPr>
              <w:instrText xml:space="preserve"> PAGEREF _Toc102925688 \h </w:instrText>
            </w:r>
            <w:r>
              <w:rPr>
                <w:noProof/>
                <w:webHidden/>
              </w:rPr>
            </w:r>
            <w:r>
              <w:rPr>
                <w:noProof/>
                <w:webHidden/>
              </w:rPr>
              <w:fldChar w:fldCharType="separate"/>
            </w:r>
            <w:r w:rsidR="006530B2">
              <w:rPr>
                <w:noProof/>
                <w:webHidden/>
              </w:rPr>
              <w:t>4</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89" w:history="1">
            <w:r w:rsidR="006530B2" w:rsidRPr="000050D4">
              <w:rPr>
                <w:rStyle w:val="Hyperlink"/>
                <w:rFonts w:cstheme="minorHAnsi"/>
                <w:bCs/>
                <w:noProof/>
              </w:rPr>
              <w:t>Feelings:</w:t>
            </w:r>
            <w:r w:rsidR="006530B2">
              <w:rPr>
                <w:noProof/>
                <w:webHidden/>
              </w:rPr>
              <w:tab/>
            </w:r>
            <w:r>
              <w:rPr>
                <w:noProof/>
                <w:webHidden/>
              </w:rPr>
              <w:fldChar w:fldCharType="begin"/>
            </w:r>
            <w:r w:rsidR="006530B2">
              <w:rPr>
                <w:noProof/>
                <w:webHidden/>
              </w:rPr>
              <w:instrText xml:space="preserve"> PAGEREF _Toc102925689 \h </w:instrText>
            </w:r>
            <w:r>
              <w:rPr>
                <w:noProof/>
                <w:webHidden/>
              </w:rPr>
            </w:r>
            <w:r>
              <w:rPr>
                <w:noProof/>
                <w:webHidden/>
              </w:rPr>
              <w:fldChar w:fldCharType="separate"/>
            </w:r>
            <w:r w:rsidR="006530B2">
              <w:rPr>
                <w:noProof/>
                <w:webHidden/>
              </w:rPr>
              <w:t>5</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90" w:history="1">
            <w:r w:rsidR="006530B2" w:rsidRPr="000050D4">
              <w:rPr>
                <w:rStyle w:val="Hyperlink"/>
                <w:rFonts w:cstheme="minorHAnsi"/>
                <w:bCs/>
                <w:noProof/>
              </w:rPr>
              <w:t>Analysis:</w:t>
            </w:r>
            <w:r w:rsidR="006530B2">
              <w:rPr>
                <w:noProof/>
                <w:webHidden/>
              </w:rPr>
              <w:tab/>
            </w:r>
            <w:r>
              <w:rPr>
                <w:noProof/>
                <w:webHidden/>
              </w:rPr>
              <w:fldChar w:fldCharType="begin"/>
            </w:r>
            <w:r w:rsidR="006530B2">
              <w:rPr>
                <w:noProof/>
                <w:webHidden/>
              </w:rPr>
              <w:instrText xml:space="preserve"> PAGEREF _Toc102925690 \h </w:instrText>
            </w:r>
            <w:r>
              <w:rPr>
                <w:noProof/>
                <w:webHidden/>
              </w:rPr>
            </w:r>
            <w:r>
              <w:rPr>
                <w:noProof/>
                <w:webHidden/>
              </w:rPr>
              <w:fldChar w:fldCharType="separate"/>
            </w:r>
            <w:r w:rsidR="006530B2">
              <w:rPr>
                <w:noProof/>
                <w:webHidden/>
              </w:rPr>
              <w:t>5</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91" w:history="1">
            <w:r w:rsidR="006530B2" w:rsidRPr="000050D4">
              <w:rPr>
                <w:rStyle w:val="Hyperlink"/>
                <w:rFonts w:cstheme="minorHAnsi"/>
                <w:bCs/>
                <w:noProof/>
              </w:rPr>
              <w:t>Evolution:</w:t>
            </w:r>
            <w:r w:rsidR="006530B2">
              <w:rPr>
                <w:noProof/>
                <w:webHidden/>
              </w:rPr>
              <w:tab/>
            </w:r>
            <w:r>
              <w:rPr>
                <w:noProof/>
                <w:webHidden/>
              </w:rPr>
              <w:fldChar w:fldCharType="begin"/>
            </w:r>
            <w:r w:rsidR="006530B2">
              <w:rPr>
                <w:noProof/>
                <w:webHidden/>
              </w:rPr>
              <w:instrText xml:space="preserve"> PAGEREF _Toc102925691 \h </w:instrText>
            </w:r>
            <w:r>
              <w:rPr>
                <w:noProof/>
                <w:webHidden/>
              </w:rPr>
            </w:r>
            <w:r>
              <w:rPr>
                <w:noProof/>
                <w:webHidden/>
              </w:rPr>
              <w:fldChar w:fldCharType="separate"/>
            </w:r>
            <w:r w:rsidR="006530B2">
              <w:rPr>
                <w:noProof/>
                <w:webHidden/>
              </w:rPr>
              <w:t>6</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92" w:history="1">
            <w:r w:rsidR="006530B2" w:rsidRPr="000050D4">
              <w:rPr>
                <w:rStyle w:val="Hyperlink"/>
                <w:rFonts w:cstheme="minorHAnsi"/>
                <w:bCs/>
                <w:noProof/>
              </w:rPr>
              <w:t>Action:</w:t>
            </w:r>
            <w:r w:rsidR="006530B2">
              <w:rPr>
                <w:noProof/>
                <w:webHidden/>
              </w:rPr>
              <w:tab/>
            </w:r>
            <w:r>
              <w:rPr>
                <w:noProof/>
                <w:webHidden/>
              </w:rPr>
              <w:fldChar w:fldCharType="begin"/>
            </w:r>
            <w:r w:rsidR="006530B2">
              <w:rPr>
                <w:noProof/>
                <w:webHidden/>
              </w:rPr>
              <w:instrText xml:space="preserve"> PAGEREF _Toc102925692 \h </w:instrText>
            </w:r>
            <w:r>
              <w:rPr>
                <w:noProof/>
                <w:webHidden/>
              </w:rPr>
            </w:r>
            <w:r>
              <w:rPr>
                <w:noProof/>
                <w:webHidden/>
              </w:rPr>
              <w:fldChar w:fldCharType="separate"/>
            </w:r>
            <w:r w:rsidR="006530B2">
              <w:rPr>
                <w:noProof/>
                <w:webHidden/>
              </w:rPr>
              <w:t>7</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93" w:history="1">
            <w:r w:rsidR="006530B2" w:rsidRPr="000050D4">
              <w:rPr>
                <w:rStyle w:val="Hyperlink"/>
                <w:rFonts w:cstheme="minorHAnsi"/>
                <w:noProof/>
              </w:rPr>
              <w:t>Conclusion</w:t>
            </w:r>
            <w:r w:rsidR="006530B2">
              <w:rPr>
                <w:noProof/>
                <w:webHidden/>
              </w:rPr>
              <w:tab/>
            </w:r>
            <w:r>
              <w:rPr>
                <w:noProof/>
                <w:webHidden/>
              </w:rPr>
              <w:fldChar w:fldCharType="begin"/>
            </w:r>
            <w:r w:rsidR="006530B2">
              <w:rPr>
                <w:noProof/>
                <w:webHidden/>
              </w:rPr>
              <w:instrText xml:space="preserve"> PAGEREF _Toc102925693 \h </w:instrText>
            </w:r>
            <w:r>
              <w:rPr>
                <w:noProof/>
                <w:webHidden/>
              </w:rPr>
            </w:r>
            <w:r>
              <w:rPr>
                <w:noProof/>
                <w:webHidden/>
              </w:rPr>
              <w:fldChar w:fldCharType="separate"/>
            </w:r>
            <w:r w:rsidR="006530B2">
              <w:rPr>
                <w:noProof/>
                <w:webHidden/>
              </w:rPr>
              <w:t>8</w:t>
            </w:r>
            <w:r>
              <w:rPr>
                <w:noProof/>
                <w:webHidden/>
              </w:rPr>
              <w:fldChar w:fldCharType="end"/>
            </w:r>
          </w:hyperlink>
        </w:p>
        <w:p w:rsidR="006530B2" w:rsidRDefault="00802614">
          <w:pPr>
            <w:pStyle w:val="TOC1"/>
            <w:tabs>
              <w:tab w:val="right" w:leader="dot" w:pos="9350"/>
            </w:tabs>
            <w:rPr>
              <w:rFonts w:asciiTheme="minorHAnsi" w:eastAsiaTheme="minorEastAsia" w:hAnsiTheme="minorHAnsi" w:cstheme="minorBidi"/>
              <w:noProof/>
              <w:sz w:val="22"/>
              <w:szCs w:val="22"/>
            </w:rPr>
          </w:pPr>
          <w:hyperlink w:anchor="_Toc102925694" w:history="1">
            <w:r w:rsidR="006530B2" w:rsidRPr="000050D4">
              <w:rPr>
                <w:rStyle w:val="Hyperlink"/>
                <w:noProof/>
              </w:rPr>
              <w:t>References</w:t>
            </w:r>
            <w:r w:rsidR="006530B2">
              <w:rPr>
                <w:noProof/>
                <w:webHidden/>
              </w:rPr>
              <w:tab/>
            </w:r>
            <w:r>
              <w:rPr>
                <w:noProof/>
                <w:webHidden/>
              </w:rPr>
              <w:fldChar w:fldCharType="begin"/>
            </w:r>
            <w:r w:rsidR="006530B2">
              <w:rPr>
                <w:noProof/>
                <w:webHidden/>
              </w:rPr>
              <w:instrText xml:space="preserve"> PAGEREF _Toc102925694 \h </w:instrText>
            </w:r>
            <w:r>
              <w:rPr>
                <w:noProof/>
                <w:webHidden/>
              </w:rPr>
            </w:r>
            <w:r>
              <w:rPr>
                <w:noProof/>
                <w:webHidden/>
              </w:rPr>
              <w:fldChar w:fldCharType="separate"/>
            </w:r>
            <w:r w:rsidR="006530B2">
              <w:rPr>
                <w:noProof/>
                <w:webHidden/>
              </w:rPr>
              <w:t>9</w:t>
            </w:r>
            <w:r>
              <w:rPr>
                <w:noProof/>
                <w:webHidden/>
              </w:rPr>
              <w:fldChar w:fldCharType="end"/>
            </w:r>
          </w:hyperlink>
        </w:p>
        <w:p w:rsidR="006530B2" w:rsidRDefault="00802614">
          <w:r>
            <w:rPr>
              <w:b/>
              <w:bCs/>
              <w:noProof/>
            </w:rPr>
            <w:fldChar w:fldCharType="end"/>
          </w:r>
        </w:p>
      </w:sdtContent>
    </w:sdt>
    <w:p w:rsidR="006530B2" w:rsidRDefault="006530B2" w:rsidP="004B1DD0">
      <w:pPr>
        <w:pStyle w:val="Heading1"/>
      </w:pPr>
    </w:p>
    <w:p w:rsidR="006530B2" w:rsidRDefault="006530B2">
      <w:pPr>
        <w:spacing w:after="160" w:line="259" w:lineRule="auto"/>
        <w:jc w:val="left"/>
        <w:rPr>
          <w:b/>
          <w:color w:val="000000"/>
          <w:sz w:val="28"/>
          <w:szCs w:val="28"/>
        </w:rPr>
      </w:pPr>
      <w:r>
        <w:br w:type="page"/>
      </w:r>
    </w:p>
    <w:p w:rsidR="004B1DD0" w:rsidRPr="006530B2" w:rsidRDefault="004B1DD0" w:rsidP="004B1DD0">
      <w:pPr>
        <w:pStyle w:val="Heading1"/>
        <w:rPr>
          <w:rFonts w:asciiTheme="minorHAnsi" w:hAnsiTheme="minorHAnsi" w:cstheme="minorHAnsi"/>
        </w:rPr>
      </w:pPr>
      <w:bookmarkStart w:id="0" w:name="_Toc102925686"/>
      <w:r w:rsidRPr="006530B2">
        <w:rPr>
          <w:rFonts w:asciiTheme="minorHAnsi" w:hAnsiTheme="minorHAnsi" w:cstheme="minorHAnsi"/>
        </w:rPr>
        <w:lastRenderedPageBreak/>
        <w:t>Introduction</w:t>
      </w:r>
      <w:bookmarkEnd w:id="0"/>
    </w:p>
    <w:p w:rsidR="004B1DD0" w:rsidRPr="006530B2" w:rsidRDefault="008F4659" w:rsidP="004B1DD0">
      <w:pPr>
        <w:ind w:firstLine="720"/>
        <w:rPr>
          <w:rFonts w:asciiTheme="minorHAnsi" w:hAnsiTheme="minorHAnsi" w:cstheme="minorHAnsi"/>
          <w:color w:val="000000"/>
          <w:shd w:val="clear" w:color="auto" w:fill="FFFFFF"/>
        </w:rPr>
      </w:pPr>
      <w:r w:rsidRPr="006530B2">
        <w:rPr>
          <w:rFonts w:asciiTheme="minorHAnsi" w:hAnsiTheme="minorHAnsi" w:cstheme="minorHAnsi"/>
          <w:color w:val="000000"/>
          <w:shd w:val="clear" w:color="auto" w:fill="FFFFFF"/>
        </w:rPr>
        <w:t xml:space="preserve">Deciding to immigrate, because of our son's education, we were lucky enough to find ourselves in the Barnet area on the border of Hampstead Garden Suburb and East Finchley. Beautiful, well-landscaped, </w:t>
      </w:r>
      <w:r w:rsidR="00C21F3B" w:rsidRPr="006530B2">
        <w:rPr>
          <w:rFonts w:asciiTheme="minorHAnsi" w:hAnsiTheme="minorHAnsi" w:cstheme="minorHAnsi"/>
          <w:color w:val="000000"/>
          <w:shd w:val="clear" w:color="auto" w:fill="FFFFFF"/>
        </w:rPr>
        <w:t>quiet,</w:t>
      </w:r>
      <w:r w:rsidRPr="006530B2">
        <w:rPr>
          <w:rFonts w:asciiTheme="minorHAnsi" w:hAnsiTheme="minorHAnsi" w:cstheme="minorHAnsi"/>
          <w:color w:val="000000"/>
          <w:shd w:val="clear" w:color="auto" w:fill="FFFFFF"/>
        </w:rPr>
        <w:t xml:space="preserve"> and safe area, resembling a countryside with good schools, at the same time close to central London. </w:t>
      </w:r>
      <w:r w:rsidR="00340434">
        <w:rPr>
          <w:rFonts w:asciiTheme="minorHAnsi" w:hAnsiTheme="minorHAnsi" w:cstheme="minorHAnsi"/>
          <w:color w:val="000000"/>
          <w:shd w:val="clear" w:color="auto" w:fill="FFFFFF"/>
        </w:rPr>
        <w:t>A</w:t>
      </w:r>
      <w:r w:rsidRPr="006530B2">
        <w:rPr>
          <w:rFonts w:asciiTheme="minorHAnsi" w:hAnsiTheme="minorHAnsi" w:cstheme="minorHAnsi"/>
          <w:color w:val="000000"/>
          <w:shd w:val="clear" w:color="auto" w:fill="FFFFFF"/>
        </w:rPr>
        <w:t xml:space="preserve"> good neighborhood, the wonderful location, the beauty of the area, as well as the overall organization of the area, led to the rapid integration of </w:t>
      </w:r>
      <w:r w:rsidR="00491D35">
        <w:rPr>
          <w:rFonts w:asciiTheme="minorHAnsi" w:hAnsiTheme="minorHAnsi" w:cstheme="minorHAnsi"/>
          <w:color w:val="000000"/>
          <w:shd w:val="clear" w:color="auto" w:fill="FFFFFF"/>
        </w:rPr>
        <w:t>our</w:t>
      </w:r>
      <w:r w:rsidRPr="006530B2">
        <w:rPr>
          <w:rFonts w:asciiTheme="minorHAnsi" w:hAnsiTheme="minorHAnsi" w:cstheme="minorHAnsi"/>
          <w:color w:val="000000"/>
          <w:shd w:val="clear" w:color="auto" w:fill="FFFFFF"/>
        </w:rPr>
        <w:t xml:space="preserve"> whole family and the fact that we have not even changed our home for more than seven years. For all of us, Hampstead has become a second home. For this reason, perhaps the bias will be evident from the first lines of my report. I was very interested in gathering information about my first report, learning a lot of historical facts.</w:t>
      </w:r>
      <w:r w:rsidR="00D20169">
        <w:rPr>
          <w:rFonts w:asciiTheme="minorHAnsi" w:hAnsiTheme="minorHAnsi" w:cstheme="minorHAnsi"/>
          <w:color w:val="000000"/>
          <w:shd w:val="clear" w:color="auto" w:fill="FFFFFF"/>
        </w:rPr>
        <w:t xml:space="preserve"> </w:t>
      </w:r>
      <w:r w:rsidR="004B1DD0" w:rsidRPr="006530B2">
        <w:rPr>
          <w:rFonts w:asciiTheme="minorHAnsi" w:hAnsiTheme="minorHAnsi" w:cstheme="minorHAnsi"/>
          <w:color w:val="000000"/>
          <w:shd w:val="clear" w:color="auto" w:fill="FFFFFF"/>
        </w:rPr>
        <w:t xml:space="preserve">Highgate, west of Highgate and east of Golders Green, Hampstead Garden Suburb is an elevated London suburb located to the north of Hampstead. For its liberal, artistic, </w:t>
      </w:r>
      <w:r w:rsidRPr="006530B2">
        <w:rPr>
          <w:rFonts w:asciiTheme="minorHAnsi" w:hAnsiTheme="minorHAnsi" w:cstheme="minorHAnsi"/>
          <w:color w:val="000000"/>
          <w:shd w:val="clear" w:color="auto" w:fill="FFFFFF"/>
        </w:rPr>
        <w:t>musical,</w:t>
      </w:r>
      <w:r w:rsidR="004B1DD0" w:rsidRPr="006530B2">
        <w:rPr>
          <w:rFonts w:asciiTheme="minorHAnsi" w:hAnsiTheme="minorHAnsi" w:cstheme="minorHAnsi"/>
          <w:color w:val="000000"/>
          <w:shd w:val="clear" w:color="auto" w:fill="FFFFFF"/>
        </w:rPr>
        <w:t xml:space="preserve"> and literary affiliations it is well-known. Th</w:t>
      </w:r>
      <w:r w:rsidRPr="006530B2">
        <w:rPr>
          <w:rFonts w:asciiTheme="minorHAnsi" w:hAnsiTheme="minorHAnsi" w:cstheme="minorHAnsi"/>
          <w:color w:val="000000"/>
          <w:shd w:val="clear" w:color="auto" w:fill="FFFFFF"/>
        </w:rPr>
        <w:t>e</w:t>
      </w:r>
      <w:r w:rsidR="004B1DD0" w:rsidRPr="006530B2">
        <w:rPr>
          <w:rFonts w:asciiTheme="minorHAnsi" w:hAnsiTheme="minorHAnsi" w:cstheme="minorHAnsi"/>
          <w:color w:val="000000"/>
          <w:shd w:val="clear" w:color="auto" w:fill="FFFFFF"/>
        </w:rPr>
        <w:t xml:space="preserve"> house</w:t>
      </w:r>
      <w:r w:rsidRPr="006530B2">
        <w:rPr>
          <w:rFonts w:asciiTheme="minorHAnsi" w:hAnsiTheme="minorHAnsi" w:cstheme="minorHAnsi"/>
          <w:color w:val="000000"/>
          <w:shd w:val="clear" w:color="auto" w:fill="FFFFFF"/>
        </w:rPr>
        <w:t>s</w:t>
      </w:r>
      <w:r w:rsidR="004B1DD0" w:rsidRPr="006530B2">
        <w:rPr>
          <w:rFonts w:asciiTheme="minorHAnsi" w:hAnsiTheme="minorHAnsi" w:cstheme="minorHAnsi"/>
          <w:color w:val="000000"/>
          <w:shd w:val="clear" w:color="auto" w:fill="FFFFFF"/>
        </w:rPr>
        <w:t xml:space="preserve"> in the London Borough of Barnet in northwest London </w:t>
      </w:r>
      <w:r w:rsidRPr="006530B2">
        <w:rPr>
          <w:rFonts w:asciiTheme="minorHAnsi" w:hAnsiTheme="minorHAnsi" w:cstheme="minorHAnsi"/>
          <w:color w:val="000000"/>
          <w:shd w:val="clear" w:color="auto" w:fill="FFFFFF"/>
        </w:rPr>
        <w:t>are</w:t>
      </w:r>
      <w:r w:rsidR="004B1DD0" w:rsidRPr="006530B2">
        <w:rPr>
          <w:rFonts w:asciiTheme="minorHAnsi" w:hAnsiTheme="minorHAnsi" w:cstheme="minorHAnsi"/>
          <w:color w:val="000000"/>
          <w:shd w:val="clear" w:color="auto" w:fill="FFFFFF"/>
        </w:rPr>
        <w:t xml:space="preserve"> a fine example of early twentieth-century home architecture and town </w:t>
      </w:r>
      <w:r w:rsidRPr="006530B2">
        <w:rPr>
          <w:rFonts w:asciiTheme="minorHAnsi" w:hAnsiTheme="minorHAnsi" w:cstheme="minorHAnsi"/>
          <w:color w:val="000000"/>
          <w:shd w:val="clear" w:color="auto" w:fill="FFFFFF"/>
        </w:rPr>
        <w:t xml:space="preserve">planning </w:t>
      </w:r>
      <w:sdt>
        <w:sdtPr>
          <w:rPr>
            <w:rFonts w:asciiTheme="minorHAnsi" w:hAnsiTheme="minorHAnsi" w:cstheme="minorHAnsi"/>
            <w:color w:val="000000"/>
            <w:shd w:val="clear" w:color="auto" w:fill="FFFFFF"/>
          </w:rPr>
          <w:id w:val="-1283181170"/>
          <w:citation/>
        </w:sdtPr>
        <w:sdtContent>
          <w:r w:rsidR="00802614" w:rsidRPr="006530B2">
            <w:rPr>
              <w:rFonts w:asciiTheme="minorHAnsi" w:hAnsiTheme="minorHAnsi" w:cstheme="minorHAnsi"/>
              <w:color w:val="000000"/>
              <w:shd w:val="clear" w:color="auto" w:fill="FFFFFF"/>
            </w:rPr>
            <w:fldChar w:fldCharType="begin"/>
          </w:r>
          <w:r w:rsidR="003C06D0" w:rsidRPr="006530B2">
            <w:rPr>
              <w:rFonts w:asciiTheme="minorHAnsi" w:hAnsiTheme="minorHAnsi" w:cstheme="minorHAnsi"/>
              <w:color w:val="000000"/>
              <w:shd w:val="clear" w:color="auto" w:fill="FFFFFF"/>
            </w:rPr>
            <w:instrText xml:space="preserve"> CITATION Hea22 \l 1033 </w:instrText>
          </w:r>
          <w:r w:rsidR="00802614" w:rsidRPr="006530B2">
            <w:rPr>
              <w:rFonts w:asciiTheme="minorHAnsi" w:hAnsiTheme="minorHAnsi" w:cstheme="minorHAnsi"/>
              <w:color w:val="000000"/>
              <w:shd w:val="clear" w:color="auto" w:fill="FFFFFF"/>
            </w:rPr>
            <w:fldChar w:fldCharType="separate"/>
          </w:r>
          <w:r w:rsidR="003C06D0" w:rsidRPr="006530B2">
            <w:rPr>
              <w:rFonts w:asciiTheme="minorHAnsi" w:hAnsiTheme="minorHAnsi" w:cstheme="minorHAnsi"/>
              <w:noProof/>
              <w:color w:val="000000"/>
              <w:shd w:val="clear" w:color="auto" w:fill="FFFFFF"/>
            </w:rPr>
            <w:t xml:space="preserve"> (Heath Gate, 2022)</w:t>
          </w:r>
          <w:r w:rsidR="00802614" w:rsidRPr="006530B2">
            <w:rPr>
              <w:rFonts w:asciiTheme="minorHAnsi" w:hAnsiTheme="minorHAnsi" w:cstheme="minorHAnsi"/>
              <w:color w:val="000000"/>
              <w:shd w:val="clear" w:color="auto" w:fill="FFFFFF"/>
            </w:rPr>
            <w:fldChar w:fldCharType="end"/>
          </w:r>
        </w:sdtContent>
      </w:sdt>
      <w:r w:rsidRPr="006530B2">
        <w:rPr>
          <w:rFonts w:asciiTheme="minorHAnsi" w:hAnsiTheme="minorHAnsi" w:cstheme="minorHAnsi"/>
          <w:color w:val="000000"/>
          <w:shd w:val="clear" w:color="auto" w:fill="FFFFFF"/>
        </w:rPr>
        <w:t>. Barry</w:t>
      </w:r>
      <w:r w:rsidR="004B1DD0" w:rsidRPr="006530B2">
        <w:rPr>
          <w:rFonts w:asciiTheme="minorHAnsi" w:hAnsiTheme="minorHAnsi" w:cstheme="minorHAnsi"/>
          <w:color w:val="000000"/>
          <w:shd w:val="clear" w:color="auto" w:fill="FFFFFF"/>
        </w:rPr>
        <w:t xml:space="preserve"> Parker and Sir Raymond Unwin drafted the master plan. Houses with their own private gardens are commonplace in this </w:t>
      </w:r>
      <w:r w:rsidRPr="006530B2">
        <w:rPr>
          <w:rFonts w:asciiTheme="minorHAnsi" w:hAnsiTheme="minorHAnsi" w:cstheme="minorHAnsi"/>
          <w:color w:val="000000"/>
          <w:shd w:val="clear" w:color="auto" w:fill="FFFFFF"/>
        </w:rPr>
        <w:t>neighborhood</w:t>
      </w:r>
      <w:r w:rsidR="004B1DD0" w:rsidRPr="006530B2">
        <w:rPr>
          <w:rFonts w:asciiTheme="minorHAnsi" w:hAnsiTheme="minorHAnsi" w:cstheme="minorHAnsi"/>
          <w:color w:val="000000"/>
          <w:shd w:val="clear" w:color="auto" w:fill="FFFFFF"/>
        </w:rPr>
        <w:t>, which has slightly over 5,000 homes and is home to around 16,000 people. The Hampstead Heath Extension, various public parks, and manicured garden squares are also part of the area's amenities.</w:t>
      </w:r>
    </w:p>
    <w:p w:rsidR="004B1DD0" w:rsidRPr="006530B2" w:rsidRDefault="004B1DD0" w:rsidP="004B1DD0">
      <w:pPr>
        <w:pStyle w:val="Heading1"/>
        <w:rPr>
          <w:rFonts w:asciiTheme="minorHAnsi" w:hAnsiTheme="minorHAnsi" w:cstheme="minorHAnsi"/>
        </w:rPr>
      </w:pPr>
      <w:bookmarkStart w:id="1" w:name="_Toc102925687"/>
      <w:r w:rsidRPr="006530B2">
        <w:rPr>
          <w:rFonts w:asciiTheme="minorHAnsi" w:hAnsiTheme="minorHAnsi" w:cstheme="minorHAnsi"/>
        </w:rPr>
        <w:t>Reflection</w:t>
      </w:r>
      <w:bookmarkEnd w:id="1"/>
    </w:p>
    <w:p w:rsidR="004B1DD0" w:rsidRPr="006530B2" w:rsidRDefault="004B1DD0" w:rsidP="004B1DD0">
      <w:pPr>
        <w:ind w:firstLine="720"/>
        <w:rPr>
          <w:rFonts w:asciiTheme="minorHAnsi" w:hAnsiTheme="minorHAnsi" w:cstheme="minorHAnsi"/>
        </w:rPr>
      </w:pPr>
      <w:r w:rsidRPr="006530B2">
        <w:rPr>
          <w:rFonts w:asciiTheme="minorHAnsi" w:hAnsiTheme="minorHAnsi" w:cstheme="minorHAnsi"/>
        </w:rPr>
        <w:t xml:space="preserve">Some pioneering communities had proved that things might be done better, notably Rowntree's hamlet for its employees at New Earswick near York and London's co-operatively </w:t>
      </w:r>
      <w:r w:rsidRPr="006530B2">
        <w:rPr>
          <w:rFonts w:asciiTheme="minorHAnsi" w:hAnsiTheme="minorHAnsi" w:cstheme="minorHAnsi"/>
        </w:rPr>
        <w:lastRenderedPageBreak/>
        <w:t xml:space="preserve">formed Bedford Park, but each of them was socially uniform in its own </w:t>
      </w:r>
      <w:r w:rsidR="008F4659" w:rsidRPr="006530B2">
        <w:rPr>
          <w:rFonts w:asciiTheme="minorHAnsi" w:hAnsiTheme="minorHAnsi" w:cstheme="minorHAnsi"/>
        </w:rPr>
        <w:t>way. Dame</w:t>
      </w:r>
      <w:r w:rsidRPr="006530B2">
        <w:rPr>
          <w:rFonts w:asciiTheme="minorHAnsi" w:hAnsiTheme="minorHAnsi" w:cstheme="minorHAnsi"/>
        </w:rPr>
        <w:t xml:space="preserve"> Henrietta established founded the Hampstead Garden Suburb Trust in 1906, and with the backing of her important friends and the London County Council, bought the property on 243 acres of Eton College's land at Wylde's Farm, in anticipation of the advent of the Golders Green subterranean </w:t>
      </w:r>
      <w:r w:rsidR="008F4659" w:rsidRPr="006530B2">
        <w:rPr>
          <w:rFonts w:asciiTheme="minorHAnsi" w:hAnsiTheme="minorHAnsi" w:cstheme="minorHAnsi"/>
        </w:rPr>
        <w:t>line. It</w:t>
      </w:r>
      <w:r w:rsidRPr="006530B2">
        <w:rPr>
          <w:rFonts w:asciiTheme="minorHAnsi" w:hAnsiTheme="minorHAnsi" w:cstheme="minorHAnsi"/>
        </w:rPr>
        <w:t xml:space="preserve"> was necessary for parliament to approve a special act to waive Hendon's construction requirements, so that certain roads could be charmingly </w:t>
      </w:r>
      <w:r w:rsidR="008F4659" w:rsidRPr="006530B2">
        <w:rPr>
          <w:rFonts w:asciiTheme="minorHAnsi" w:hAnsiTheme="minorHAnsi" w:cstheme="minorHAnsi"/>
        </w:rPr>
        <w:t>narrow,</w:t>
      </w:r>
      <w:r w:rsidRPr="006530B2">
        <w:rPr>
          <w:rFonts w:asciiTheme="minorHAnsi" w:hAnsiTheme="minorHAnsi" w:cstheme="minorHAnsi"/>
        </w:rPr>
        <w:t xml:space="preserve"> and residences of various heights may occasionally be placed together without party walls projecting over the roofline being </w:t>
      </w:r>
      <w:r w:rsidR="008F4659" w:rsidRPr="006530B2">
        <w:rPr>
          <w:rFonts w:asciiTheme="minorHAnsi" w:hAnsiTheme="minorHAnsi" w:cstheme="minorHAnsi"/>
        </w:rPr>
        <w:t>needed. Beginning</w:t>
      </w:r>
      <w:r w:rsidRPr="006530B2">
        <w:rPr>
          <w:rFonts w:asciiTheme="minorHAnsi" w:hAnsiTheme="minorHAnsi" w:cstheme="minorHAnsi"/>
        </w:rPr>
        <w:t xml:space="preserve"> in Temple Fortune, a 'artisans' quarter' was planned and erected on the east side of the Finchley Road. The </w:t>
      </w:r>
      <w:r w:rsidR="003C06D0" w:rsidRPr="006530B2">
        <w:rPr>
          <w:rFonts w:asciiTheme="minorHAnsi" w:hAnsiTheme="minorHAnsi" w:cstheme="minorHAnsi"/>
        </w:rPr>
        <w:t>S</w:t>
      </w:r>
      <w:r w:rsidRPr="006530B2">
        <w:rPr>
          <w:rFonts w:asciiTheme="minorHAnsi" w:hAnsiTheme="minorHAnsi" w:cstheme="minorHAnsi"/>
        </w:rPr>
        <w:t xml:space="preserve">uburb's highest point was occupied by a central plaza, with churches and community facilities around it. As a result of the square's lack of more mainstream amenities, such as a tavern, movie, or even retail stores, the area has lost some of its appeal as a gathering place for the </w:t>
      </w:r>
      <w:r w:rsidR="003C06D0" w:rsidRPr="006530B2">
        <w:rPr>
          <w:rFonts w:asciiTheme="minorHAnsi" w:hAnsiTheme="minorHAnsi" w:cstheme="minorHAnsi"/>
        </w:rPr>
        <w:t xml:space="preserve">neighborhood </w:t>
      </w:r>
      <w:sdt>
        <w:sdtPr>
          <w:rPr>
            <w:rFonts w:asciiTheme="minorHAnsi" w:hAnsiTheme="minorHAnsi" w:cstheme="minorHAnsi"/>
          </w:rPr>
          <w:id w:val="1509555934"/>
          <w:citation/>
        </w:sdtPr>
        <w:sdtContent>
          <w:r w:rsidR="00802614" w:rsidRPr="006530B2">
            <w:rPr>
              <w:rFonts w:asciiTheme="minorHAnsi" w:hAnsiTheme="minorHAnsi" w:cstheme="minorHAnsi"/>
            </w:rPr>
            <w:fldChar w:fldCharType="begin"/>
          </w:r>
          <w:r w:rsidR="00EE64D1" w:rsidRPr="006530B2">
            <w:rPr>
              <w:rFonts w:asciiTheme="minorHAnsi" w:hAnsiTheme="minorHAnsi" w:cstheme="minorHAnsi"/>
            </w:rPr>
            <w:instrText xml:space="preserve"> CITATION Hid221 \l 1033 </w:instrText>
          </w:r>
          <w:r w:rsidR="00802614" w:rsidRPr="006530B2">
            <w:rPr>
              <w:rFonts w:asciiTheme="minorHAnsi" w:hAnsiTheme="minorHAnsi" w:cstheme="minorHAnsi"/>
            </w:rPr>
            <w:fldChar w:fldCharType="separate"/>
          </w:r>
          <w:r w:rsidR="00EE64D1" w:rsidRPr="006530B2">
            <w:rPr>
              <w:rFonts w:asciiTheme="minorHAnsi" w:hAnsiTheme="minorHAnsi" w:cstheme="minorHAnsi"/>
              <w:noProof/>
            </w:rPr>
            <w:t>(Hidden London, 2022)</w:t>
          </w:r>
          <w:r w:rsidR="00802614" w:rsidRPr="006530B2">
            <w:rPr>
              <w:rFonts w:asciiTheme="minorHAnsi" w:hAnsiTheme="minorHAnsi" w:cstheme="minorHAnsi"/>
            </w:rPr>
            <w:fldChar w:fldCharType="end"/>
          </w:r>
        </w:sdtContent>
      </w:sdt>
      <w:r w:rsidRPr="006530B2">
        <w:rPr>
          <w:rFonts w:asciiTheme="minorHAnsi" w:hAnsiTheme="minorHAnsi" w:cstheme="minorHAnsi"/>
        </w:rPr>
        <w:t xml:space="preserve">.Dame Henrietta had previously successfully pushed for the creation of an expansion to Hampstead Heath, which necessitated the construction of larger homes in the area. Before the First World War, the trust purchased additional parcels of land, which were primarily developed by co-partners following the war, who constructed commercially but were bound by tight rules.After the departure of Edwin Lutyens, Raymond Unwin became the suburb's primary architect, although several other firms were involved and all worked toward the same harmonious goals. Prior to the emergence of profit as the dominant driving force, the style was dominated by a vernacular Arts &amp; Crafts aesthetic </w:t>
      </w:r>
      <w:sdt>
        <w:sdtPr>
          <w:rPr>
            <w:rFonts w:asciiTheme="minorHAnsi" w:hAnsiTheme="minorHAnsi" w:cstheme="minorHAnsi"/>
          </w:rPr>
          <w:id w:val="1783990603"/>
          <w:citation/>
        </w:sdtPr>
        <w:sdtContent>
          <w:r w:rsidR="00802614" w:rsidRPr="006530B2">
            <w:rPr>
              <w:rFonts w:asciiTheme="minorHAnsi" w:hAnsiTheme="minorHAnsi" w:cstheme="minorHAnsi"/>
            </w:rPr>
            <w:fldChar w:fldCharType="begin"/>
          </w:r>
          <w:r w:rsidR="00EE64D1" w:rsidRPr="006530B2">
            <w:rPr>
              <w:rFonts w:asciiTheme="minorHAnsi" w:hAnsiTheme="minorHAnsi" w:cstheme="minorHAnsi"/>
            </w:rPr>
            <w:instrText xml:space="preserve"> CITATION Ham22 \l 1033 </w:instrText>
          </w:r>
          <w:r w:rsidR="00802614" w:rsidRPr="006530B2">
            <w:rPr>
              <w:rFonts w:asciiTheme="minorHAnsi" w:hAnsiTheme="minorHAnsi" w:cstheme="minorHAnsi"/>
            </w:rPr>
            <w:fldChar w:fldCharType="separate"/>
          </w:r>
          <w:r w:rsidR="00EE64D1" w:rsidRPr="006530B2">
            <w:rPr>
              <w:rFonts w:asciiTheme="minorHAnsi" w:hAnsiTheme="minorHAnsi" w:cstheme="minorHAnsi"/>
              <w:noProof/>
            </w:rPr>
            <w:t>(Hampstead Garden Suburb Trust, 2022)</w:t>
          </w:r>
          <w:r w:rsidR="00802614" w:rsidRPr="006530B2">
            <w:rPr>
              <w:rFonts w:asciiTheme="minorHAnsi" w:hAnsiTheme="minorHAnsi" w:cstheme="minorHAnsi"/>
            </w:rPr>
            <w:fldChar w:fldCharType="end"/>
          </w:r>
        </w:sdtContent>
      </w:sdt>
      <w:r w:rsidRPr="006530B2">
        <w:rPr>
          <w:rFonts w:asciiTheme="minorHAnsi" w:hAnsiTheme="minorHAnsi" w:cstheme="minorHAnsi"/>
        </w:rPr>
        <w:t xml:space="preserve">. </w:t>
      </w:r>
    </w:p>
    <w:p w:rsidR="004B1DD0" w:rsidRPr="006530B2" w:rsidRDefault="004B1DD0" w:rsidP="006530B2">
      <w:pPr>
        <w:pStyle w:val="Heading1"/>
        <w:rPr>
          <w:rFonts w:asciiTheme="minorHAnsi" w:hAnsiTheme="minorHAnsi" w:cstheme="minorHAnsi"/>
          <w:bCs/>
        </w:rPr>
      </w:pPr>
      <w:bookmarkStart w:id="2" w:name="_Toc102925688"/>
      <w:r w:rsidRPr="006530B2">
        <w:rPr>
          <w:rFonts w:asciiTheme="minorHAnsi" w:hAnsiTheme="minorHAnsi" w:cstheme="minorHAnsi"/>
          <w:bCs/>
        </w:rPr>
        <w:lastRenderedPageBreak/>
        <w:t>Description</w:t>
      </w:r>
      <w:bookmarkEnd w:id="2"/>
    </w:p>
    <w:p w:rsidR="004B1DD0" w:rsidRPr="006530B2" w:rsidRDefault="004B1DD0" w:rsidP="004B1DD0">
      <w:pPr>
        <w:rPr>
          <w:rFonts w:asciiTheme="minorHAnsi" w:hAnsiTheme="minorHAnsi" w:cstheme="minorHAnsi"/>
        </w:rPr>
      </w:pPr>
      <w:r w:rsidRPr="006530B2">
        <w:rPr>
          <w:rFonts w:asciiTheme="minorHAnsi" w:hAnsiTheme="minorHAnsi" w:cstheme="minorHAnsi"/>
        </w:rPr>
        <w:t>Researcher designed a magnificent central square in his Hampstead Garden Suburb, which features wide, leafy avenues. The entire development boasts its very own outdoor stage, too! Since its inception, the suburb has become somewhat of a hub for celebrities. Even though residents in Hampstead Garden Suburb are overwhelmingly middle class and wealthy, the Hampstead Garden Suburb Trust is dedicated to preserving the area's historic appearance. East Finch</w:t>
      </w:r>
      <w:r w:rsidR="00491D35">
        <w:rPr>
          <w:rFonts w:asciiTheme="minorHAnsi" w:hAnsiTheme="minorHAnsi" w:cstheme="minorHAnsi"/>
        </w:rPr>
        <w:t>ley</w:t>
      </w:r>
      <w:r w:rsidRPr="006530B2">
        <w:rPr>
          <w:rFonts w:asciiTheme="minorHAnsi" w:hAnsiTheme="minorHAnsi" w:cstheme="minorHAnsi"/>
        </w:rPr>
        <w:t xml:space="preserve"> features more modest houses, while Hampstead consists of large houses with gardens, </w:t>
      </w:r>
      <w:r w:rsidR="00EE64D1" w:rsidRPr="006530B2">
        <w:rPr>
          <w:rFonts w:asciiTheme="minorHAnsi" w:hAnsiTheme="minorHAnsi" w:cstheme="minorHAnsi"/>
        </w:rPr>
        <w:t>terraces,</w:t>
      </w:r>
      <w:r w:rsidRPr="006530B2">
        <w:rPr>
          <w:rFonts w:asciiTheme="minorHAnsi" w:hAnsiTheme="minorHAnsi" w:cstheme="minorHAnsi"/>
        </w:rPr>
        <w:t xml:space="preserve"> and views of the Hampstead golf course. There are many green spaces in the area, such as Cherry Tree Wood in East Finches. It is a safe and quiet community. Hampstead Garden Suburb in North London will never forget its tranquil streets during the Arab Spring. The Libyan flag was being waived by Libyan freedom fighters on the roof of an abandoned house belonging to Colonel Gaddafi's third son, Saadi. Before the property was finally seized by the British Government, Libyan restitution for Jewish assets was sought by a local activist</w:t>
      </w:r>
      <w:sdt>
        <w:sdtPr>
          <w:rPr>
            <w:rFonts w:asciiTheme="minorHAnsi" w:hAnsiTheme="minorHAnsi" w:cstheme="minorHAnsi"/>
          </w:rPr>
          <w:id w:val="266047168"/>
          <w:citation/>
        </w:sdtPr>
        <w:sdtContent>
          <w:r w:rsidR="00802614" w:rsidRPr="006530B2">
            <w:rPr>
              <w:rFonts w:asciiTheme="minorHAnsi" w:hAnsiTheme="minorHAnsi" w:cstheme="minorHAnsi"/>
            </w:rPr>
            <w:fldChar w:fldCharType="begin"/>
          </w:r>
          <w:r w:rsidR="00624ADB" w:rsidRPr="006530B2">
            <w:rPr>
              <w:rFonts w:asciiTheme="minorHAnsi" w:hAnsiTheme="minorHAnsi" w:cstheme="minorHAnsi"/>
            </w:rPr>
            <w:instrText xml:space="preserve"> CITATION Eve12 \l 1033 </w:instrText>
          </w:r>
          <w:r w:rsidR="00802614" w:rsidRPr="006530B2">
            <w:rPr>
              <w:rFonts w:asciiTheme="minorHAnsi" w:hAnsiTheme="minorHAnsi" w:cstheme="minorHAnsi"/>
            </w:rPr>
            <w:fldChar w:fldCharType="separate"/>
          </w:r>
          <w:r w:rsidR="00624ADB" w:rsidRPr="006530B2">
            <w:rPr>
              <w:rFonts w:asciiTheme="minorHAnsi" w:hAnsiTheme="minorHAnsi" w:cstheme="minorHAnsi"/>
              <w:noProof/>
            </w:rPr>
            <w:t xml:space="preserve"> (Evening Standard, 2012)</w:t>
          </w:r>
          <w:r w:rsidR="00802614" w:rsidRPr="006530B2">
            <w:rPr>
              <w:rFonts w:asciiTheme="minorHAnsi" w:hAnsiTheme="minorHAnsi" w:cstheme="minorHAnsi"/>
            </w:rPr>
            <w:fldChar w:fldCharType="end"/>
          </w:r>
        </w:sdtContent>
      </w:sdt>
      <w:r w:rsidRPr="006530B2">
        <w:rPr>
          <w:rFonts w:asciiTheme="minorHAnsi" w:hAnsiTheme="minorHAnsi" w:cstheme="minorHAnsi"/>
        </w:rPr>
        <w:t>. The Hampstead Garden Suburb Trust, which manages the zone, is working to maintain Hampstead Garden Suburb's cherished appearance. Many of Hampstead Garden Suburb's residents are middle class and wealthy.</w:t>
      </w:r>
    </w:p>
    <w:p w:rsidR="004B1DD0" w:rsidRPr="006530B2" w:rsidRDefault="004B1DD0" w:rsidP="004B1DD0">
      <w:pPr>
        <w:ind w:firstLine="720"/>
        <w:rPr>
          <w:rFonts w:asciiTheme="minorHAnsi" w:hAnsiTheme="minorHAnsi" w:cstheme="minorHAnsi"/>
        </w:rPr>
      </w:pPr>
      <w:r w:rsidRPr="006530B2">
        <w:rPr>
          <w:rFonts w:asciiTheme="minorHAnsi" w:hAnsiTheme="minorHAnsi" w:cstheme="minorHAnsi"/>
        </w:rPr>
        <w:t xml:space="preserve">This is difficult in today's world since parents are under so much pressure and have so many responsibilities. </w:t>
      </w:r>
      <w:r w:rsidR="00D16281" w:rsidRPr="006530B2">
        <w:rPr>
          <w:rFonts w:asciiTheme="minorHAnsi" w:hAnsiTheme="minorHAnsi" w:cstheme="minorHAnsi"/>
        </w:rPr>
        <w:t>M</w:t>
      </w:r>
      <w:r w:rsidRPr="006530B2">
        <w:rPr>
          <w:rFonts w:asciiTheme="minorHAnsi" w:hAnsiTheme="minorHAnsi" w:cstheme="minorHAnsi"/>
        </w:rPr>
        <w:t xml:space="preserve">any parents are too busy to devote time to their children's instructors because of their employment and household responsibilities. Particularly in high school, scheduling restrictions prevent many students from participating in class. At the high school level, the most common means of communication is through email or telephone. It's essential </w:t>
      </w:r>
      <w:r w:rsidRPr="006530B2">
        <w:rPr>
          <w:rFonts w:asciiTheme="minorHAnsi" w:hAnsiTheme="minorHAnsi" w:cstheme="minorHAnsi"/>
        </w:rPr>
        <w:lastRenderedPageBreak/>
        <w:t>to attempt to include parents into the classroom. The level of community participation rises when teachers and parents work together in the classroom.</w:t>
      </w:r>
    </w:p>
    <w:p w:rsidR="004B1DD0" w:rsidRPr="006530B2" w:rsidRDefault="004B1DD0" w:rsidP="006530B2">
      <w:pPr>
        <w:pStyle w:val="Heading1"/>
        <w:rPr>
          <w:rFonts w:asciiTheme="minorHAnsi" w:hAnsiTheme="minorHAnsi" w:cstheme="minorHAnsi"/>
          <w:bCs/>
        </w:rPr>
      </w:pPr>
      <w:bookmarkStart w:id="3" w:name="_Toc102925689"/>
      <w:r w:rsidRPr="006530B2">
        <w:rPr>
          <w:rFonts w:asciiTheme="minorHAnsi" w:hAnsiTheme="minorHAnsi" w:cstheme="minorHAnsi"/>
          <w:bCs/>
        </w:rPr>
        <w:t>Feelings:</w:t>
      </w:r>
      <w:bookmarkEnd w:id="3"/>
    </w:p>
    <w:p w:rsidR="004B1DD0" w:rsidRPr="006530B2" w:rsidRDefault="004B1DD0" w:rsidP="004B1DD0">
      <w:pPr>
        <w:rPr>
          <w:rFonts w:asciiTheme="minorHAnsi" w:hAnsiTheme="minorHAnsi" w:cstheme="minorHAnsi"/>
          <w:b/>
        </w:rPr>
      </w:pPr>
      <w:r w:rsidRPr="006530B2">
        <w:rPr>
          <w:rFonts w:asciiTheme="minorHAnsi" w:hAnsiTheme="minorHAnsi" w:cstheme="minorHAnsi"/>
        </w:rPr>
        <w:t>North of Hampstead, east of Golder’s Green, and west of High gate is Hampstead Garden Suburb. Barnet is a borough in North West London and is famous for its early 20th century buildings and town planning. Known internationally as a fine example of early twentieth century domestic architecture and planning, Hamp</w:t>
      </w:r>
      <w:r w:rsidR="00491D35">
        <w:rPr>
          <w:rFonts w:asciiTheme="minorHAnsi" w:hAnsiTheme="minorHAnsi" w:cstheme="minorHAnsi"/>
        </w:rPr>
        <w:t>stead</w:t>
      </w:r>
      <w:r w:rsidRPr="006530B2">
        <w:rPr>
          <w:rFonts w:asciiTheme="minorHAnsi" w:hAnsiTheme="minorHAnsi" w:cstheme="minorHAnsi"/>
        </w:rPr>
        <w:t xml:space="preserve"> Garden Suburb stands out from the rest. The district has been designated a national historic site in 1967. Unlike other suburbs, a garden suburb is a residential area. Ebenezer Howard wrote a newspaper article about 'Tomorrow, A Peaceful Path to Real Reform' in 1898 in which he suggested the opposite of garden cities.</w:t>
      </w:r>
    </w:p>
    <w:p w:rsidR="004B1DD0" w:rsidRPr="006530B2" w:rsidRDefault="004B1DD0" w:rsidP="004B1DD0">
      <w:pPr>
        <w:ind w:firstLine="720"/>
        <w:rPr>
          <w:rFonts w:asciiTheme="minorHAnsi" w:hAnsiTheme="minorHAnsi" w:cstheme="minorHAnsi"/>
        </w:rPr>
      </w:pPr>
      <w:r w:rsidRPr="006530B2">
        <w:rPr>
          <w:rFonts w:asciiTheme="minorHAnsi" w:hAnsiTheme="minorHAnsi" w:cstheme="minorHAnsi"/>
        </w:rPr>
        <w:t xml:space="preserve">Taking part in a conversation about a topic in the Hampstead garden suburb that affects one's life is called community involvement. Everyone should have the chance to participate in decision-making, even if they don't want to. There is a difference between community participation and community consultation. Many organisations like </w:t>
      </w:r>
      <w:r w:rsidR="0097604F" w:rsidRPr="006530B2">
        <w:rPr>
          <w:rFonts w:asciiTheme="minorHAnsi" w:hAnsiTheme="minorHAnsi" w:cstheme="minorHAnsi"/>
        </w:rPr>
        <w:t>Hampstead GardenS</w:t>
      </w:r>
      <w:r w:rsidRPr="006530B2">
        <w:rPr>
          <w:rFonts w:asciiTheme="minorHAnsi" w:hAnsiTheme="minorHAnsi" w:cstheme="minorHAnsi"/>
        </w:rPr>
        <w:t>uburb claim to have a community engagement plan, but what they really mean is a strategy for consultation with the local community and stakeholders. A C</w:t>
      </w:r>
      <w:r w:rsidR="00A95848" w:rsidRPr="006530B2">
        <w:rPr>
          <w:rFonts w:asciiTheme="minorHAnsi" w:hAnsiTheme="minorHAnsi" w:cstheme="minorHAnsi"/>
        </w:rPr>
        <w:t xml:space="preserve">orporate </w:t>
      </w:r>
      <w:r w:rsidRPr="006530B2">
        <w:rPr>
          <w:rFonts w:asciiTheme="minorHAnsi" w:hAnsiTheme="minorHAnsi" w:cstheme="minorHAnsi"/>
        </w:rPr>
        <w:t>S</w:t>
      </w:r>
      <w:r w:rsidR="00A95848" w:rsidRPr="006530B2">
        <w:rPr>
          <w:rFonts w:asciiTheme="minorHAnsi" w:hAnsiTheme="minorHAnsi" w:cstheme="minorHAnsi"/>
        </w:rPr>
        <w:t xml:space="preserve">ocial </w:t>
      </w:r>
      <w:r w:rsidRPr="006530B2">
        <w:rPr>
          <w:rFonts w:asciiTheme="minorHAnsi" w:hAnsiTheme="minorHAnsi" w:cstheme="minorHAnsi"/>
        </w:rPr>
        <w:t>R</w:t>
      </w:r>
      <w:r w:rsidR="00A95848" w:rsidRPr="006530B2">
        <w:rPr>
          <w:rFonts w:asciiTheme="minorHAnsi" w:hAnsiTheme="minorHAnsi" w:cstheme="minorHAnsi"/>
        </w:rPr>
        <w:t>espon</w:t>
      </w:r>
      <w:r w:rsidR="00994AF9" w:rsidRPr="006530B2">
        <w:rPr>
          <w:rFonts w:asciiTheme="minorHAnsi" w:hAnsiTheme="minorHAnsi" w:cstheme="minorHAnsi"/>
        </w:rPr>
        <w:t>sibility</w:t>
      </w:r>
      <w:r w:rsidRPr="006530B2">
        <w:rPr>
          <w:rFonts w:asciiTheme="minorHAnsi" w:hAnsiTheme="minorHAnsi" w:cstheme="minorHAnsi"/>
        </w:rPr>
        <w:t xml:space="preserve"> project's success or failure is directly related to how well the community participates in the process, which is why community engagement is so important</w:t>
      </w:r>
      <w:sdt>
        <w:sdtPr>
          <w:rPr>
            <w:rFonts w:asciiTheme="minorHAnsi" w:hAnsiTheme="minorHAnsi" w:cstheme="minorHAnsi"/>
          </w:rPr>
          <w:id w:val="-286742116"/>
          <w:citation/>
        </w:sdtPr>
        <w:sdtContent>
          <w:r w:rsidR="00802614" w:rsidRPr="006530B2">
            <w:rPr>
              <w:rFonts w:asciiTheme="minorHAnsi" w:hAnsiTheme="minorHAnsi" w:cstheme="minorHAnsi"/>
            </w:rPr>
            <w:fldChar w:fldCharType="begin"/>
          </w:r>
          <w:r w:rsidR="009D0E01" w:rsidRPr="006530B2">
            <w:rPr>
              <w:rFonts w:asciiTheme="minorHAnsi" w:hAnsiTheme="minorHAnsi" w:cstheme="minorHAnsi"/>
            </w:rPr>
            <w:instrText xml:space="preserve"> CITATION Jas22 \l 1033 </w:instrText>
          </w:r>
          <w:r w:rsidR="00802614" w:rsidRPr="006530B2">
            <w:rPr>
              <w:rFonts w:asciiTheme="minorHAnsi" w:hAnsiTheme="minorHAnsi" w:cstheme="minorHAnsi"/>
            </w:rPr>
            <w:fldChar w:fldCharType="separate"/>
          </w:r>
          <w:r w:rsidR="009D0E01" w:rsidRPr="006530B2">
            <w:rPr>
              <w:rFonts w:asciiTheme="minorHAnsi" w:hAnsiTheme="minorHAnsi" w:cstheme="minorHAnsi"/>
              <w:noProof/>
            </w:rPr>
            <w:t xml:space="preserve"> (Fernando, 2022)</w:t>
          </w:r>
          <w:r w:rsidR="00802614" w:rsidRPr="006530B2">
            <w:rPr>
              <w:rFonts w:asciiTheme="minorHAnsi" w:hAnsiTheme="minorHAnsi" w:cstheme="minorHAnsi"/>
            </w:rPr>
            <w:fldChar w:fldCharType="end"/>
          </w:r>
        </w:sdtContent>
      </w:sdt>
      <w:r w:rsidRPr="006530B2">
        <w:rPr>
          <w:rFonts w:asciiTheme="minorHAnsi" w:hAnsiTheme="minorHAnsi" w:cstheme="minorHAnsi"/>
        </w:rPr>
        <w:t>.</w:t>
      </w:r>
    </w:p>
    <w:p w:rsidR="004B1DD0" w:rsidRPr="006530B2" w:rsidRDefault="004B1DD0" w:rsidP="006530B2">
      <w:pPr>
        <w:pStyle w:val="Heading1"/>
        <w:rPr>
          <w:rFonts w:asciiTheme="minorHAnsi" w:hAnsiTheme="minorHAnsi" w:cstheme="minorHAnsi"/>
          <w:bCs/>
        </w:rPr>
      </w:pPr>
      <w:bookmarkStart w:id="4" w:name="_Toc102925690"/>
      <w:r w:rsidRPr="006530B2">
        <w:rPr>
          <w:rFonts w:asciiTheme="minorHAnsi" w:hAnsiTheme="minorHAnsi" w:cstheme="minorHAnsi"/>
          <w:bCs/>
        </w:rPr>
        <w:lastRenderedPageBreak/>
        <w:t>Analysis:</w:t>
      </w:r>
      <w:bookmarkEnd w:id="4"/>
    </w:p>
    <w:p w:rsidR="004B1DD0" w:rsidRPr="006530B2" w:rsidRDefault="004B1DD0" w:rsidP="004B1DD0">
      <w:pPr>
        <w:rPr>
          <w:rFonts w:asciiTheme="minorHAnsi" w:hAnsiTheme="minorHAnsi" w:cstheme="minorHAnsi"/>
        </w:rPr>
      </w:pPr>
      <w:r w:rsidRPr="006530B2">
        <w:rPr>
          <w:rFonts w:asciiTheme="minorHAnsi" w:hAnsiTheme="minorHAnsi" w:cstheme="minorHAnsi"/>
        </w:rPr>
        <w:t>Baillie Scott designed Waterlow Court, a series of one-bedroom flats with arcaded courtyards off Hampstead Way for single women, as part of the Arts &amp; Crafts movement in the late nineteenth century. Prices for flats this year ranged between 285,650</w:t>
      </w:r>
      <w:r w:rsidR="0097604F" w:rsidRPr="006530B2">
        <w:rPr>
          <w:rFonts w:asciiTheme="minorHAnsi" w:hAnsiTheme="minorHAnsi" w:cstheme="minorHAnsi"/>
        </w:rPr>
        <w:t xml:space="preserve"> GPB </w:t>
      </w:r>
      <w:r w:rsidRPr="006530B2">
        <w:rPr>
          <w:rFonts w:asciiTheme="minorHAnsi" w:hAnsiTheme="minorHAnsi" w:cstheme="minorHAnsi"/>
        </w:rPr>
        <w:t xml:space="preserve">and </w:t>
      </w:r>
      <w:r w:rsidR="0097604F" w:rsidRPr="006530B2">
        <w:rPr>
          <w:rFonts w:asciiTheme="minorHAnsi" w:hAnsiTheme="minorHAnsi" w:cstheme="minorHAnsi"/>
        </w:rPr>
        <w:t>1 22</w:t>
      </w:r>
      <w:r w:rsidRPr="006530B2">
        <w:rPr>
          <w:rFonts w:asciiTheme="minorHAnsi" w:hAnsiTheme="minorHAnsi" w:cstheme="minorHAnsi"/>
        </w:rPr>
        <w:t>20,000</w:t>
      </w:r>
      <w:r w:rsidR="00C21F3B" w:rsidRPr="006530B2">
        <w:rPr>
          <w:rFonts w:asciiTheme="minorHAnsi" w:hAnsiTheme="minorHAnsi" w:cstheme="minorHAnsi"/>
        </w:rPr>
        <w:t>GPB.</w:t>
      </w:r>
      <w:r w:rsidRPr="006530B2">
        <w:rPr>
          <w:rFonts w:asciiTheme="minorHAnsi" w:hAnsiTheme="minorHAnsi" w:cstheme="minorHAnsi"/>
        </w:rPr>
        <w:t xml:space="preserve"> Those living north of A1 were the last to develop the suburb. Hutchings Walk and Ossulton Way both have outstanding art deco buildings with original Crittall metal windows. There are about 600 houses on these streets. Just south of Hampstead, the Hamstead Heath extension offers access to a picturesque rural setting that stretches all the way to Hampstead and Highgate. There is a zoo and a butterfly house at Golders Hill Park, which is more manicured. The suburb itself contains two designated nature reserves, Big Wood and Little Wood. The Garden Suburb Theatre Company often uses Little Wood's open-air theatre in summer, built in 1920</w:t>
      </w:r>
      <w:sdt>
        <w:sdtPr>
          <w:rPr>
            <w:rFonts w:asciiTheme="minorHAnsi" w:hAnsiTheme="minorHAnsi" w:cstheme="minorHAnsi"/>
          </w:rPr>
          <w:id w:val="2060043521"/>
          <w:citation/>
        </w:sdtPr>
        <w:sdtContent>
          <w:r w:rsidR="00802614" w:rsidRPr="006530B2">
            <w:rPr>
              <w:rFonts w:asciiTheme="minorHAnsi" w:hAnsiTheme="minorHAnsi" w:cstheme="minorHAnsi"/>
            </w:rPr>
            <w:fldChar w:fldCharType="begin"/>
          </w:r>
          <w:r w:rsidR="009D0E01" w:rsidRPr="006530B2">
            <w:rPr>
              <w:rFonts w:asciiTheme="minorHAnsi" w:hAnsiTheme="minorHAnsi" w:cstheme="minorHAnsi"/>
            </w:rPr>
            <w:instrText xml:space="preserve"> CITATION Ham221 \l 1033 </w:instrText>
          </w:r>
          <w:r w:rsidR="00802614" w:rsidRPr="006530B2">
            <w:rPr>
              <w:rFonts w:asciiTheme="minorHAnsi" w:hAnsiTheme="minorHAnsi" w:cstheme="minorHAnsi"/>
            </w:rPr>
            <w:fldChar w:fldCharType="separate"/>
          </w:r>
          <w:r w:rsidR="009D0E01" w:rsidRPr="006530B2">
            <w:rPr>
              <w:rFonts w:asciiTheme="minorHAnsi" w:hAnsiTheme="minorHAnsi" w:cstheme="minorHAnsi"/>
              <w:noProof/>
            </w:rPr>
            <w:t xml:space="preserve"> (Hampsead Garden Suburb Trust, 2022)</w:t>
          </w:r>
          <w:r w:rsidR="00802614" w:rsidRPr="006530B2">
            <w:rPr>
              <w:rFonts w:asciiTheme="minorHAnsi" w:hAnsiTheme="minorHAnsi" w:cstheme="minorHAnsi"/>
            </w:rPr>
            <w:fldChar w:fldCharType="end"/>
          </w:r>
        </w:sdtContent>
      </w:sdt>
      <w:r w:rsidRPr="006530B2">
        <w:rPr>
          <w:rFonts w:asciiTheme="minorHAnsi" w:hAnsiTheme="minorHAnsi" w:cstheme="minorHAnsi"/>
        </w:rPr>
        <w:t>.</w:t>
      </w:r>
    </w:p>
    <w:p w:rsidR="004B1DD0" w:rsidRPr="006530B2" w:rsidRDefault="009D0E01" w:rsidP="004B1DD0">
      <w:pPr>
        <w:ind w:firstLine="720"/>
        <w:rPr>
          <w:rFonts w:asciiTheme="minorHAnsi" w:hAnsiTheme="minorHAnsi" w:cstheme="minorHAnsi"/>
        </w:rPr>
      </w:pPr>
      <w:r w:rsidRPr="006530B2">
        <w:rPr>
          <w:rFonts w:asciiTheme="minorHAnsi" w:hAnsiTheme="minorHAnsi" w:cstheme="minorHAnsi"/>
        </w:rPr>
        <w:t>The Hampstead GardenS</w:t>
      </w:r>
      <w:r w:rsidR="004B1DD0" w:rsidRPr="006530B2">
        <w:rPr>
          <w:rFonts w:asciiTheme="minorHAnsi" w:hAnsiTheme="minorHAnsi" w:cstheme="minorHAnsi"/>
        </w:rPr>
        <w:t xml:space="preserve">uburb CEO's policy technique of not addressing the target population may still be adopted by many managers in the present corporate sector. The target community members may not know what they want, thus their engagement might be a waste of time and energy. The local population may not be able to </w:t>
      </w:r>
      <w:r w:rsidR="0097604F" w:rsidRPr="006530B2">
        <w:rPr>
          <w:rFonts w:asciiTheme="minorHAnsi" w:hAnsiTheme="minorHAnsi" w:cstheme="minorHAnsi"/>
        </w:rPr>
        <w:t>analyses</w:t>
      </w:r>
      <w:r w:rsidR="004B1DD0" w:rsidRPr="006530B2">
        <w:rPr>
          <w:rFonts w:asciiTheme="minorHAnsi" w:hAnsiTheme="minorHAnsi" w:cstheme="minorHAnsi"/>
        </w:rPr>
        <w:t xml:space="preserve"> and assess social programs that affect their area if this is the case. A volunteer’s expertise is often required to allow them to participate in the process</w:t>
      </w:r>
      <w:sdt>
        <w:sdtPr>
          <w:rPr>
            <w:rFonts w:asciiTheme="minorHAnsi" w:hAnsiTheme="minorHAnsi" w:cstheme="minorHAnsi"/>
          </w:rPr>
          <w:id w:val="486206098"/>
          <w:citation/>
        </w:sdtPr>
        <w:sdtContent>
          <w:r w:rsidR="00802614" w:rsidRPr="006530B2">
            <w:rPr>
              <w:rFonts w:asciiTheme="minorHAnsi" w:hAnsiTheme="minorHAnsi" w:cstheme="minorHAnsi"/>
            </w:rPr>
            <w:fldChar w:fldCharType="begin"/>
          </w:r>
          <w:r w:rsidR="006345D0" w:rsidRPr="006530B2">
            <w:rPr>
              <w:rFonts w:asciiTheme="minorHAnsi" w:hAnsiTheme="minorHAnsi" w:cstheme="minorHAnsi"/>
            </w:rPr>
            <w:instrText xml:space="preserve"> CITATION Ham222 \l 1033 </w:instrText>
          </w:r>
          <w:r w:rsidR="00802614" w:rsidRPr="006530B2">
            <w:rPr>
              <w:rFonts w:asciiTheme="minorHAnsi" w:hAnsiTheme="minorHAnsi" w:cstheme="minorHAnsi"/>
            </w:rPr>
            <w:fldChar w:fldCharType="separate"/>
          </w:r>
          <w:r w:rsidR="006345D0" w:rsidRPr="006530B2">
            <w:rPr>
              <w:rFonts w:asciiTheme="minorHAnsi" w:hAnsiTheme="minorHAnsi" w:cstheme="minorHAnsi"/>
              <w:noProof/>
            </w:rPr>
            <w:t xml:space="preserve"> (Hampsead Garden Suburb Trust, 2022)</w:t>
          </w:r>
          <w:r w:rsidR="00802614" w:rsidRPr="006530B2">
            <w:rPr>
              <w:rFonts w:asciiTheme="minorHAnsi" w:hAnsiTheme="minorHAnsi" w:cstheme="minorHAnsi"/>
            </w:rPr>
            <w:fldChar w:fldCharType="end"/>
          </w:r>
        </w:sdtContent>
      </w:sdt>
      <w:r w:rsidR="004B1DD0" w:rsidRPr="006530B2">
        <w:rPr>
          <w:rFonts w:asciiTheme="minorHAnsi" w:hAnsiTheme="minorHAnsi" w:cstheme="minorHAnsi"/>
        </w:rPr>
        <w:t>.</w:t>
      </w:r>
    </w:p>
    <w:p w:rsidR="004B1DD0" w:rsidRPr="006530B2" w:rsidRDefault="004B1DD0" w:rsidP="006530B2">
      <w:pPr>
        <w:pStyle w:val="Heading1"/>
        <w:rPr>
          <w:rFonts w:asciiTheme="minorHAnsi" w:hAnsiTheme="minorHAnsi" w:cstheme="minorHAnsi"/>
          <w:bCs/>
        </w:rPr>
      </w:pPr>
      <w:bookmarkStart w:id="5" w:name="_Toc102925691"/>
      <w:r w:rsidRPr="006530B2">
        <w:rPr>
          <w:rFonts w:asciiTheme="minorHAnsi" w:hAnsiTheme="minorHAnsi" w:cstheme="minorHAnsi"/>
          <w:bCs/>
        </w:rPr>
        <w:t>Evolution:</w:t>
      </w:r>
      <w:bookmarkEnd w:id="5"/>
    </w:p>
    <w:p w:rsidR="004B1DD0" w:rsidRPr="006530B2" w:rsidRDefault="004B1DD0" w:rsidP="004B1DD0">
      <w:pPr>
        <w:rPr>
          <w:rFonts w:asciiTheme="minorHAnsi" w:hAnsiTheme="minorHAnsi" w:cstheme="minorHAnsi"/>
        </w:rPr>
      </w:pPr>
      <w:r w:rsidRPr="006530B2">
        <w:rPr>
          <w:rFonts w:asciiTheme="minorHAnsi" w:hAnsiTheme="minorHAnsi" w:cstheme="minorHAnsi"/>
        </w:rPr>
        <w:t xml:space="preserve">Many of the buildings in the suburb have been designated as architecturally or historically significant by the government. As a result, they are designated as heritage assets under the </w:t>
      </w:r>
      <w:r w:rsidRPr="006530B2">
        <w:rPr>
          <w:rFonts w:asciiTheme="minorHAnsi" w:hAnsiTheme="minorHAnsi" w:cstheme="minorHAnsi"/>
        </w:rPr>
        <w:lastRenderedPageBreak/>
        <w:t xml:space="preserve">National Planning Policy Framework. Listed building consent must be obtained by the owners of these properties before they alter (internally or externally), </w:t>
      </w:r>
      <w:r w:rsidR="00340434" w:rsidRPr="006530B2">
        <w:rPr>
          <w:rFonts w:asciiTheme="minorHAnsi" w:hAnsiTheme="minorHAnsi" w:cstheme="minorHAnsi"/>
        </w:rPr>
        <w:t>extend,</w:t>
      </w:r>
      <w:r w:rsidRPr="006530B2">
        <w:rPr>
          <w:rFonts w:asciiTheme="minorHAnsi" w:hAnsiTheme="minorHAnsi" w:cstheme="minorHAnsi"/>
        </w:rPr>
        <w:t xml:space="preserve"> or demolish any part of the building. A list of Buildings of Local Architectural or Historic Interest has also been compiled by Barnet Council, including many buildings of particular architectural distinction. They are listed as heritage assets under the NPPF. Works that affect these buildings must be carried out in a way that preserves or enhances their character and setting. As far as development in the suburb is concerned, both Barnet Council and the Trust exercise control differently. Both the advice and the criteria applied to the evaluation of proposed changes in this document are intended to be as consistent as possible.</w:t>
      </w:r>
    </w:p>
    <w:p w:rsidR="004B1DD0" w:rsidRPr="006530B2" w:rsidRDefault="004B1DD0" w:rsidP="006530B2">
      <w:pPr>
        <w:pStyle w:val="Heading1"/>
        <w:rPr>
          <w:rFonts w:asciiTheme="minorHAnsi" w:hAnsiTheme="minorHAnsi" w:cstheme="minorHAnsi"/>
          <w:bCs/>
        </w:rPr>
      </w:pPr>
      <w:bookmarkStart w:id="6" w:name="_Toc102925692"/>
      <w:r w:rsidRPr="006530B2">
        <w:rPr>
          <w:rFonts w:asciiTheme="minorHAnsi" w:hAnsiTheme="minorHAnsi" w:cstheme="minorHAnsi"/>
          <w:bCs/>
        </w:rPr>
        <w:t>Action:</w:t>
      </w:r>
      <w:bookmarkEnd w:id="6"/>
    </w:p>
    <w:p w:rsidR="004B1DD0" w:rsidRPr="006530B2" w:rsidRDefault="004B1DD0" w:rsidP="004B1DD0">
      <w:pPr>
        <w:rPr>
          <w:rFonts w:asciiTheme="minorHAnsi" w:hAnsiTheme="minorHAnsi" w:cstheme="minorHAnsi"/>
        </w:rPr>
      </w:pPr>
      <w:r w:rsidRPr="006530B2">
        <w:rPr>
          <w:rFonts w:asciiTheme="minorHAnsi" w:hAnsiTheme="minorHAnsi" w:cstheme="minorHAnsi"/>
        </w:rPr>
        <w:t>There are three development areas in the modern suburb. In 1907, Hampstead Garden Suburb Trust Ltd. purchased 243 acres of land from the Eton College Trustees and in 1908 the Ecclesiastical Commissioners leased it from the Hampstead Garden Suburb Trust Ltd. Formerly known as the 'old suburb', this area is now called the 'old district'. In 1911-12, the Ecclesiastical Commissioners leased the second part of the property. Approximately 300 acres of land in Finchley are part of the Co-Partnership Tenants Ltd. The Finchley Leasehold Estate of 74 acres was leased to the Trust, becoming The New Suburb</w:t>
      </w:r>
      <w:sdt>
        <w:sdtPr>
          <w:rPr>
            <w:rFonts w:asciiTheme="minorHAnsi" w:hAnsiTheme="minorHAnsi" w:cstheme="minorHAnsi"/>
          </w:rPr>
          <w:id w:val="331648269"/>
          <w:citation/>
        </w:sdtPr>
        <w:sdtContent>
          <w:r w:rsidR="00802614" w:rsidRPr="006530B2">
            <w:rPr>
              <w:rFonts w:asciiTheme="minorHAnsi" w:hAnsiTheme="minorHAnsi" w:cstheme="minorHAnsi"/>
            </w:rPr>
            <w:fldChar w:fldCharType="begin"/>
          </w:r>
          <w:r w:rsidR="006345D0" w:rsidRPr="006530B2">
            <w:rPr>
              <w:rFonts w:asciiTheme="minorHAnsi" w:hAnsiTheme="minorHAnsi" w:cstheme="minorHAnsi"/>
            </w:rPr>
            <w:instrText xml:space="preserve"> CITATION The98 \l 1033 </w:instrText>
          </w:r>
          <w:r w:rsidR="00802614" w:rsidRPr="006530B2">
            <w:rPr>
              <w:rFonts w:asciiTheme="minorHAnsi" w:hAnsiTheme="minorHAnsi" w:cstheme="minorHAnsi"/>
            </w:rPr>
            <w:fldChar w:fldCharType="separate"/>
          </w:r>
          <w:r w:rsidR="006345D0" w:rsidRPr="006530B2">
            <w:rPr>
              <w:rFonts w:asciiTheme="minorHAnsi" w:hAnsiTheme="minorHAnsi" w:cstheme="minorHAnsi"/>
              <w:noProof/>
            </w:rPr>
            <w:t>(The National Archives, 1998)</w:t>
          </w:r>
          <w:r w:rsidR="00802614" w:rsidRPr="006530B2">
            <w:rPr>
              <w:rFonts w:asciiTheme="minorHAnsi" w:hAnsiTheme="minorHAnsi" w:cstheme="minorHAnsi"/>
            </w:rPr>
            <w:fldChar w:fldCharType="end"/>
          </w:r>
        </w:sdtContent>
      </w:sdt>
      <w:r w:rsidRPr="006530B2">
        <w:rPr>
          <w:rFonts w:asciiTheme="minorHAnsi" w:hAnsiTheme="minorHAnsi" w:cstheme="minorHAnsi"/>
        </w:rPr>
        <w:t>.</w:t>
      </w:r>
    </w:p>
    <w:p w:rsidR="004B1DD0" w:rsidRPr="006530B2" w:rsidRDefault="004B1DD0" w:rsidP="004B1DD0">
      <w:pPr>
        <w:ind w:firstLine="720"/>
        <w:rPr>
          <w:rFonts w:asciiTheme="minorHAnsi" w:hAnsiTheme="minorHAnsi" w:cstheme="minorHAnsi"/>
        </w:rPr>
      </w:pPr>
      <w:r w:rsidRPr="006530B2">
        <w:rPr>
          <w:rFonts w:asciiTheme="minorHAnsi" w:hAnsiTheme="minorHAnsi" w:cstheme="minorHAnsi"/>
        </w:rPr>
        <w:t xml:space="preserve">A definition for community engagement is lacking and the phrase is used in a variety of ways (including consultation, participation, cooperation, and empowerment), but community involvement is best understood as a process in which people work together to reach mutually beneficial decisions. Creating and realising long-term ideas for the future of a community is a team effort including individuals, groups, and institutions from all sectors. A key part of building </w:t>
      </w:r>
      <w:r w:rsidRPr="006530B2">
        <w:rPr>
          <w:rFonts w:asciiTheme="minorHAnsi" w:hAnsiTheme="minorHAnsi" w:cstheme="minorHAnsi"/>
        </w:rPr>
        <w:lastRenderedPageBreak/>
        <w:t>long-term partnerships and solving complicated problems is working closely together with the people in the areas where you operate. It is hoped that through strengthening these linkages, government agencies would be able to better represent the variety of their constituents.</w:t>
      </w:r>
    </w:p>
    <w:p w:rsidR="004B1DD0" w:rsidRPr="006530B2" w:rsidRDefault="004B1DD0" w:rsidP="004B1DD0">
      <w:pPr>
        <w:ind w:firstLine="720"/>
        <w:rPr>
          <w:rFonts w:asciiTheme="minorHAnsi" w:hAnsiTheme="minorHAnsi" w:cstheme="minorHAnsi"/>
        </w:rPr>
      </w:pPr>
      <w:r w:rsidRPr="006530B2">
        <w:rPr>
          <w:rFonts w:asciiTheme="minorHAnsi" w:hAnsiTheme="minorHAnsi" w:cstheme="minorHAnsi"/>
        </w:rPr>
        <w:t>Engaging all players in the process supports the concept that community people may influence policy development via purposeful contacts with government organisations. Thus, community involvement promises to improve public policymaking by including more people in the process. As a result, it is both a method that directs relationships between government organisations and communities based on the value of community members' lived experience.</w:t>
      </w:r>
    </w:p>
    <w:p w:rsidR="004B1DD0" w:rsidRPr="006530B2" w:rsidRDefault="004B1DD0" w:rsidP="004B1DD0">
      <w:pPr>
        <w:pStyle w:val="Heading1"/>
        <w:rPr>
          <w:rFonts w:asciiTheme="minorHAnsi" w:hAnsiTheme="minorHAnsi" w:cstheme="minorHAnsi"/>
        </w:rPr>
      </w:pPr>
      <w:bookmarkStart w:id="7" w:name="_Toc102925693"/>
      <w:r w:rsidRPr="006530B2">
        <w:rPr>
          <w:rFonts w:asciiTheme="minorHAnsi" w:hAnsiTheme="minorHAnsi" w:cstheme="minorHAnsi"/>
        </w:rPr>
        <w:t>Conclusion</w:t>
      </w:r>
      <w:bookmarkEnd w:id="7"/>
    </w:p>
    <w:p w:rsidR="004B1DD0" w:rsidRPr="006530B2" w:rsidRDefault="004B1DD0" w:rsidP="004B1DD0">
      <w:pPr>
        <w:rPr>
          <w:rFonts w:asciiTheme="minorHAnsi" w:hAnsiTheme="minorHAnsi" w:cstheme="minorHAnsi"/>
        </w:rPr>
      </w:pPr>
      <w:r w:rsidRPr="006530B2">
        <w:rPr>
          <w:rFonts w:asciiTheme="minorHAnsi" w:hAnsiTheme="minorHAnsi" w:cstheme="minorHAnsi"/>
        </w:rPr>
        <w:t>Just south of Hampstead, the Hampstead Heath extension offers access to a picturesque rural setting that stretches all the way to Hampstead and High gate. Golder’s Hill Park, which is more manicured, is home to a zoo and butterfly house. Both Big Wood and Little Wood are designated nature reserves within the suburb. Little Wood's open-air theatre, built in 1920, is often used by Garden Suburb Theatre Company in summer. A community of practice may be regarded as one part of a complex social system that is comprised of linked communities of practice</w:t>
      </w:r>
      <w:r w:rsidR="003C06D0" w:rsidRPr="006530B2">
        <w:rPr>
          <w:rFonts w:asciiTheme="minorHAnsi" w:hAnsiTheme="minorHAnsi" w:cstheme="minorHAnsi"/>
        </w:rPr>
        <w:t>,</w:t>
      </w:r>
      <w:r w:rsidRPr="006530B2">
        <w:rPr>
          <w:rFonts w:asciiTheme="minorHAnsi" w:hAnsiTheme="minorHAnsi" w:cstheme="minorHAnsi"/>
        </w:rPr>
        <w:t xml:space="preserve"> a strong emphasis on the social aspects of contextual learning.</w:t>
      </w:r>
    </w:p>
    <w:p w:rsidR="004B1DD0" w:rsidRPr="006530B2" w:rsidRDefault="004B1DD0" w:rsidP="004B1DD0">
      <w:pPr>
        <w:spacing w:line="240" w:lineRule="auto"/>
        <w:jc w:val="left"/>
        <w:rPr>
          <w:rFonts w:asciiTheme="minorHAnsi" w:hAnsiTheme="minorHAnsi" w:cstheme="minorHAnsi"/>
        </w:rPr>
      </w:pPr>
      <w:r w:rsidRPr="006530B2">
        <w:rPr>
          <w:rFonts w:asciiTheme="minorHAnsi" w:hAnsiTheme="minorHAnsi" w:cstheme="minorHAnsi"/>
        </w:rPr>
        <w:br w:type="page"/>
      </w:r>
    </w:p>
    <w:bookmarkStart w:id="8" w:name="_Toc102925694" w:displacedByCustomXml="next"/>
    <w:sdt>
      <w:sdtPr>
        <w:rPr>
          <w:b w:val="0"/>
          <w:color w:val="auto"/>
          <w:sz w:val="24"/>
          <w:szCs w:val="24"/>
        </w:rPr>
        <w:id w:val="-277494404"/>
        <w:docPartObj>
          <w:docPartGallery w:val="Bibliographies"/>
          <w:docPartUnique/>
        </w:docPartObj>
      </w:sdtPr>
      <w:sdtContent>
        <w:p w:rsidR="006530B2" w:rsidRDefault="006530B2">
          <w:pPr>
            <w:pStyle w:val="Heading1"/>
          </w:pPr>
          <w:r>
            <w:t>References</w:t>
          </w:r>
          <w:bookmarkEnd w:id="8"/>
        </w:p>
        <w:sdt>
          <w:sdtPr>
            <w:id w:val="-573587230"/>
            <w:bibliography/>
          </w:sdtPr>
          <w:sdtContent>
            <w:p w:rsidR="006530B2" w:rsidRDefault="00802614" w:rsidP="006530B2">
              <w:pPr>
                <w:pStyle w:val="Bibliography"/>
                <w:rPr>
                  <w:noProof/>
                </w:rPr>
              </w:pPr>
              <w:r w:rsidRPr="00802614">
                <w:fldChar w:fldCharType="begin"/>
              </w:r>
              <w:r w:rsidR="006530B2">
                <w:instrText xml:space="preserve"> BIBLIOGRAPHY </w:instrText>
              </w:r>
              <w:r w:rsidRPr="00802614">
                <w:fldChar w:fldCharType="separate"/>
              </w:r>
              <w:r w:rsidR="006530B2">
                <w:rPr>
                  <w:noProof/>
                </w:rPr>
                <w:t xml:space="preserve">Evening Standard, 2012. </w:t>
              </w:r>
              <w:r w:rsidR="006530B2">
                <w:rPr>
                  <w:i/>
                  <w:iCs/>
                  <w:noProof/>
                </w:rPr>
                <w:t xml:space="preserve">Spotlight on Hampstead Garden Suburb. </w:t>
              </w:r>
              <w:r w:rsidR="006530B2">
                <w:rPr>
                  <w:noProof/>
                </w:rPr>
                <w:t xml:space="preserve">[Online] </w:t>
              </w:r>
              <w:r w:rsidR="006530B2">
                <w:rPr>
                  <w:noProof/>
                </w:rPr>
                <w:br/>
                <w:t xml:space="preserve">Available at: </w:t>
              </w:r>
              <w:r w:rsidR="006530B2">
                <w:rPr>
                  <w:noProof/>
                  <w:u w:val="single"/>
                </w:rPr>
                <w:t>https://www.standard.co.uk/homesandproperty/where-to-live/spotlight-on-hampstead-garden-suburb-a67236.html</w:t>
              </w:r>
              <w:r w:rsidR="006530B2">
                <w:rPr>
                  <w:noProof/>
                </w:rPr>
                <w:br/>
                <w:t>[Accessed 3 5 2022].</w:t>
              </w:r>
            </w:p>
            <w:p w:rsidR="006530B2" w:rsidRDefault="006530B2" w:rsidP="006530B2">
              <w:pPr>
                <w:pStyle w:val="Bibliography"/>
                <w:rPr>
                  <w:noProof/>
                </w:rPr>
              </w:pPr>
              <w:r>
                <w:rPr>
                  <w:noProof/>
                </w:rPr>
                <w:t xml:space="preserve">Fernando, J., 2022. </w:t>
              </w:r>
              <w:r>
                <w:rPr>
                  <w:i/>
                  <w:iCs/>
                  <w:noProof/>
                </w:rPr>
                <w:t xml:space="preserve">Corporate Social Responsibility (CSR). </w:t>
              </w:r>
              <w:r>
                <w:rPr>
                  <w:noProof/>
                </w:rPr>
                <w:t xml:space="preserve">[Online] </w:t>
              </w:r>
              <w:r>
                <w:rPr>
                  <w:noProof/>
                </w:rPr>
                <w:br/>
                <w:t xml:space="preserve">Available at: </w:t>
              </w:r>
              <w:r>
                <w:rPr>
                  <w:noProof/>
                  <w:u w:val="single"/>
                </w:rPr>
                <w:t>https://www.investopedia.com/terms/c/corp-social-responsibility.asp</w:t>
              </w:r>
              <w:r>
                <w:rPr>
                  <w:noProof/>
                </w:rPr>
                <w:br/>
                <w:t>[Accessed 28 4 2022].</w:t>
              </w:r>
            </w:p>
            <w:p w:rsidR="006530B2" w:rsidRDefault="006530B2" w:rsidP="006530B2">
              <w:pPr>
                <w:pStyle w:val="Bibliography"/>
                <w:rPr>
                  <w:noProof/>
                </w:rPr>
              </w:pPr>
              <w:r>
                <w:rPr>
                  <w:noProof/>
                </w:rPr>
                <w:t xml:space="preserve">Hampsead Garden Suburb Trust, 2022. </w:t>
              </w:r>
              <w:r>
                <w:rPr>
                  <w:i/>
                  <w:iCs/>
                  <w:noProof/>
                </w:rPr>
                <w:t xml:space="preserve">Scheme of Management. </w:t>
              </w:r>
              <w:r>
                <w:rPr>
                  <w:noProof/>
                </w:rPr>
                <w:t xml:space="preserve">[Online] </w:t>
              </w:r>
              <w:r>
                <w:rPr>
                  <w:noProof/>
                </w:rPr>
                <w:br/>
                <w:t xml:space="preserve">Available at: </w:t>
              </w:r>
              <w:r>
                <w:rPr>
                  <w:noProof/>
                  <w:u w:val="single"/>
                </w:rPr>
                <w:t>https://www.hgstrust.org/the-trust/scheme-of-management.shtml</w:t>
              </w:r>
              <w:r>
                <w:rPr>
                  <w:noProof/>
                </w:rPr>
                <w:br/>
                <w:t>[Accessed 4 4 2022].</w:t>
              </w:r>
            </w:p>
            <w:p w:rsidR="006530B2" w:rsidRDefault="006530B2" w:rsidP="006530B2">
              <w:pPr>
                <w:pStyle w:val="Bibliography"/>
                <w:rPr>
                  <w:noProof/>
                </w:rPr>
              </w:pPr>
              <w:r>
                <w:rPr>
                  <w:noProof/>
                </w:rPr>
                <w:t xml:space="preserve">Hampsead Garden Suburb Trust, 2022. </w:t>
              </w:r>
              <w:r>
                <w:rPr>
                  <w:i/>
                  <w:iCs/>
                  <w:noProof/>
                </w:rPr>
                <w:t xml:space="preserve">The History of The Suburb. </w:t>
              </w:r>
              <w:r>
                <w:rPr>
                  <w:noProof/>
                </w:rPr>
                <w:t xml:space="preserve">[Online] </w:t>
              </w:r>
              <w:r>
                <w:rPr>
                  <w:noProof/>
                </w:rPr>
                <w:br/>
                <w:t xml:space="preserve">Available at: </w:t>
              </w:r>
              <w:r>
                <w:rPr>
                  <w:noProof/>
                  <w:u w:val="single"/>
                </w:rPr>
                <w:t>https://www.hgstrust.org/the-suburb/history/index.shtml</w:t>
              </w:r>
              <w:r>
                <w:rPr>
                  <w:noProof/>
                </w:rPr>
                <w:br/>
                <w:t>[Accessed 4 4 2022].</w:t>
              </w:r>
            </w:p>
            <w:p w:rsidR="006530B2" w:rsidRDefault="006530B2" w:rsidP="006530B2">
              <w:pPr>
                <w:pStyle w:val="Bibliography"/>
                <w:rPr>
                  <w:noProof/>
                </w:rPr>
              </w:pPr>
              <w:r>
                <w:rPr>
                  <w:noProof/>
                </w:rPr>
                <w:t xml:space="preserve">Hampstead Garden Suburb Trust, 2022. </w:t>
              </w:r>
              <w:r>
                <w:rPr>
                  <w:i/>
                  <w:iCs/>
                  <w:noProof/>
                </w:rPr>
                <w:t xml:space="preserve">What The Trust Does. </w:t>
              </w:r>
              <w:r>
                <w:rPr>
                  <w:noProof/>
                </w:rPr>
                <w:t xml:space="preserve">[Online] </w:t>
              </w:r>
              <w:r>
                <w:rPr>
                  <w:noProof/>
                </w:rPr>
                <w:br/>
                <w:t xml:space="preserve">Available at: </w:t>
              </w:r>
              <w:r>
                <w:rPr>
                  <w:noProof/>
                  <w:u w:val="single"/>
                </w:rPr>
                <w:t>https://www.hgstrust.org/the-trust/what-the-trust-does.shtml</w:t>
              </w:r>
              <w:r>
                <w:rPr>
                  <w:noProof/>
                </w:rPr>
                <w:br/>
                <w:t>[Accessed 3 4 2022].</w:t>
              </w:r>
            </w:p>
            <w:p w:rsidR="006530B2" w:rsidRDefault="006530B2" w:rsidP="006530B2">
              <w:pPr>
                <w:pStyle w:val="Bibliography"/>
                <w:rPr>
                  <w:noProof/>
                </w:rPr>
              </w:pPr>
              <w:r>
                <w:rPr>
                  <w:noProof/>
                </w:rPr>
                <w:t xml:space="preserve">Heath Gate, 2022. </w:t>
              </w:r>
              <w:r>
                <w:rPr>
                  <w:i/>
                  <w:iCs/>
                  <w:noProof/>
                </w:rPr>
                <w:t xml:space="preserve">Hampstead Garden Suburb Area Guide. </w:t>
              </w:r>
              <w:r>
                <w:rPr>
                  <w:noProof/>
                </w:rPr>
                <w:t xml:space="preserve">[Online] </w:t>
              </w:r>
              <w:r>
                <w:rPr>
                  <w:noProof/>
                </w:rPr>
                <w:br/>
                <w:t xml:space="preserve">Available at: </w:t>
              </w:r>
              <w:r>
                <w:rPr>
                  <w:noProof/>
                  <w:u w:val="single"/>
                </w:rPr>
                <w:t>https://www.heathgate.com/hampstead-garden-suburb-area-guide/</w:t>
              </w:r>
              <w:r>
                <w:rPr>
                  <w:noProof/>
                </w:rPr>
                <w:br/>
                <w:t>[Accessed 7 4 2022].</w:t>
              </w:r>
            </w:p>
            <w:p w:rsidR="006530B2" w:rsidRDefault="006530B2" w:rsidP="006530B2">
              <w:pPr>
                <w:pStyle w:val="Bibliography"/>
                <w:rPr>
                  <w:noProof/>
                </w:rPr>
              </w:pPr>
              <w:r>
                <w:rPr>
                  <w:noProof/>
                </w:rPr>
                <w:t xml:space="preserve">Hidden London, 2022. </w:t>
              </w:r>
              <w:r>
                <w:rPr>
                  <w:i/>
                  <w:iCs/>
                  <w:noProof/>
                </w:rPr>
                <w:t xml:space="preserve">Hampstead Garden Suburb, Barnet. </w:t>
              </w:r>
              <w:r>
                <w:rPr>
                  <w:noProof/>
                </w:rPr>
                <w:t xml:space="preserve">[Online] </w:t>
              </w:r>
              <w:r>
                <w:rPr>
                  <w:noProof/>
                </w:rPr>
                <w:br/>
                <w:t xml:space="preserve">Available at: </w:t>
              </w:r>
              <w:r>
                <w:rPr>
                  <w:noProof/>
                  <w:u w:val="single"/>
                </w:rPr>
                <w:t>https://hidden-london.com/gazetteer/hampstead-garden-suburb/</w:t>
              </w:r>
              <w:r>
                <w:rPr>
                  <w:noProof/>
                </w:rPr>
                <w:br/>
                <w:t>[Accessed 1 5 2022].</w:t>
              </w:r>
            </w:p>
            <w:p w:rsidR="006530B2" w:rsidRDefault="006530B2" w:rsidP="006530B2">
              <w:pPr>
                <w:pStyle w:val="Bibliography"/>
                <w:rPr>
                  <w:noProof/>
                </w:rPr>
              </w:pPr>
              <w:r>
                <w:rPr>
                  <w:noProof/>
                </w:rPr>
                <w:lastRenderedPageBreak/>
                <w:t xml:space="preserve">The National Archives, 1998. </w:t>
              </w:r>
              <w:r>
                <w:rPr>
                  <w:i/>
                  <w:iCs/>
                  <w:noProof/>
                </w:rPr>
                <w:t xml:space="preserve">HAMPSTEAD GARDEN SUBURB. </w:t>
              </w:r>
              <w:r>
                <w:rPr>
                  <w:noProof/>
                </w:rPr>
                <w:t xml:space="preserve">[Online] </w:t>
              </w:r>
              <w:r>
                <w:rPr>
                  <w:noProof/>
                </w:rPr>
                <w:br/>
                <w:t xml:space="preserve">Available at: </w:t>
              </w:r>
              <w:r>
                <w:rPr>
                  <w:noProof/>
                  <w:u w:val="single"/>
                </w:rPr>
                <w:t>https://discovery.nationalarchives.gov.uk/details/r/2e073f30-263b-488a-92a1-66a7f5cf23d4</w:t>
              </w:r>
              <w:r>
                <w:rPr>
                  <w:noProof/>
                </w:rPr>
                <w:br/>
                <w:t>[Accessed 1 4 2022].</w:t>
              </w:r>
            </w:p>
            <w:p w:rsidR="006530B2" w:rsidRDefault="00802614" w:rsidP="006530B2">
              <w:r>
                <w:rPr>
                  <w:b/>
                  <w:bCs/>
                  <w:noProof/>
                </w:rPr>
                <w:fldChar w:fldCharType="end"/>
              </w:r>
            </w:p>
          </w:sdtContent>
        </w:sdt>
      </w:sdtContent>
    </w:sdt>
    <w:p w:rsidR="0076072A" w:rsidRDefault="0076072A"/>
    <w:sectPr w:rsidR="0076072A" w:rsidSect="006530B2">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65F7" w:rsidRDefault="00BB65F7" w:rsidP="00C21F3B">
      <w:pPr>
        <w:spacing w:line="240" w:lineRule="auto"/>
      </w:pPr>
      <w:r>
        <w:separator/>
      </w:r>
    </w:p>
  </w:endnote>
  <w:endnote w:type="continuationSeparator" w:id="1">
    <w:p w:rsidR="00BB65F7" w:rsidRDefault="00BB65F7" w:rsidP="00C21F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65F7" w:rsidRDefault="00BB65F7" w:rsidP="00C21F3B">
      <w:pPr>
        <w:spacing w:line="240" w:lineRule="auto"/>
      </w:pPr>
      <w:r>
        <w:separator/>
      </w:r>
    </w:p>
  </w:footnote>
  <w:footnote w:type="continuationSeparator" w:id="1">
    <w:p w:rsidR="00BB65F7" w:rsidRDefault="00BB65F7" w:rsidP="00C21F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3534533"/>
      <w:docPartObj>
        <w:docPartGallery w:val="Page Numbers (Top of Page)"/>
        <w:docPartUnique/>
      </w:docPartObj>
    </w:sdtPr>
    <w:sdtEndPr>
      <w:rPr>
        <w:noProof/>
      </w:rPr>
    </w:sdtEndPr>
    <w:sdtContent>
      <w:p w:rsidR="00C21F3B" w:rsidRDefault="00802614">
        <w:pPr>
          <w:pStyle w:val="Header"/>
        </w:pPr>
        <w:r>
          <w:fldChar w:fldCharType="begin"/>
        </w:r>
        <w:r w:rsidR="00C21F3B">
          <w:instrText xml:space="preserve"> PAGE   \* MERGEFORMAT </w:instrText>
        </w:r>
        <w:r>
          <w:fldChar w:fldCharType="separate"/>
        </w:r>
        <w:r w:rsidR="00D20169">
          <w:rPr>
            <w:noProof/>
          </w:rPr>
          <w:t>3</w:t>
        </w:r>
        <w:r>
          <w:rPr>
            <w:noProof/>
          </w:rPr>
          <w:fldChar w:fldCharType="end"/>
        </w:r>
      </w:p>
    </w:sdtContent>
  </w:sdt>
  <w:p w:rsidR="00C21F3B" w:rsidRDefault="00C21F3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B1DD0"/>
    <w:rsid w:val="00015708"/>
    <w:rsid w:val="001E6510"/>
    <w:rsid w:val="00340434"/>
    <w:rsid w:val="003C06D0"/>
    <w:rsid w:val="00491D35"/>
    <w:rsid w:val="004B1DD0"/>
    <w:rsid w:val="00624ADB"/>
    <w:rsid w:val="006345D0"/>
    <w:rsid w:val="006530B2"/>
    <w:rsid w:val="0076072A"/>
    <w:rsid w:val="007842EF"/>
    <w:rsid w:val="00802614"/>
    <w:rsid w:val="008F4659"/>
    <w:rsid w:val="009737A7"/>
    <w:rsid w:val="0097604F"/>
    <w:rsid w:val="00994AF9"/>
    <w:rsid w:val="009D0E01"/>
    <w:rsid w:val="00A8362D"/>
    <w:rsid w:val="00A95848"/>
    <w:rsid w:val="00BB65F7"/>
    <w:rsid w:val="00C21F3B"/>
    <w:rsid w:val="00D16281"/>
    <w:rsid w:val="00D20169"/>
    <w:rsid w:val="00E44D6C"/>
    <w:rsid w:val="00EE64D1"/>
    <w:rsid w:val="00FC5E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DD0"/>
    <w:pPr>
      <w:spacing w:after="0" w:line="48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B1DD0"/>
    <w:pPr>
      <w:keepNext/>
      <w:keepLines/>
      <w:spacing w:before="240"/>
      <w:jc w:val="center"/>
      <w:outlineLvl w:val="0"/>
    </w:pPr>
    <w:rPr>
      <w:b/>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DD0"/>
    <w:rPr>
      <w:rFonts w:ascii="Times New Roman" w:eastAsia="Times New Roman" w:hAnsi="Times New Roman" w:cs="Times New Roman"/>
      <w:b/>
      <w:color w:val="000000"/>
      <w:sz w:val="28"/>
      <w:szCs w:val="28"/>
    </w:rPr>
  </w:style>
  <w:style w:type="paragraph" w:styleId="TOCHeading">
    <w:name w:val="TOC Heading"/>
    <w:basedOn w:val="Heading1"/>
    <w:next w:val="Normal"/>
    <w:uiPriority w:val="39"/>
    <w:unhideWhenUsed/>
    <w:qFormat/>
    <w:rsid w:val="006530B2"/>
    <w:pPr>
      <w:spacing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6530B2"/>
    <w:pPr>
      <w:spacing w:after="100"/>
    </w:pPr>
  </w:style>
  <w:style w:type="character" w:styleId="Hyperlink">
    <w:name w:val="Hyperlink"/>
    <w:basedOn w:val="DefaultParagraphFont"/>
    <w:uiPriority w:val="99"/>
    <w:unhideWhenUsed/>
    <w:rsid w:val="006530B2"/>
    <w:rPr>
      <w:color w:val="0563C1" w:themeColor="hyperlink"/>
      <w:u w:val="single"/>
    </w:rPr>
  </w:style>
  <w:style w:type="paragraph" w:styleId="Bibliography">
    <w:name w:val="Bibliography"/>
    <w:basedOn w:val="Normal"/>
    <w:next w:val="Normal"/>
    <w:uiPriority w:val="37"/>
    <w:unhideWhenUsed/>
    <w:rsid w:val="006530B2"/>
  </w:style>
  <w:style w:type="paragraph" w:styleId="NoSpacing">
    <w:name w:val="No Spacing"/>
    <w:link w:val="NoSpacingChar"/>
    <w:uiPriority w:val="1"/>
    <w:qFormat/>
    <w:rsid w:val="006530B2"/>
    <w:pPr>
      <w:spacing w:after="0" w:line="240" w:lineRule="auto"/>
    </w:pPr>
    <w:rPr>
      <w:rFonts w:eastAsiaTheme="minorEastAsia"/>
    </w:rPr>
  </w:style>
  <w:style w:type="character" w:customStyle="1" w:styleId="NoSpacingChar">
    <w:name w:val="No Spacing Char"/>
    <w:basedOn w:val="DefaultParagraphFont"/>
    <w:link w:val="NoSpacing"/>
    <w:uiPriority w:val="1"/>
    <w:rsid w:val="006530B2"/>
    <w:rPr>
      <w:rFonts w:eastAsiaTheme="minorEastAsia"/>
    </w:rPr>
  </w:style>
  <w:style w:type="paragraph" w:styleId="Header">
    <w:name w:val="header"/>
    <w:basedOn w:val="Normal"/>
    <w:link w:val="HeaderChar"/>
    <w:uiPriority w:val="99"/>
    <w:unhideWhenUsed/>
    <w:rsid w:val="00C21F3B"/>
    <w:pPr>
      <w:tabs>
        <w:tab w:val="center" w:pos="4703"/>
        <w:tab w:val="right" w:pos="9406"/>
      </w:tabs>
      <w:spacing w:line="240" w:lineRule="auto"/>
    </w:pPr>
  </w:style>
  <w:style w:type="character" w:customStyle="1" w:styleId="HeaderChar">
    <w:name w:val="Header Char"/>
    <w:basedOn w:val="DefaultParagraphFont"/>
    <w:link w:val="Header"/>
    <w:uiPriority w:val="99"/>
    <w:rsid w:val="00C21F3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21F3B"/>
    <w:pPr>
      <w:tabs>
        <w:tab w:val="center" w:pos="4703"/>
        <w:tab w:val="right" w:pos="9406"/>
      </w:tabs>
      <w:spacing w:line="240" w:lineRule="auto"/>
    </w:pPr>
  </w:style>
  <w:style w:type="character" w:customStyle="1" w:styleId="FooterChar">
    <w:name w:val="Footer Char"/>
    <w:basedOn w:val="DefaultParagraphFont"/>
    <w:link w:val="Footer"/>
    <w:uiPriority w:val="99"/>
    <w:rsid w:val="00C21F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737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7A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107680">
      <w:bodyDiv w:val="1"/>
      <w:marLeft w:val="0"/>
      <w:marRight w:val="0"/>
      <w:marTop w:val="0"/>
      <w:marBottom w:val="0"/>
      <w:divBdr>
        <w:top w:val="none" w:sz="0" w:space="0" w:color="auto"/>
        <w:left w:val="none" w:sz="0" w:space="0" w:color="auto"/>
        <w:bottom w:val="none" w:sz="0" w:space="0" w:color="auto"/>
        <w:right w:val="none" w:sz="0" w:space="0" w:color="auto"/>
      </w:divBdr>
    </w:div>
    <w:div w:id="347607114">
      <w:bodyDiv w:val="1"/>
      <w:marLeft w:val="0"/>
      <w:marRight w:val="0"/>
      <w:marTop w:val="0"/>
      <w:marBottom w:val="0"/>
      <w:divBdr>
        <w:top w:val="none" w:sz="0" w:space="0" w:color="auto"/>
        <w:left w:val="none" w:sz="0" w:space="0" w:color="auto"/>
        <w:bottom w:val="none" w:sz="0" w:space="0" w:color="auto"/>
        <w:right w:val="none" w:sz="0" w:space="0" w:color="auto"/>
      </w:divBdr>
    </w:div>
    <w:div w:id="687416715">
      <w:bodyDiv w:val="1"/>
      <w:marLeft w:val="0"/>
      <w:marRight w:val="0"/>
      <w:marTop w:val="0"/>
      <w:marBottom w:val="0"/>
      <w:divBdr>
        <w:top w:val="none" w:sz="0" w:space="0" w:color="auto"/>
        <w:left w:val="none" w:sz="0" w:space="0" w:color="auto"/>
        <w:bottom w:val="none" w:sz="0" w:space="0" w:color="auto"/>
        <w:right w:val="none" w:sz="0" w:space="0" w:color="auto"/>
      </w:divBdr>
    </w:div>
    <w:div w:id="711997247">
      <w:bodyDiv w:val="1"/>
      <w:marLeft w:val="0"/>
      <w:marRight w:val="0"/>
      <w:marTop w:val="0"/>
      <w:marBottom w:val="0"/>
      <w:divBdr>
        <w:top w:val="none" w:sz="0" w:space="0" w:color="auto"/>
        <w:left w:val="none" w:sz="0" w:space="0" w:color="auto"/>
        <w:bottom w:val="none" w:sz="0" w:space="0" w:color="auto"/>
        <w:right w:val="none" w:sz="0" w:space="0" w:color="auto"/>
      </w:divBdr>
    </w:div>
    <w:div w:id="878856932">
      <w:bodyDiv w:val="1"/>
      <w:marLeft w:val="0"/>
      <w:marRight w:val="0"/>
      <w:marTop w:val="0"/>
      <w:marBottom w:val="0"/>
      <w:divBdr>
        <w:top w:val="none" w:sz="0" w:space="0" w:color="auto"/>
        <w:left w:val="none" w:sz="0" w:space="0" w:color="auto"/>
        <w:bottom w:val="none" w:sz="0" w:space="0" w:color="auto"/>
        <w:right w:val="none" w:sz="0" w:space="0" w:color="auto"/>
      </w:divBdr>
    </w:div>
    <w:div w:id="1146899340">
      <w:bodyDiv w:val="1"/>
      <w:marLeft w:val="0"/>
      <w:marRight w:val="0"/>
      <w:marTop w:val="0"/>
      <w:marBottom w:val="0"/>
      <w:divBdr>
        <w:top w:val="none" w:sz="0" w:space="0" w:color="auto"/>
        <w:left w:val="none" w:sz="0" w:space="0" w:color="auto"/>
        <w:bottom w:val="none" w:sz="0" w:space="0" w:color="auto"/>
        <w:right w:val="none" w:sz="0" w:space="0" w:color="auto"/>
      </w:divBdr>
    </w:div>
    <w:div w:id="1254706912">
      <w:bodyDiv w:val="1"/>
      <w:marLeft w:val="0"/>
      <w:marRight w:val="0"/>
      <w:marTop w:val="0"/>
      <w:marBottom w:val="0"/>
      <w:divBdr>
        <w:top w:val="none" w:sz="0" w:space="0" w:color="auto"/>
        <w:left w:val="none" w:sz="0" w:space="0" w:color="auto"/>
        <w:bottom w:val="none" w:sz="0" w:space="0" w:color="auto"/>
        <w:right w:val="none" w:sz="0" w:space="0" w:color="auto"/>
      </w:divBdr>
    </w:div>
    <w:div w:id="1285235876">
      <w:bodyDiv w:val="1"/>
      <w:marLeft w:val="0"/>
      <w:marRight w:val="0"/>
      <w:marTop w:val="0"/>
      <w:marBottom w:val="0"/>
      <w:divBdr>
        <w:top w:val="none" w:sz="0" w:space="0" w:color="auto"/>
        <w:left w:val="none" w:sz="0" w:space="0" w:color="auto"/>
        <w:bottom w:val="none" w:sz="0" w:space="0" w:color="auto"/>
        <w:right w:val="none" w:sz="0" w:space="0" w:color="auto"/>
      </w:divBdr>
    </w:div>
    <w:div w:id="1704789704">
      <w:bodyDiv w:val="1"/>
      <w:marLeft w:val="0"/>
      <w:marRight w:val="0"/>
      <w:marTop w:val="0"/>
      <w:marBottom w:val="0"/>
      <w:divBdr>
        <w:top w:val="none" w:sz="0" w:space="0" w:color="auto"/>
        <w:left w:val="none" w:sz="0" w:space="0" w:color="auto"/>
        <w:bottom w:val="none" w:sz="0" w:space="0" w:color="auto"/>
        <w:right w:val="none" w:sz="0" w:space="0" w:color="auto"/>
      </w:divBdr>
    </w:div>
    <w:div w:id="194761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eograph.org.uk/photo/3138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Hampstead Garden Suburb community in London borough in Barnet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Hea22</b:Tag>
    <b:SourceType>InternetSite</b:SourceType>
    <b:Guid>{12A3B976-2A9C-45C9-B7C6-E8E5330837C0}</b:Guid>
    <b:Author>
      <b:Author>
        <b:Corporate>Heath Gate</b:Corporate>
      </b:Author>
    </b:Author>
    <b:Title>Hampstead Garden Suburb Area Guide</b:Title>
    <b:Year>2022</b:Year>
    <b:YearAccessed>2022</b:YearAccessed>
    <b:MonthAccessed>4</b:MonthAccessed>
    <b:DayAccessed>7</b:DayAccessed>
    <b:URL>https://www.heathgate.com/hampstead-garden-suburb-area-guide/</b:URL>
    <b:RefOrder>1</b:RefOrder>
  </b:Source>
  <b:Source>
    <b:Tag>Hid221</b:Tag>
    <b:SourceType>InternetSite</b:SourceType>
    <b:Guid>{478C5992-AB6A-4F5A-9365-D8313692FAAF}</b:Guid>
    <b:Title>Hampstead Garden Suburb, Barnet</b:Title>
    <b:Year>2022</b:Year>
    <b:Author>
      <b:Author>
        <b:Corporate>Hidden London</b:Corporate>
      </b:Author>
    </b:Author>
    <b:YearAccessed>2022</b:YearAccessed>
    <b:MonthAccessed>5</b:MonthAccessed>
    <b:DayAccessed>1</b:DayAccessed>
    <b:URL>https://hidden-london.com/gazetteer/hampstead-garden-suburb/</b:URL>
    <b:RefOrder>2</b:RefOrder>
  </b:Source>
  <b:Source>
    <b:Tag>Ham22</b:Tag>
    <b:SourceType>InternetSite</b:SourceType>
    <b:Guid>{8A3F2EC9-9E86-4D9D-8C54-685383551414}</b:Guid>
    <b:Author>
      <b:Author>
        <b:Corporate>Hampstead Garden Suburb Trust</b:Corporate>
      </b:Author>
    </b:Author>
    <b:Title>What The Trust Does</b:Title>
    <b:Year>2022</b:Year>
    <b:YearAccessed>2022</b:YearAccessed>
    <b:MonthAccessed>4</b:MonthAccessed>
    <b:DayAccessed>3</b:DayAccessed>
    <b:URL>https://www.hgstrust.org/the-trust/what-the-trust-does.shtml</b:URL>
    <b:RefOrder>3</b:RefOrder>
  </b:Source>
  <b:Source>
    <b:Tag>Eve12</b:Tag>
    <b:SourceType>InternetSite</b:SourceType>
    <b:Guid>{00649D41-7C9A-432D-8D83-194EA38AA5FB}</b:Guid>
    <b:Title>Spotlight on Hampstead Garden Suburb</b:Title>
    <b:Year>2012</b:Year>
    <b:YearAccessed>2022</b:YearAccessed>
    <b:MonthAccessed>5</b:MonthAccessed>
    <b:DayAccessed>3</b:DayAccessed>
    <b:URL>https://www.standard.co.uk/homesandproperty/where-to-live/spotlight-on-hampstead-garden-suburb-a67236.html</b:URL>
    <b:Author>
      <b:Author>
        <b:Corporate>Evening Standard</b:Corporate>
      </b:Author>
    </b:Author>
    <b:RefOrder>4</b:RefOrder>
  </b:Source>
  <b:Source>
    <b:Tag>Jas22</b:Tag>
    <b:SourceType>InternetSite</b:SourceType>
    <b:Guid>{5BB156B1-0B25-4B11-993A-B47EBC2FE58C}</b:Guid>
    <b:Author>
      <b:Author>
        <b:NameList>
          <b:Person>
            <b:Last>Fernando</b:Last>
            <b:First>Jason</b:First>
          </b:Person>
        </b:NameList>
      </b:Author>
    </b:Author>
    <b:Title>Corporate Social Responsibility (CSR)</b:Title>
    <b:Year>2022</b:Year>
    <b:YearAccessed>2022</b:YearAccessed>
    <b:MonthAccessed>4</b:MonthAccessed>
    <b:DayAccessed>28</b:DayAccessed>
    <b:URL>https://www.investopedia.com/terms/c/corp-social-responsibility.asp</b:URL>
    <b:RefOrder>5</b:RefOrder>
  </b:Source>
  <b:Source>
    <b:Tag>Ham221</b:Tag>
    <b:SourceType>InternetSite</b:SourceType>
    <b:Guid>{BC88652C-A8BF-4AC1-9FE9-51E3AF9245D3}</b:Guid>
    <b:Author>
      <b:Author>
        <b:Corporate>Hampsead Garden Suburb Trust</b:Corporate>
      </b:Author>
    </b:Author>
    <b:Title>The History of The Suburb</b:Title>
    <b:Year>2022</b:Year>
    <b:YearAccessed>2022</b:YearAccessed>
    <b:MonthAccessed>4</b:MonthAccessed>
    <b:DayAccessed>4</b:DayAccessed>
    <b:URL>https://www.hgstrust.org/the-suburb/history/index.shtml</b:URL>
    <b:RefOrder>6</b:RefOrder>
  </b:Source>
  <b:Source>
    <b:Tag>Ham222</b:Tag>
    <b:SourceType>InternetSite</b:SourceType>
    <b:Guid>{272C17C6-B05F-47A6-82EE-4B8AAAC62593}</b:Guid>
    <b:Author>
      <b:Author>
        <b:Corporate>Hampsead Garden Suburb Trust</b:Corporate>
      </b:Author>
    </b:Author>
    <b:Title>Scheme of Management</b:Title>
    <b:Year>2022</b:Year>
    <b:YearAccessed>2022</b:YearAccessed>
    <b:MonthAccessed>4</b:MonthAccessed>
    <b:DayAccessed>4</b:DayAccessed>
    <b:URL>https://www.hgstrust.org/the-trust/scheme-of-management.shtml</b:URL>
    <b:RefOrder>7</b:RefOrder>
  </b:Source>
  <b:Source>
    <b:Tag>The98</b:Tag>
    <b:SourceType>InternetSite</b:SourceType>
    <b:Guid>{4844E8FF-3630-4D9D-BD70-991CD1431ECC}</b:Guid>
    <b:Author>
      <b:Author>
        <b:Corporate>The National Archives</b:Corporate>
      </b:Author>
    </b:Author>
    <b:Title>HAMPSTEAD GARDEN SUBURB</b:Title>
    <b:Year>1998</b:Year>
    <b:YearAccessed>2022</b:YearAccessed>
    <b:MonthAccessed>4</b:MonthAccessed>
    <b:DayAccessed>1</b:DayAccessed>
    <b:URL>https://discovery.nationalarchives.gov.uk/details/r/2e073f30-263b-488a-92a1-66a7f5cf23d4</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9332B7-40D8-4F31-B28C-B2401535C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Assignment 2</dc:subject>
  <dc:creator>Elena Nedelcheva</dc:creator>
  <cp:keywords/>
  <dc:description/>
  <cp:lastModifiedBy>alfab</cp:lastModifiedBy>
  <cp:revision>8</cp:revision>
  <dcterms:created xsi:type="dcterms:W3CDTF">2022-05-08T15:29:00Z</dcterms:created>
  <dcterms:modified xsi:type="dcterms:W3CDTF">2022-05-08T17:33:00Z</dcterms:modified>
  <cp:category>SN 2112413</cp:category>
</cp:coreProperties>
</file>