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1D42B3"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bookmarkStart w:id="0" w:name="_Hlk163466254"/>
      <w:r w:rsidRPr="008D03F4">
        <w:rPr>
          <w:rFonts w:ascii="Arial" w:eastAsia="Times New Roman" w:hAnsi="Arial" w:cs="Arial"/>
          <w:color w:val="000000" w:themeColor="text1"/>
          <w:kern w:val="0"/>
          <w:sz w:val="24"/>
          <w:szCs w:val="24"/>
          <w:lang w:eastAsia="en-GB"/>
          <w14:ligatures w14:val="none"/>
        </w:rPr>
        <w:t>+</w:t>
      </w:r>
      <w:r w:rsidRPr="008D03F4">
        <w:rPr>
          <w:rFonts w:ascii="Arial" w:eastAsia="Times New Roman" w:hAnsi="Arial" w:cs="Arial"/>
          <w:noProof/>
          <w:color w:val="000000"/>
          <w:kern w:val="0"/>
          <w:sz w:val="20"/>
          <w:szCs w:val="20"/>
          <w:lang w:eastAsia="en-GB"/>
          <w14:ligatures w14:val="none"/>
        </w:rPr>
        <w:drawing>
          <wp:inline distT="0" distB="0" distL="0" distR="0" wp14:anchorId="109FFB23" wp14:editId="64722B01">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6A94B241"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658750A9"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132E5690"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b/>
          <w:color w:val="000000"/>
          <w:kern w:val="0"/>
          <w:sz w:val="36"/>
          <w:szCs w:val="40"/>
          <w:lang w:eastAsia="en-GB"/>
          <w14:ligatures w14:val="none"/>
        </w:rPr>
      </w:pPr>
      <w:r w:rsidRPr="008D03F4">
        <w:rPr>
          <w:rFonts w:ascii="Arial" w:eastAsia="Times New Roman" w:hAnsi="Arial" w:cs="Arial"/>
          <w:b/>
          <w:color w:val="000000"/>
          <w:kern w:val="0"/>
          <w:sz w:val="36"/>
          <w:szCs w:val="40"/>
          <w:lang w:eastAsia="en-GB"/>
          <w14:ligatures w14:val="none"/>
        </w:rPr>
        <w:t xml:space="preserve">Graduate Diploma Professional Police Practice </w:t>
      </w:r>
    </w:p>
    <w:p w14:paraId="73BB8CC1"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7D13BC06"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r w:rsidRPr="008D03F4">
        <w:rPr>
          <w:rFonts w:ascii="Arial" w:eastAsia="Times New Roman" w:hAnsi="Arial" w:cs="Arial"/>
          <w:b/>
          <w:kern w:val="0"/>
          <w:sz w:val="44"/>
          <w:szCs w:val="20"/>
          <w:lang w:eastAsia="en-GB"/>
          <w14:ligatures w14:val="none"/>
        </w:rPr>
        <w:t>LEVEL 6 - 40 Credits</w:t>
      </w:r>
    </w:p>
    <w:p w14:paraId="79213261"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0996AB5A"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743855C3" w14:textId="77777777" w:rsidR="008D03F4" w:rsidRPr="008D03F4" w:rsidRDefault="008D03F4" w:rsidP="008D03F4">
      <w:pPr>
        <w:spacing w:after="0" w:line="240" w:lineRule="auto"/>
        <w:ind w:right="237"/>
        <w:rPr>
          <w:rFonts w:ascii="Arial" w:eastAsia="Times New Roman" w:hAnsi="Arial" w:cs="Arial"/>
          <w:b/>
          <w:kern w:val="0"/>
          <w:sz w:val="40"/>
          <w:szCs w:val="20"/>
          <w:lang w:eastAsia="en-GB"/>
          <w14:ligatures w14:val="none"/>
        </w:rPr>
      </w:pPr>
      <w:r w:rsidRPr="008D03F4">
        <w:rPr>
          <w:rFonts w:ascii="Arial" w:eastAsia="Times New Roman" w:hAnsi="Arial" w:cs="Arial"/>
          <w:b/>
          <w:kern w:val="0"/>
          <w:sz w:val="40"/>
          <w:szCs w:val="20"/>
          <w:lang w:eastAsia="en-GB"/>
          <w14:ligatures w14:val="none"/>
        </w:rPr>
        <w:t>Workbook title: Competency Based Workbook 2 (DHEP/DET)</w:t>
      </w:r>
    </w:p>
    <w:p w14:paraId="303F1147" w14:textId="77777777" w:rsidR="008D03F4" w:rsidRPr="008D03F4" w:rsidRDefault="008D03F4" w:rsidP="008D03F4">
      <w:pPr>
        <w:spacing w:after="0" w:line="240" w:lineRule="auto"/>
        <w:ind w:right="237"/>
        <w:rPr>
          <w:rFonts w:ascii="Arial" w:eastAsia="Times New Roman" w:hAnsi="Arial" w:cs="Arial"/>
          <w:b/>
          <w:kern w:val="0"/>
          <w:sz w:val="40"/>
          <w:szCs w:val="20"/>
          <w:lang w:eastAsia="en-GB"/>
          <w14:ligatures w14:val="none"/>
        </w:rPr>
      </w:pPr>
    </w:p>
    <w:p w14:paraId="7E8698F2" w14:textId="77777777" w:rsidR="008D03F4" w:rsidRPr="008D03F4" w:rsidRDefault="008D03F4" w:rsidP="008D03F4">
      <w:pPr>
        <w:spacing w:after="0" w:line="240" w:lineRule="auto"/>
        <w:ind w:right="237"/>
        <w:rPr>
          <w:rFonts w:ascii="Arial" w:eastAsia="Times New Roman" w:hAnsi="Arial" w:cs="Arial"/>
          <w:b/>
          <w:i/>
          <w:iCs/>
          <w:kern w:val="0"/>
          <w:sz w:val="40"/>
          <w:szCs w:val="20"/>
          <w:lang w:eastAsia="en-GB"/>
          <w14:ligatures w14:val="none"/>
        </w:rPr>
      </w:pPr>
      <w:r w:rsidRPr="008D03F4">
        <w:rPr>
          <w:rFonts w:ascii="Arial" w:eastAsia="Times New Roman" w:hAnsi="Arial" w:cs="Arial"/>
          <w:b/>
          <w:i/>
          <w:iCs/>
          <w:kern w:val="0"/>
          <w:sz w:val="40"/>
          <w:szCs w:val="20"/>
          <w:highlight w:val="yellow"/>
          <w:lang w:eastAsia="en-GB"/>
          <w14:ligatures w14:val="none"/>
        </w:rPr>
        <w:t>To be completed by DHEP Detective students only</w:t>
      </w:r>
      <w:r w:rsidRPr="008D03F4">
        <w:rPr>
          <w:rFonts w:ascii="Arial" w:eastAsia="Times New Roman" w:hAnsi="Arial" w:cs="Arial"/>
          <w:b/>
          <w:i/>
          <w:iCs/>
          <w:kern w:val="0"/>
          <w:sz w:val="40"/>
          <w:szCs w:val="20"/>
          <w:lang w:eastAsia="en-GB"/>
          <w14:ligatures w14:val="none"/>
        </w:rPr>
        <w:t xml:space="preserve"> </w:t>
      </w:r>
    </w:p>
    <w:p w14:paraId="0CA6790C"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p>
    <w:p w14:paraId="697E8205"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r w:rsidRPr="008D03F4">
        <w:rPr>
          <w:rFonts w:ascii="Arial" w:eastAsia="Times New Roman" w:hAnsi="Arial" w:cs="Arial"/>
          <w:b/>
          <w:kern w:val="0"/>
          <w:sz w:val="36"/>
          <w:szCs w:val="20"/>
          <w:lang w:eastAsia="en-GB"/>
          <w14:ligatures w14:val="none"/>
        </w:rPr>
        <w:t>(SOUTH WALES POLICE, GWENT POLICE AND UWTSD)</w:t>
      </w:r>
    </w:p>
    <w:p w14:paraId="354EF0A7"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307313A8" w14:textId="77777777" w:rsidR="008D03F4" w:rsidRPr="008D03F4" w:rsidRDefault="008D03F4" w:rsidP="008D03F4">
      <w:pPr>
        <w:spacing w:after="0" w:line="240" w:lineRule="auto"/>
        <w:ind w:right="237"/>
        <w:rPr>
          <w:rFonts w:ascii="Arial" w:eastAsia="Times New Roman" w:hAnsi="Arial" w:cs="Arial"/>
          <w:b/>
          <w:kern w:val="0"/>
          <w:sz w:val="44"/>
          <w:szCs w:val="20"/>
          <w:lang w:eastAsia="en-GB"/>
          <w14:ligatures w14:val="none"/>
        </w:rPr>
      </w:pPr>
    </w:p>
    <w:p w14:paraId="49C5D777" w14:textId="77777777" w:rsidR="008D03F4" w:rsidRPr="008D03F4" w:rsidRDefault="008D03F4" w:rsidP="008D03F4">
      <w:pPr>
        <w:spacing w:after="0" w:line="240" w:lineRule="auto"/>
        <w:rPr>
          <w:rFonts w:ascii="Arial" w:eastAsia="Times New Roman" w:hAnsi="Arial" w:cs="Arial"/>
          <w:color w:val="000000"/>
          <w:kern w:val="0"/>
          <w:sz w:val="20"/>
          <w:szCs w:val="20"/>
          <w:lang w:eastAsia="en-GB"/>
          <w14:ligatures w14:val="none"/>
        </w:rPr>
      </w:pPr>
    </w:p>
    <w:tbl>
      <w:tblPr>
        <w:tblStyle w:val="TableGrid"/>
        <w:tblW w:w="0" w:type="auto"/>
        <w:tblLayout w:type="fixed"/>
        <w:tblLook w:val="06A0" w:firstRow="1" w:lastRow="0" w:firstColumn="1" w:lastColumn="0" w:noHBand="1" w:noVBand="1"/>
      </w:tblPr>
      <w:tblGrid>
        <w:gridCol w:w="9015"/>
      </w:tblGrid>
      <w:tr w:rsidR="008D03F4" w:rsidRPr="008D03F4" w14:paraId="19E0F77E" w14:textId="77777777" w:rsidTr="004049E6">
        <w:tc>
          <w:tcPr>
            <w:tcW w:w="9015" w:type="dxa"/>
          </w:tcPr>
          <w:p w14:paraId="45E7DC5A" w14:textId="24580C75"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Learner name: _</w:t>
            </w:r>
            <w:r w:rsidR="00D903CA">
              <w:rPr>
                <w:rFonts w:ascii="Arial" w:hAnsi="Arial" w:cs="Arial"/>
                <w:b/>
                <w:bCs/>
                <w:sz w:val="32"/>
                <w:szCs w:val="32"/>
                <w:lang w:eastAsia="en-GB"/>
              </w:rPr>
              <w:t>Andy Williams</w:t>
            </w:r>
            <w:r w:rsidRPr="008D03F4">
              <w:rPr>
                <w:rFonts w:ascii="Arial" w:hAnsi="Arial" w:cs="Arial"/>
                <w:b/>
                <w:bCs/>
                <w:sz w:val="32"/>
                <w:szCs w:val="32"/>
                <w:lang w:eastAsia="en-GB"/>
              </w:rPr>
              <w:t>_____________________________</w:t>
            </w:r>
          </w:p>
          <w:p w14:paraId="6AFD46A7"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118C6C55"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Learner’s University Registration Number:</w:t>
            </w:r>
          </w:p>
          <w:p w14:paraId="5324AF80"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r w:rsidRPr="008D03F4">
              <w:rPr>
                <w:rFonts w:ascii="Arial" w:hAnsi="Arial" w:cs="Arial"/>
                <w:b/>
                <w:bCs/>
                <w:sz w:val="32"/>
                <w:szCs w:val="32"/>
                <w:lang w:eastAsia="en-GB"/>
              </w:rPr>
              <w:t>_______________________________</w:t>
            </w:r>
          </w:p>
          <w:p w14:paraId="416DAB4D"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27516EBC" w14:textId="77777777" w:rsidR="008D03F4" w:rsidRPr="008D03F4" w:rsidRDefault="008D03F4" w:rsidP="008D03F4">
            <w:pPr>
              <w:overflowPunct w:val="0"/>
              <w:autoSpaceDE w:val="0"/>
              <w:autoSpaceDN w:val="0"/>
              <w:adjustRightInd w:val="0"/>
              <w:ind w:right="237"/>
              <w:textAlignment w:val="baseline"/>
              <w:rPr>
                <w:rFonts w:ascii="Arial" w:hAnsi="Arial" w:cs="Arial"/>
                <w:b/>
                <w:bCs/>
                <w:sz w:val="32"/>
                <w:szCs w:val="32"/>
                <w:lang w:eastAsia="en-GB"/>
              </w:rPr>
            </w:pPr>
          </w:p>
          <w:p w14:paraId="7A11D9E4" w14:textId="77777777" w:rsidR="008D03F4" w:rsidRPr="008D03F4" w:rsidRDefault="008D03F4" w:rsidP="008D03F4">
            <w:pPr>
              <w:overflowPunct w:val="0"/>
              <w:autoSpaceDE w:val="0"/>
              <w:autoSpaceDN w:val="0"/>
              <w:adjustRightInd w:val="0"/>
              <w:textAlignment w:val="baseline"/>
              <w:rPr>
                <w:rFonts w:ascii="Arial" w:hAnsi="Arial" w:cs="Arial"/>
                <w:b/>
                <w:bCs/>
                <w:color w:val="000000" w:themeColor="text1"/>
                <w:sz w:val="32"/>
                <w:szCs w:val="32"/>
                <w:lang w:eastAsia="en-GB"/>
              </w:rPr>
            </w:pPr>
          </w:p>
        </w:tc>
      </w:tr>
    </w:tbl>
    <w:p w14:paraId="66835365" w14:textId="77777777" w:rsidR="008D03F4" w:rsidRPr="008D03F4" w:rsidRDefault="008D03F4" w:rsidP="008D03F4">
      <w:pPr>
        <w:spacing w:after="0" w:line="240" w:lineRule="auto"/>
        <w:ind w:right="237"/>
        <w:rPr>
          <w:rFonts w:ascii="Arial" w:eastAsia="Times New Roman" w:hAnsi="Arial" w:cs="Arial"/>
          <w:b/>
          <w:kern w:val="0"/>
          <w:sz w:val="36"/>
          <w:szCs w:val="20"/>
          <w:lang w:eastAsia="en-GB"/>
          <w14:ligatures w14:val="none"/>
        </w:rPr>
      </w:pPr>
    </w:p>
    <w:p w14:paraId="5723337D" w14:textId="77777777" w:rsidR="008D03F4" w:rsidRPr="008D03F4" w:rsidRDefault="008D03F4" w:rsidP="008D03F4">
      <w:pPr>
        <w:spacing w:after="0" w:line="240" w:lineRule="auto"/>
        <w:ind w:right="237"/>
        <w:rPr>
          <w:rFonts w:ascii="Arial" w:eastAsia="Times New Roman" w:hAnsi="Arial" w:cs="Arial"/>
          <w:b/>
          <w:bCs/>
          <w:kern w:val="0"/>
          <w:sz w:val="40"/>
          <w:szCs w:val="40"/>
          <w:lang w:eastAsia="en-GB"/>
          <w14:ligatures w14:val="none"/>
        </w:rPr>
      </w:pPr>
      <w:r w:rsidRPr="008D03F4">
        <w:rPr>
          <w:rFonts w:ascii="Arial" w:eastAsia="Times New Roman" w:hAnsi="Arial" w:cs="Arial"/>
          <w:b/>
          <w:bCs/>
          <w:kern w:val="0"/>
          <w:sz w:val="40"/>
          <w:szCs w:val="40"/>
          <w:lang w:eastAsia="en-GB"/>
          <w14:ligatures w14:val="none"/>
        </w:rPr>
        <w:t>FACULTY OF BUSINESS AND MANAGEMENT</w:t>
      </w:r>
    </w:p>
    <w:p w14:paraId="7C7B2E87" w14:textId="77777777" w:rsidR="008D03F4" w:rsidRPr="008D03F4" w:rsidRDefault="008D03F4" w:rsidP="008D03F4">
      <w:pPr>
        <w:spacing w:after="0" w:line="240" w:lineRule="auto"/>
        <w:ind w:right="237"/>
        <w:rPr>
          <w:rFonts w:ascii="Arial" w:eastAsia="Times New Roman" w:hAnsi="Arial" w:cs="Arial"/>
          <w:b/>
          <w:kern w:val="0"/>
          <w:sz w:val="40"/>
          <w:szCs w:val="56"/>
          <w:lang w:eastAsia="en-GB"/>
          <w14:ligatures w14:val="none"/>
        </w:rPr>
      </w:pPr>
      <w:r w:rsidRPr="008D03F4">
        <w:rPr>
          <w:rFonts w:ascii="Arial" w:eastAsia="Times New Roman" w:hAnsi="Arial" w:cs="Arial"/>
          <w:b/>
          <w:kern w:val="0"/>
          <w:sz w:val="40"/>
          <w:szCs w:val="56"/>
          <w:lang w:eastAsia="en-GB"/>
          <w14:ligatures w14:val="none"/>
        </w:rPr>
        <w:t>PUBLIC SERVICE PROGRAMME</w:t>
      </w:r>
    </w:p>
    <w:p w14:paraId="1CB4F55E" w14:textId="77777777" w:rsidR="008D03F4" w:rsidRPr="008D03F4" w:rsidRDefault="008D03F4" w:rsidP="008D03F4">
      <w:pPr>
        <w:spacing w:after="0" w:line="240" w:lineRule="auto"/>
        <w:ind w:right="237"/>
        <w:rPr>
          <w:rFonts w:ascii="Arial" w:eastAsia="Times New Roman" w:hAnsi="Arial" w:cs="Arial"/>
          <w:b/>
          <w:i/>
          <w:kern w:val="0"/>
          <w:sz w:val="24"/>
          <w:szCs w:val="20"/>
          <w:lang w:eastAsia="en-GB"/>
          <w14:ligatures w14:val="none"/>
        </w:rPr>
      </w:pPr>
    </w:p>
    <w:p w14:paraId="6535E898" w14:textId="77777777" w:rsidR="008D03F4" w:rsidRPr="008D03F4" w:rsidRDefault="008D03F4" w:rsidP="008D03F4">
      <w:pPr>
        <w:spacing w:after="0" w:line="240" w:lineRule="auto"/>
        <w:ind w:right="237"/>
        <w:rPr>
          <w:rFonts w:ascii="Arial" w:eastAsia="Times New Roman" w:hAnsi="Arial" w:cs="Arial"/>
          <w:b/>
          <w:bCs/>
          <w:i/>
          <w:iCs/>
          <w:kern w:val="0"/>
          <w:sz w:val="24"/>
          <w:szCs w:val="24"/>
          <w:lang w:eastAsia="en-GB"/>
          <w14:ligatures w14:val="none"/>
        </w:rPr>
      </w:pPr>
      <w:r w:rsidRPr="008D03F4">
        <w:rPr>
          <w:rFonts w:ascii="Arial" w:eastAsia="Times New Roman" w:hAnsi="Arial" w:cs="Arial"/>
          <w:b/>
          <w:bCs/>
          <w:i/>
          <w:iCs/>
          <w:kern w:val="0"/>
          <w:sz w:val="24"/>
          <w:szCs w:val="24"/>
          <w:lang w:eastAsia="en-GB"/>
          <w14:ligatures w14:val="none"/>
        </w:rPr>
        <w:t xml:space="preserve">Module title: Policing in the Workplace 3 (DHEP) - BMPP6001D </w:t>
      </w:r>
    </w:p>
    <w:p w14:paraId="76B26EEC" w14:textId="77777777" w:rsid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kern w:val="0"/>
          <w:sz w:val="24"/>
          <w:szCs w:val="20"/>
          <w:lang w:eastAsia="en-GB"/>
          <w14:ligatures w14:val="none"/>
        </w:rPr>
      </w:pPr>
    </w:p>
    <w:p w14:paraId="39A31F31" w14:textId="0C88C9CD"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b/>
          <w:bCs/>
          <w:color w:val="000000"/>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Task 1</w:t>
      </w:r>
    </w:p>
    <w:p w14:paraId="41F0731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407B2BF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Relevant areas of the National Policing Curriculum: </w:t>
      </w:r>
    </w:p>
    <w:p w14:paraId="505285E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Vulnerability and Risk, Evidence-based policing</w:t>
      </w:r>
    </w:p>
    <w:p w14:paraId="08E90E8D"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6FDFD9D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You must choose </w:t>
      </w:r>
      <w:r w:rsidRPr="008D03F4">
        <w:rPr>
          <w:rFonts w:ascii="Arial" w:eastAsia="Times New Roman" w:hAnsi="Arial" w:cs="Arial"/>
          <w:b/>
          <w:bCs/>
          <w:color w:val="FF0000"/>
          <w:kern w:val="0"/>
          <w:sz w:val="24"/>
          <w:szCs w:val="24"/>
          <w:u w:val="single"/>
          <w:lang w:eastAsia="en-GB"/>
          <w14:ligatures w14:val="none"/>
        </w:rPr>
        <w:t>serious and complex investigation</w:t>
      </w:r>
      <w:r w:rsidRPr="008D03F4">
        <w:rPr>
          <w:rFonts w:ascii="Arial" w:eastAsia="Arial" w:hAnsi="Arial" w:cs="Arial"/>
          <w:color w:val="000000" w:themeColor="text1"/>
          <w:kern w:val="0"/>
          <w:sz w:val="24"/>
          <w:szCs w:val="24"/>
          <w:lang w:eastAsia="en-GB"/>
          <w14:ligatures w14:val="none"/>
        </w:rPr>
        <w:t xml:space="preserve"> in which you played a significant role with a victim of crime and reflect on what happened. </w:t>
      </w:r>
    </w:p>
    <w:p w14:paraId="79B4E3C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D03F4" w:rsidRPr="008D03F4" w14:paraId="5C1C8C34" w14:textId="77777777" w:rsidTr="004049E6">
        <w:tc>
          <w:tcPr>
            <w:tcW w:w="10188" w:type="dxa"/>
            <w:shd w:val="clear" w:color="auto" w:fill="auto"/>
          </w:tcPr>
          <w:p w14:paraId="2B93E918" w14:textId="77777777" w:rsidR="008D03F4" w:rsidRPr="008D03F4" w:rsidRDefault="008D03F4" w:rsidP="008D03F4">
            <w:pPr>
              <w:overflowPunct w:val="0"/>
              <w:autoSpaceDE w:val="0"/>
              <w:autoSpaceDN w:val="0"/>
              <w:adjustRightInd w:val="0"/>
              <w:spacing w:after="0" w:line="240" w:lineRule="auto"/>
              <w:ind w:right="237"/>
              <w:textAlignment w:val="baseline"/>
              <w:rPr>
                <w:rFonts w:ascii="Arial" w:eastAsia="Times New Roman" w:hAnsi="Arial" w:cs="Arial"/>
                <w:color w:val="000000"/>
                <w:kern w:val="0"/>
                <w:sz w:val="24"/>
                <w:szCs w:val="24"/>
                <w:lang w:eastAsia="en-GB"/>
                <w14:ligatures w14:val="none"/>
              </w:rPr>
            </w:pPr>
          </w:p>
          <w:p w14:paraId="64620B6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Give a brief description</w:t>
            </w:r>
            <w:r w:rsidRPr="008D03F4">
              <w:rPr>
                <w:rFonts w:ascii="Arial" w:eastAsia="Arial" w:hAnsi="Arial" w:cs="Arial"/>
                <w:color w:val="000000" w:themeColor="text1"/>
                <w:kern w:val="0"/>
                <w:sz w:val="24"/>
                <w:szCs w:val="24"/>
                <w:lang w:eastAsia="en-GB"/>
                <w14:ligatures w14:val="none"/>
              </w:rPr>
              <w:t xml:space="preserve"> of the </w:t>
            </w:r>
            <w:r w:rsidRPr="008D03F4">
              <w:rPr>
                <w:rFonts w:ascii="Arial" w:eastAsia="Arial" w:hAnsi="Arial" w:cs="Arial"/>
                <w:color w:val="000000" w:themeColor="text1"/>
                <w:kern w:val="0"/>
                <w:sz w:val="24"/>
                <w:szCs w:val="24"/>
                <w:highlight w:val="yellow"/>
                <w:lang w:eastAsia="en-GB"/>
                <w14:ligatures w14:val="none"/>
              </w:rPr>
              <w:t>investigation</w:t>
            </w:r>
            <w:r w:rsidRPr="008D03F4">
              <w:rPr>
                <w:rFonts w:ascii="Arial" w:eastAsia="Arial" w:hAnsi="Arial" w:cs="Arial"/>
                <w:color w:val="000000" w:themeColor="text1"/>
                <w:kern w:val="0"/>
                <w:sz w:val="24"/>
                <w:szCs w:val="24"/>
                <w:lang w:eastAsia="en-GB"/>
                <w14:ligatures w14:val="none"/>
              </w:rPr>
              <w:t xml:space="preserve"> including social and legislative contexts and any relevant cultural, ethnicity and language issues. </w:t>
            </w:r>
          </w:p>
          <w:p w14:paraId="205CEF93"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p>
          <w:p w14:paraId="285F9CDE"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val="en-US" w:eastAsia="en-GB"/>
                <w14:ligatures w14:val="none"/>
              </w:rPr>
              <w:t xml:space="preserve">Critically evaluate </w:t>
            </w:r>
            <w:r w:rsidRPr="008D03F4">
              <w:rPr>
                <w:rFonts w:ascii="Arial" w:eastAsia="Arial" w:hAnsi="Arial" w:cs="Arial"/>
                <w:color w:val="000000" w:themeColor="text1"/>
                <w:kern w:val="0"/>
                <w:sz w:val="24"/>
                <w:szCs w:val="24"/>
                <w:lang w:val="en-US" w:eastAsia="en-GB"/>
                <w14:ligatures w14:val="none"/>
              </w:rPr>
              <w:t xml:space="preserve">the appropriateness of different approaches (by professionals and the police) in supporting or managing vulnerable people or people at risk of harm during the </w:t>
            </w:r>
            <w:r w:rsidRPr="008D03F4">
              <w:rPr>
                <w:rFonts w:ascii="Arial" w:eastAsia="Arial" w:hAnsi="Arial" w:cs="Arial"/>
                <w:color w:val="000000" w:themeColor="text1"/>
                <w:kern w:val="0"/>
                <w:sz w:val="24"/>
                <w:szCs w:val="24"/>
                <w:highlight w:val="yellow"/>
                <w:lang w:val="en-US" w:eastAsia="en-GB"/>
                <w14:ligatures w14:val="none"/>
              </w:rPr>
              <w:t>investigative process</w:t>
            </w:r>
          </w:p>
          <w:p w14:paraId="7711A88B"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p>
          <w:p w14:paraId="7B7BC9AA" w14:textId="77777777" w:rsidR="008D03F4" w:rsidRPr="008D03F4" w:rsidRDefault="008D03F4" w:rsidP="008D03F4">
            <w:pPr>
              <w:overflowPunct w:val="0"/>
              <w:autoSpaceDE w:val="0"/>
              <w:autoSpaceDN w:val="0"/>
              <w:adjustRightInd w:val="0"/>
              <w:spacing w:after="0" w:line="240" w:lineRule="auto"/>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val="en-US" w:eastAsia="en-GB"/>
                <w14:ligatures w14:val="none"/>
              </w:rPr>
              <w:t>Explore</w:t>
            </w:r>
            <w:r w:rsidRPr="008D03F4">
              <w:rPr>
                <w:rFonts w:ascii="Arial" w:eastAsia="Arial" w:hAnsi="Arial" w:cs="Arial"/>
                <w:b/>
                <w:bCs/>
                <w:color w:val="000000" w:themeColor="text1"/>
                <w:kern w:val="0"/>
                <w:sz w:val="24"/>
                <w:szCs w:val="24"/>
                <w:lang w:eastAsia="en-GB"/>
                <w14:ligatures w14:val="none"/>
              </w:rPr>
              <w:t xml:space="preserve"> </w:t>
            </w:r>
            <w:r w:rsidRPr="008D03F4">
              <w:rPr>
                <w:rFonts w:ascii="Arial" w:eastAsia="Arial" w:hAnsi="Arial" w:cs="Arial"/>
                <w:color w:val="000000" w:themeColor="text1"/>
                <w:kern w:val="0"/>
                <w:sz w:val="24"/>
                <w:szCs w:val="24"/>
                <w:lang w:eastAsia="en-GB"/>
                <w14:ligatures w14:val="none"/>
              </w:rPr>
              <w:t xml:space="preserve">what works in relation to tackling repeat victimisation and repeat offending during this </w:t>
            </w:r>
            <w:r w:rsidRPr="008D03F4">
              <w:rPr>
                <w:rFonts w:ascii="Arial" w:eastAsia="Arial" w:hAnsi="Arial" w:cs="Arial"/>
                <w:color w:val="000000" w:themeColor="text1"/>
                <w:kern w:val="0"/>
                <w:sz w:val="24"/>
                <w:szCs w:val="24"/>
                <w:highlight w:val="yellow"/>
                <w:lang w:eastAsia="en-GB"/>
                <w14:ligatures w14:val="none"/>
              </w:rPr>
              <w:t>investigation</w:t>
            </w:r>
            <w:r w:rsidRPr="008D03F4">
              <w:rPr>
                <w:rFonts w:ascii="Arial" w:eastAsia="Arial" w:hAnsi="Arial" w:cs="Arial"/>
                <w:color w:val="000000" w:themeColor="text1"/>
                <w:kern w:val="0"/>
                <w:sz w:val="24"/>
                <w:szCs w:val="24"/>
                <w:lang w:eastAsia="en-GB"/>
                <w14:ligatures w14:val="none"/>
              </w:rPr>
              <w:t xml:space="preserve">. Consider the use of evidence-based policing. </w:t>
            </w:r>
          </w:p>
          <w:p w14:paraId="56F4719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AB7CC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2000 words </w:t>
            </w:r>
            <w:r w:rsidRPr="008D03F4">
              <w:rPr>
                <w:rFonts w:ascii="Arial" w:eastAsia="Arial" w:hAnsi="Arial" w:cs="Arial"/>
                <w:i/>
                <w:iCs/>
                <w:color w:val="000000" w:themeColor="text1"/>
                <w:kern w:val="0"/>
                <w:sz w:val="24"/>
                <w:szCs w:val="24"/>
                <w:lang w:eastAsia="en-GB"/>
                <w14:ligatures w14:val="none"/>
              </w:rPr>
              <w:t>(+/- 10%: include your actual word count at the end of each section)</w:t>
            </w:r>
          </w:p>
          <w:p w14:paraId="781F195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tc>
      </w:tr>
    </w:tbl>
    <w:p w14:paraId="4E3B80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p w14:paraId="5BAF58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0E85F9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r w:rsidRPr="008D03F4">
        <w:rPr>
          <w:rFonts w:ascii="Arial" w:eastAsia="Arial" w:hAnsi="Arial" w:cs="Arial"/>
          <w:b/>
          <w:bCs/>
          <w:color w:val="000000" w:themeColor="text1"/>
          <w:kern w:val="0"/>
          <w:sz w:val="24"/>
          <w:szCs w:val="24"/>
          <w:lang w:eastAsia="en-GB"/>
          <w14:ligatures w14:val="none"/>
        </w:rPr>
        <w:t>ANSWER:</w:t>
      </w:r>
    </w:p>
    <w:p w14:paraId="1DA755A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b/>
          <w:bCs/>
          <w:color w:val="000000" w:themeColor="text1"/>
          <w:kern w:val="0"/>
          <w:sz w:val="24"/>
          <w:szCs w:val="24"/>
          <w:lang w:eastAsia="en-GB"/>
          <w14:ligatures w14:val="none"/>
        </w:rPr>
      </w:pPr>
    </w:p>
    <w:p w14:paraId="378CE96A"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7FB009D9" w14:textId="5DAB41D4"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In the UK, investigations into vulnerable individuals or those at risk of harm occur within a complex social and legislative framework. The investigation is influenced by cultural, ethnic, and linguistic diversity, which necessitates sensitivity and cultural competence from professionals. Issues such as language barriers, cultural taboos, and distrust of authorities can impact the investigative process, requiring tailored approaches.</w:t>
      </w:r>
    </w:p>
    <w:p w14:paraId="1F76BAE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8ECE72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Professionals and police utilise various strategies to support and manage vulnerable individuals during investigations. These may include employing specially trained officers, establishing multi-agency partnerships, and utilising victim support services. The appropriateness of these approaches depends on factors such as the nature of the vulnerability, the level of risk, and the individual's willingness to engage with support services.</w:t>
      </w:r>
    </w:p>
    <w:p w14:paraId="236C24E6"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06D056B6"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Evidence-based policing plays a crucial role in tackling repeat victimisation and offending. This involves using research and data to inform decision-making and implement effective strategies. For instance, targeted interventions, such as offender-focused approaches or community-based programs, have shown promise in reducing repeat victimisation and offending rates.</w:t>
      </w:r>
    </w:p>
    <w:p w14:paraId="019B3EB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3BC1A79B"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Considering the above,  I will be discussing an incident I was involved in, whereby the victim was subjected to a knife point robbery, threats, and risk of physical harm. </w:t>
      </w:r>
    </w:p>
    <w:p w14:paraId="0F47B6D6"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Robbery is defined in Section 8 of the Theft Act 1968 by –</w:t>
      </w:r>
    </w:p>
    <w:p w14:paraId="4D3DE04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59D2920F"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(1)</w:t>
      </w:r>
      <w:r w:rsidRPr="008201D4">
        <w:rPr>
          <w:rFonts w:ascii="Arial" w:eastAsia="Times New Roman" w:hAnsi="Arial" w:cs="Arial"/>
          <w:color w:val="000000"/>
          <w:kern w:val="0"/>
          <w:sz w:val="24"/>
          <w:szCs w:val="24"/>
          <w:lang w:eastAsia="en-GB"/>
          <w14:ligatures w14:val="none"/>
        </w:rPr>
        <w:tab/>
        <w:t>A person is guilty of robbery if he steals, and immediately before or at the time of doing so, and to do so, he uses force on any person or puts or seeks to put any person in fear of being then and there subjected to force.</w:t>
      </w:r>
    </w:p>
    <w:p w14:paraId="7E3A2A1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186E33C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(2)</w:t>
      </w:r>
      <w:r w:rsidRPr="008201D4">
        <w:rPr>
          <w:rFonts w:ascii="Arial" w:eastAsia="Times New Roman" w:hAnsi="Arial" w:cs="Arial"/>
          <w:color w:val="000000"/>
          <w:kern w:val="0"/>
          <w:sz w:val="24"/>
          <w:szCs w:val="24"/>
          <w:lang w:eastAsia="en-GB"/>
          <w14:ligatures w14:val="none"/>
        </w:rPr>
        <w:tab/>
        <w:t>A person guilty of robbery, or of an assault with intent to rob, shall on conviction on indictment be liable to imprisonment for life.</w:t>
      </w:r>
    </w:p>
    <w:p w14:paraId="56C58819"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73031E5D"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In terms of evaluating how well I conducted the investigation. I'll make use of The Gibbs Reflective Cycle, a structured model that's widely utilised in a variety of fields to support ongoing learning and reflective practice. Elements of the model include the following - </w:t>
      </w:r>
    </w:p>
    <w:p w14:paraId="59B0DC9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710B1146"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Description: The specific incident.</w:t>
      </w:r>
    </w:p>
    <w:p w14:paraId="50A29FC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09D80D6E"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Feelings: Officers reflect on their emotional responses to the incident. </w:t>
      </w:r>
    </w:p>
    <w:p w14:paraId="4087E5A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3882872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Evaluation: I will evaluate the effectiveness of my actions and decisions during the incident. </w:t>
      </w:r>
    </w:p>
    <w:p w14:paraId="02876ED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0B4AE4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Analysis: Officers analyse the factors that influenced their actions and decisions. </w:t>
      </w:r>
    </w:p>
    <w:p w14:paraId="4E8F017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5F38D028"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Conclusion: identifying key lessons learned from the incident. </w:t>
      </w:r>
    </w:p>
    <w:p w14:paraId="21966DC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2FDCCE0"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Action Plan: Officers develop an action plan outlining specific steps they will take to enhance their professional practice based on their reflections. </w:t>
      </w:r>
    </w:p>
    <w:p w14:paraId="7DA96A9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676B0C0D"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The incident took place at a local convenience store. The victim was a student at the local university. Whilst working at the local convenience store, a male has pulled a knife out; demanding money from the Victim whilst threatening to cause her harm. Throughout this essay I will also discuss how I interacted with the victim her employer and how I had to ensure the victim was safe and the needs of the victim were met throughout the investigation. I was involved in identifying and detaining the suspect. As part of my strategy in this investigation I will look to use a comprehensive approach that integrates cultural sensitivity, multi-agency collboration, and evidence-based practices which I feel are essential in effectively supporting vulnerable individuals and addressing repeat victimisation and offending in the UK.</w:t>
      </w:r>
    </w:p>
    <w:p w14:paraId="10BA4FD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56952A3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I'll be thinking back on the strategy I used to talk to the victim at first and how I interacted with the victim during the investigating process, keeping in mind the victims’ vulnerabilities and any other significant elements that may have contributed to the communication that I had with the victim. In addition, I'll be examining the measures implemented to safeguard the victim, the steps pursued in pursuing the offender, and the efforts made to prevent future offenses.</w:t>
      </w:r>
    </w:p>
    <w:p w14:paraId="338174A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0864B0A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Officers who attended the scene of the crime had to obtain a victim account. The victim who was a female, was of Asian origin therefore officers have discussed with the her if she preferred to give an account in a language, she was more comfortable in.  Since all victims have the right to report a crime in a language they understand, </w:t>
      </w:r>
      <w:r w:rsidRPr="008201D4">
        <w:rPr>
          <w:rFonts w:ascii="Arial" w:eastAsia="Times New Roman" w:hAnsi="Arial" w:cs="Arial"/>
          <w:color w:val="000000"/>
          <w:kern w:val="0"/>
          <w:sz w:val="24"/>
          <w:szCs w:val="24"/>
          <w:lang w:eastAsia="en-GB"/>
          <w14:ligatures w14:val="none"/>
        </w:rPr>
        <w:lastRenderedPageBreak/>
        <w:t xml:space="preserve">as stated by the Victims Code of Practice (Ministry of Justice 2020), I initially believed that this might have been a problem because I do not speak any language other than English, and I would not be able to communicate with the victim in this way. However, the victims preferred means of contact was in English. </w:t>
      </w:r>
    </w:p>
    <w:p w14:paraId="19DA319E"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62AE354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As the victim was a young female and the subject of a very serious crime, I felt it was important that the officers build rapport with the girl to ensure she felt supported and comfortable in providing the information we were seeking. It has been demonstrated that establishing a rapport with victims and witnesses is crucial to increasing the precision and volume of information obtained from them. The way in which practitioners connect with witnesses to build a relationship or bond that makes them feel at ease in your presence is referred to as rapport. Although this might sound a little idealistic in some response situations, practitioners believed that rapport is a crucial component of the first account that should be established right away and kept up throughout the interaction. As the current guidelines on achieving best evidence emphasize, once the initial account taking has started, this step cannot be marked as finished.</w:t>
      </w:r>
    </w:p>
    <w:p w14:paraId="503F4F3E"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7CFE4ED"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The female who appeared to be very calm at the scene I still classed as vulnerable. Within the police, the College of Policing (2021) defines a person as vulnerable if “because of their situation or circumstances, they are unable to take care of or protect themselves or </w:t>
      </w:r>
    </w:p>
    <w:p w14:paraId="6D8E250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others from harm or exploitation”. This statement is quite open for interpretation, and it allows officers to make their own assessment as to whether a person is vulnerable or not. Due to the age of the female victim, her circumstances, and the seriousness of the crime I classed the female as vulnerable. First responders can sometimes face difficulties identifying vulnerability during an encounter due to the wide range of risk factors and the complex relationship between risk factors (Robinson and others, 2016).</w:t>
      </w:r>
    </w:p>
    <w:p w14:paraId="01302C1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3018CD4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42879228"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South Wales Police have really pushed officers to consider the victim focus approach as throughout my time in training we covered this topic several times and throughout my time away from the training department we receive regular emails and updates giving us access to numerous documents.</w:t>
      </w:r>
    </w:p>
    <w:p w14:paraId="65FECF73"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7B6958DF"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This is an area I feel comfortable dealing with as my previous role as an Effective Practice Lead, which involved dealing with vulnerable people within the criminal justice system, provided me with a good base knowledge of the support services available to individuals. </w:t>
      </w:r>
    </w:p>
    <w:p w14:paraId="13836B02"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Keay &amp; Kirby (2018) have also found that officers felt that there should be a clearer</w:t>
      </w:r>
    </w:p>
    <w:p w14:paraId="33ACF94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concept of who is responsible for responding to vulnerability and should work closely with other agencies. This was second nature for myself, I felt as the Officer in Charge of this case I was comfortable working with the supporting agencies that I had put in place for my victim. With the victim being a university student, I also worked closely with security and tutors in the university regarding the victims’ course and how the incident would affect her attendance and her psychological wellbeing.</w:t>
      </w:r>
    </w:p>
    <w:p w14:paraId="0DE3F28F"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7CDD22A6"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My main concern with an incident like this regarding victim was her delayed emotional response to the trauma. Delayed trauma responses can also affect adults, </w:t>
      </w:r>
      <w:r w:rsidRPr="008201D4">
        <w:rPr>
          <w:rFonts w:ascii="Arial" w:eastAsia="Times New Roman" w:hAnsi="Arial" w:cs="Arial"/>
          <w:color w:val="000000"/>
          <w:kern w:val="0"/>
          <w:sz w:val="24"/>
          <w:szCs w:val="24"/>
          <w:lang w:eastAsia="en-GB"/>
          <w14:ligatures w14:val="none"/>
        </w:rPr>
        <w:lastRenderedPageBreak/>
        <w:t xml:space="preserve">though the effects may be different. In adults, it may manifest as difficulty managing emotions, withdrawal, and avoidance, feeling disconnected from others, increased anxiety and depression, irritability, flashbacks, or nightmares related to the trauma, and physical symptoms such as chronic pain or fatigue. The effects of a delayed emotional response can vary from person to person but may include difficulty managing emotions, withdrawal, and avoidance, feeling disconnected from others, increased anxiety, and depression. It also can cause a problem in forming relationships or maintaining existing relationships. </w:t>
      </w:r>
    </w:p>
    <w:p w14:paraId="4A873E2E"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Delayed emotional responses can also have long-term effects on mental health and overall well-being.</w:t>
      </w:r>
    </w:p>
    <w:p w14:paraId="41693890"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7CABBB9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Throughout the investigation, I had to keep the victim up to date on the outstanding suspect. I felt by the victim remaining calm, she gave a very detailed description identifying some very distinct features in relation to the suspect. </w:t>
      </w:r>
    </w:p>
    <w:p w14:paraId="63484A13"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A report was circulated regarding the suspect, and it was by chance that an officer called in, identifying the suspect as having been dealt with by police earlier in the day. Due to the earlier incident, police had obtained all the relevant details which enabled us to obtain a name, address, and a Niche footprint of the individual. </w:t>
      </w:r>
    </w:p>
    <w:p w14:paraId="674E99F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4D7645A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4D5A9066"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The investigation itself was a success. Due to the nature of the description given to us by our victim, we as investigators were able to identify the suspect and gather the pieces of evidence, we required to identify the individual that was in the convenience store on the day holding a knife to our victim. </w:t>
      </w:r>
    </w:p>
    <w:p w14:paraId="26628182"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C0F13A5" w14:textId="042F9C88"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My concern was justified later in the investigation, the victim was so calm throughout the questioning period and initial statement taking. My concern would be the aftereffects. </w:t>
      </w:r>
    </w:p>
    <w:p w14:paraId="59717C5A"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71BC799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Many people will go through terrible experiences at some point in their lives. Royal College of Psychiatrists (2021) states England, around one-third of adults say they have gone through at least one traumatic experience. But not everyone who goes through a horrific incident will end up with PTSD. Post-traumatic stress symptoms are a widespread response to criminal victimization. For most individuals, there is a natural recovery period that is mostly resolved within a few months post-offense (Horowitz 1976). Nevertheless, the pathological mani festation of PTSS as a psychiatric condition, PTSD, appears in an estimated 30 % of crime victims (Kilpatrick et al. 1987). However, even those who never qualify for the PTSD diagnosis can experience quality of life disruption because of the symptoms experienced (Kubzansky et al. 2007; Gillock et al. 2005).</w:t>
      </w:r>
    </w:p>
    <w:p w14:paraId="66924B9B"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156B75EB"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REPEAT VICTIMIZATION</w:t>
      </w:r>
    </w:p>
    <w:p w14:paraId="56976E78"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0A75D0FB"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Research indicates that focusing on nearby neighbours and recurrent burglary victims can lower the rate of both victimisation and total crime (Grove and others, 2012; Johnson, 2013). The best strategies for decreasing recurrent victimisation were usually situational crime prevention measures that were properly designed and executed.</w:t>
      </w:r>
    </w:p>
    <w:p w14:paraId="64DEE96D"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It may also be beneficial to concentrate on individuals who are most at risk from and negatively impacted by antisocial behaviour (Innes and Weston, 2010). By </w:t>
      </w:r>
      <w:r w:rsidRPr="008201D4">
        <w:rPr>
          <w:rFonts w:ascii="Arial" w:eastAsia="Times New Roman" w:hAnsi="Arial" w:cs="Arial"/>
          <w:color w:val="000000"/>
          <w:kern w:val="0"/>
          <w:sz w:val="24"/>
          <w:szCs w:val="24"/>
          <w:lang w:eastAsia="en-GB"/>
          <w14:ligatures w14:val="none"/>
        </w:rPr>
        <w:lastRenderedPageBreak/>
        <w:t>addressing the most difficult issues first, the police may inspire the community to play a bigger part in watching out for one another.</w:t>
      </w:r>
    </w:p>
    <w:p w14:paraId="56ADD5EF"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65F51BC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Putting an emphasis on recurrent victimization offers a way to distribute resources for crime prevention effectively and knowledgeably. The common goal of these programs is to lessen the likelihood that for example recently burglarized homes—or those located close to recently burglarized homes—will become targets of new burglaries soon.</w:t>
      </w:r>
    </w:p>
    <w:p w14:paraId="07374EA1"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6FD025D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The following programs have been implemented as a part of a repeat victimization strategy to lower home invasions:</w:t>
      </w:r>
    </w:p>
    <w:p w14:paraId="1F48A18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40691AE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w:t>
      </w:r>
      <w:r w:rsidRPr="008201D4">
        <w:rPr>
          <w:rFonts w:ascii="Arial" w:eastAsia="Times New Roman" w:hAnsi="Arial" w:cs="Arial"/>
          <w:color w:val="000000"/>
          <w:kern w:val="0"/>
          <w:sz w:val="24"/>
          <w:szCs w:val="24"/>
          <w:lang w:eastAsia="en-GB"/>
          <w14:ligatures w14:val="none"/>
        </w:rPr>
        <w:tab/>
        <w:t>Neighbourhood Watch</w:t>
      </w:r>
    </w:p>
    <w:p w14:paraId="1B39AA2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w:t>
      </w:r>
      <w:r w:rsidRPr="008201D4">
        <w:rPr>
          <w:rFonts w:ascii="Arial" w:eastAsia="Times New Roman" w:hAnsi="Arial" w:cs="Arial"/>
          <w:color w:val="000000"/>
          <w:kern w:val="0"/>
          <w:sz w:val="24"/>
          <w:szCs w:val="24"/>
          <w:lang w:eastAsia="en-GB"/>
          <w14:ligatures w14:val="none"/>
        </w:rPr>
        <w:tab/>
        <w:t>provision of crime prevention advice</w:t>
      </w:r>
    </w:p>
    <w:p w14:paraId="0E4116F3"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w:t>
      </w:r>
      <w:r w:rsidRPr="008201D4">
        <w:rPr>
          <w:rFonts w:ascii="Arial" w:eastAsia="Times New Roman" w:hAnsi="Arial" w:cs="Arial"/>
          <w:color w:val="000000"/>
          <w:kern w:val="0"/>
          <w:sz w:val="24"/>
          <w:szCs w:val="24"/>
          <w:lang w:eastAsia="en-GB"/>
          <w14:ligatures w14:val="none"/>
        </w:rPr>
        <w:tab/>
        <w:t>property marking</w:t>
      </w:r>
    </w:p>
    <w:p w14:paraId="721A230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w:t>
      </w:r>
      <w:r w:rsidRPr="008201D4">
        <w:rPr>
          <w:rFonts w:ascii="Arial" w:eastAsia="Times New Roman" w:hAnsi="Arial" w:cs="Arial"/>
          <w:color w:val="000000"/>
          <w:kern w:val="0"/>
          <w:sz w:val="24"/>
          <w:szCs w:val="24"/>
          <w:lang w:eastAsia="en-GB"/>
          <w14:ligatures w14:val="none"/>
        </w:rPr>
        <w:tab/>
        <w:t>target hardening (increasing the security of a property)</w:t>
      </w:r>
    </w:p>
    <w:p w14:paraId="6FBE603D" w14:textId="13DEE68F"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w:t>
      </w:r>
      <w:r w:rsidRPr="008201D4">
        <w:rPr>
          <w:rFonts w:ascii="Arial" w:eastAsia="Times New Roman" w:hAnsi="Arial" w:cs="Arial"/>
          <w:color w:val="000000"/>
          <w:kern w:val="0"/>
          <w:sz w:val="24"/>
          <w:szCs w:val="24"/>
          <w:lang w:eastAsia="en-GB"/>
          <w14:ligatures w14:val="none"/>
        </w:rPr>
        <w:tab/>
        <w:t xml:space="preserve">cocoon watch (provision of crime prevention advice, support and guidance to </w:t>
      </w:r>
      <w:r w:rsidR="00096074">
        <w:rPr>
          <w:rFonts w:ascii="Arial" w:eastAsia="Times New Roman" w:hAnsi="Arial" w:cs="Arial"/>
          <w:color w:val="000000"/>
          <w:kern w:val="0"/>
          <w:sz w:val="24"/>
          <w:szCs w:val="24"/>
          <w:lang w:eastAsia="en-GB"/>
          <w14:ligatures w14:val="none"/>
        </w:rPr>
        <w:t xml:space="preserve">     </w:t>
      </w:r>
      <w:r w:rsidRPr="008201D4">
        <w:rPr>
          <w:rFonts w:ascii="Arial" w:eastAsia="Times New Roman" w:hAnsi="Arial" w:cs="Arial"/>
          <w:color w:val="000000"/>
          <w:kern w:val="0"/>
          <w:sz w:val="24"/>
          <w:szCs w:val="24"/>
          <w:lang w:eastAsia="en-GB"/>
          <w14:ligatures w14:val="none"/>
        </w:rPr>
        <w:t>neighbours and surrounding addresses of burgled properties)</w:t>
      </w:r>
    </w:p>
    <w:p w14:paraId="757EF3E0"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25ED1FC"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The analysis of the programmes listed above also found that the best ways to lower recurrent home burglaries for example were to implement situational preventative strategies that were specifically targeted, such as neighbourhood watch programmes and target hardening. As the degree of intervention implementation rose, so did the efficacy of these crime prevention methods.</w:t>
      </w:r>
    </w:p>
    <w:p w14:paraId="2AAA82E5"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6A6C5691"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Conclusion</w:t>
      </w:r>
    </w:p>
    <w:p w14:paraId="5941EE89"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5168F342"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In Conclusion, I felt due to the training and knowledge from my previous role held me in good stead to deal with the vulnerability of victims. I was aware of the referral pathways that would aid in the support of the victim, and I used this to good effect. However, the policing side was more difficult as disclosure and the timings of the referrals had to be correct in line with force policy. The timings were more difficult as the longer the investigation went on, I did not want to lose the confidence of the victim in myself by the fact I did not want her top to become deflated in her wellbeing because of the length of time the result would take. </w:t>
      </w:r>
    </w:p>
    <w:p w14:paraId="4248FD9F"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Fortunately, due to the nature of the incident and overwhelming evidence the individual pleaded ‘Guilty’ and was charged with a lengthy prison sentence. Through knowledge of case working from the previous role, I felt regular engagement helped keep the victim-focused and up to date with the investigation which in effect made her accepting support far easier.</w:t>
      </w:r>
    </w:p>
    <w:p w14:paraId="0536A404"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Without the recognition by officers to engage with the victim to provide relevant support to the victim initially formed the foundation of trust and participation by the victim in the investigation proved very effective as the victim cooperated throughout with little obstruction. </w:t>
      </w:r>
    </w:p>
    <w:p w14:paraId="1C3EEC78"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35028838"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Action plan</w:t>
      </w:r>
    </w:p>
    <w:p w14:paraId="3D3090E7" w14:textId="77777777" w:rsidR="008201D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p>
    <w:p w14:paraId="216B4B4E" w14:textId="0B33CF7A" w:rsidR="008D03F4" w:rsidRPr="008201D4" w:rsidRDefault="008201D4" w:rsidP="008201D4">
      <w:pPr>
        <w:spacing w:after="0" w:line="240" w:lineRule="auto"/>
        <w:rPr>
          <w:rFonts w:ascii="Arial" w:eastAsia="Times New Roman" w:hAnsi="Arial" w:cs="Arial"/>
          <w:color w:val="000000"/>
          <w:kern w:val="0"/>
          <w:sz w:val="24"/>
          <w:szCs w:val="24"/>
          <w:lang w:eastAsia="en-GB"/>
          <w14:ligatures w14:val="none"/>
        </w:rPr>
      </w:pPr>
      <w:r w:rsidRPr="008201D4">
        <w:rPr>
          <w:rFonts w:ascii="Arial" w:eastAsia="Times New Roman" w:hAnsi="Arial" w:cs="Arial"/>
          <w:color w:val="000000"/>
          <w:kern w:val="0"/>
          <w:sz w:val="24"/>
          <w:szCs w:val="24"/>
          <w:lang w:eastAsia="en-GB"/>
          <w14:ligatures w14:val="none"/>
        </w:rPr>
        <w:t xml:space="preserve">Moving forward in my policing career, I will certainly be upskilling myself on support services as I feel when at a scene with a victim who wants to engage, the knowledge of surrounding services can play a huge part in gaining valuable information, trust </w:t>
      </w:r>
      <w:r w:rsidRPr="008201D4">
        <w:rPr>
          <w:rFonts w:ascii="Arial" w:eastAsia="Times New Roman" w:hAnsi="Arial" w:cs="Arial"/>
          <w:color w:val="000000"/>
          <w:kern w:val="0"/>
          <w:sz w:val="24"/>
          <w:szCs w:val="24"/>
          <w:lang w:eastAsia="en-GB"/>
          <w14:ligatures w14:val="none"/>
        </w:rPr>
        <w:lastRenderedPageBreak/>
        <w:t>and a good working partnership with both victims and witnesses. I was pleased with the investigation as the individual did receive a considerable sentence for his crime.</w:t>
      </w:r>
    </w:p>
    <w:p w14:paraId="2C34ABE1"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BB2A795"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FD3FEF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2E8D259"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48DA75E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FE9E30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4AB761A7"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82A22E6"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389CC97"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87A7A38"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DAFAD7A"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079F1A2F"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7DBC3019"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378E23AC"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2FB493C"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5D357523" w14:textId="77777777" w:rsidR="008D03F4" w:rsidRPr="008D03F4" w:rsidRDefault="008D03F4" w:rsidP="008D03F4">
      <w:pPr>
        <w:spacing w:after="0" w:line="240" w:lineRule="auto"/>
        <w:rPr>
          <w:rFonts w:ascii="Arial" w:eastAsia="Times New Roman" w:hAnsi="Arial" w:cs="Arial"/>
          <w:b/>
          <w:bCs/>
          <w:color w:val="000000"/>
          <w:kern w:val="0"/>
          <w:sz w:val="24"/>
          <w:szCs w:val="24"/>
          <w:lang w:eastAsia="en-GB"/>
          <w14:ligatures w14:val="none"/>
        </w:rPr>
      </w:pPr>
    </w:p>
    <w:p w14:paraId="66DBA098"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12ACE21B" w14:textId="77777777"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kern w:val="0"/>
          <w:sz w:val="24"/>
          <w:szCs w:val="24"/>
          <w:lang w:eastAsia="en-GB"/>
          <w14:ligatures w14:val="none"/>
        </w:rPr>
      </w:pPr>
    </w:p>
    <w:p w14:paraId="0D6AD517"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67D9E6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2C33E25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5D7DF6A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446CF5A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4"/>
          <w:szCs w:val="24"/>
          <w:lang w:eastAsia="en-GB"/>
          <w14:ligatures w14:val="none"/>
        </w:rPr>
      </w:pPr>
    </w:p>
    <w:p w14:paraId="3600B460"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372135BF"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7958B45A"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6FD41F57"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56B4BD91"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231634B7"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2F1CA708"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4279F032"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40E6C395"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01D8983B"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6A4A1959"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296197BD"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48A08C35"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0849DF7B"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032DCF42"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0D56E387"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551512AB"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7A2D0C8F"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35233780"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77AC9818"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307D2B2D" w14:textId="77777777" w:rsidR="00077EAB" w:rsidRDefault="00077EAB" w:rsidP="008D03F4">
      <w:pPr>
        <w:overflowPunct w:val="0"/>
        <w:autoSpaceDE w:val="0"/>
        <w:autoSpaceDN w:val="0"/>
        <w:adjustRightInd w:val="0"/>
        <w:spacing w:after="0" w:line="240" w:lineRule="auto"/>
        <w:ind w:right="237"/>
        <w:jc w:val="center"/>
        <w:textAlignment w:val="baseline"/>
        <w:rPr>
          <w:rFonts w:ascii="Arial" w:eastAsia="Arial" w:hAnsi="Arial" w:cs="Arial"/>
          <w:b/>
          <w:bCs/>
          <w:color w:val="000000" w:themeColor="text1"/>
          <w:kern w:val="0"/>
          <w:sz w:val="28"/>
          <w:szCs w:val="28"/>
          <w:u w:val="single"/>
          <w:lang w:eastAsia="en-GB"/>
          <w14:ligatures w14:val="none"/>
        </w:rPr>
      </w:pPr>
    </w:p>
    <w:p w14:paraId="231816D4" w14:textId="3353CA1B" w:rsidR="008D03F4" w:rsidRPr="008D03F4" w:rsidRDefault="008D03F4" w:rsidP="008D03F4">
      <w:pPr>
        <w:overflowPunct w:val="0"/>
        <w:autoSpaceDE w:val="0"/>
        <w:autoSpaceDN w:val="0"/>
        <w:adjustRightInd w:val="0"/>
        <w:spacing w:after="0" w:line="240" w:lineRule="auto"/>
        <w:ind w:right="237"/>
        <w:jc w:val="center"/>
        <w:textAlignment w:val="baseline"/>
        <w:rPr>
          <w:rFonts w:ascii="Arial" w:eastAsia="Arial" w:hAnsi="Arial" w:cs="Arial"/>
          <w:color w:val="000000" w:themeColor="text1"/>
          <w:kern w:val="0"/>
          <w:sz w:val="28"/>
          <w:szCs w:val="28"/>
          <w:lang w:eastAsia="en-GB"/>
          <w14:ligatures w14:val="none"/>
        </w:rPr>
      </w:pPr>
      <w:r w:rsidRPr="008D03F4">
        <w:rPr>
          <w:rFonts w:ascii="Arial" w:eastAsia="Arial" w:hAnsi="Arial" w:cs="Arial"/>
          <w:b/>
          <w:bCs/>
          <w:color w:val="000000" w:themeColor="text1"/>
          <w:kern w:val="0"/>
          <w:sz w:val="28"/>
          <w:szCs w:val="28"/>
          <w:u w:val="single"/>
          <w:lang w:eastAsia="en-GB"/>
          <w14:ligatures w14:val="none"/>
        </w:rPr>
        <w:lastRenderedPageBreak/>
        <w:t>Task 2</w:t>
      </w:r>
    </w:p>
    <w:p w14:paraId="6E3087B9" w14:textId="77777777" w:rsidR="008D03F4" w:rsidRPr="008D03F4" w:rsidRDefault="008D03F4" w:rsidP="008D03F4">
      <w:pPr>
        <w:overflowPunct w:val="0"/>
        <w:autoSpaceDE w:val="0"/>
        <w:autoSpaceDN w:val="0"/>
        <w:adjustRightInd w:val="0"/>
        <w:spacing w:after="0" w:line="240" w:lineRule="auto"/>
        <w:ind w:left="2880" w:right="237"/>
        <w:textAlignment w:val="baseline"/>
        <w:rPr>
          <w:rFonts w:ascii="Arial" w:eastAsia="Arial" w:hAnsi="Arial" w:cs="Arial"/>
          <w:color w:val="000000" w:themeColor="text1"/>
          <w:kern w:val="0"/>
          <w:sz w:val="24"/>
          <w:szCs w:val="24"/>
          <w:lang w:eastAsia="en-GB"/>
          <w14:ligatures w14:val="none"/>
        </w:rPr>
      </w:pPr>
    </w:p>
    <w:p w14:paraId="56D3B3B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r w:rsidRPr="008D03F4">
        <w:rPr>
          <w:rFonts w:ascii="Arial" w:eastAsia="Arial" w:hAnsi="Arial" w:cs="Arial"/>
          <w:b/>
          <w:bCs/>
          <w:color w:val="000000" w:themeColor="text1"/>
          <w:kern w:val="0"/>
          <w:sz w:val="24"/>
          <w:szCs w:val="24"/>
          <w:u w:val="single"/>
          <w:lang w:eastAsia="en-GB"/>
          <w14:ligatures w14:val="none"/>
        </w:rPr>
        <w:t>Relevant areas of the National Policing Curriculum:</w:t>
      </w:r>
      <w:r w:rsidRPr="008D03F4">
        <w:rPr>
          <w:rFonts w:ascii="Arial" w:eastAsia="Arial" w:hAnsi="Arial" w:cs="Arial"/>
          <w:b/>
          <w:bCs/>
          <w:color w:val="000000" w:themeColor="text1"/>
          <w:kern w:val="0"/>
          <w:sz w:val="24"/>
          <w:szCs w:val="24"/>
          <w:lang w:eastAsia="en-GB"/>
          <w14:ligatures w14:val="none"/>
        </w:rPr>
        <w:t xml:space="preserve"> </w:t>
      </w:r>
    </w:p>
    <w:p w14:paraId="12A1BEA9"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p>
    <w:p w14:paraId="621C0AB2"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p>
    <w:p w14:paraId="68D33C6F"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u w:val="single"/>
          <w:lang w:eastAsia="en-GB"/>
          <w14:ligatures w14:val="none"/>
        </w:rPr>
      </w:pPr>
      <w:r w:rsidRPr="008D03F4">
        <w:rPr>
          <w:rFonts w:ascii="Arial" w:eastAsia="Arial" w:hAnsi="Arial" w:cs="Arial"/>
          <w:b/>
          <w:bCs/>
          <w:color w:val="000000" w:themeColor="text1"/>
          <w:kern w:val="0"/>
          <w:sz w:val="24"/>
          <w:szCs w:val="24"/>
          <w:u w:val="single"/>
          <w:lang w:eastAsia="en-GB"/>
          <w14:ligatures w14:val="none"/>
        </w:rPr>
        <w:t>Conducting Investigations</w:t>
      </w:r>
    </w:p>
    <w:p w14:paraId="0AC24C2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p>
    <w:p w14:paraId="5AEF9E13"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kern w:val="0"/>
          <w:sz w:val="24"/>
          <w:szCs w:val="24"/>
          <w:lang w:eastAsia="en-GB"/>
          <w14:ligatures w14:val="none"/>
        </w:rPr>
      </w:pPr>
      <w:r w:rsidRPr="008D03F4">
        <w:rPr>
          <w:rFonts w:ascii="Arial" w:eastAsia="Arial" w:hAnsi="Arial" w:cs="Arial"/>
          <w:color w:val="000000" w:themeColor="text1"/>
          <w:kern w:val="0"/>
          <w:sz w:val="24"/>
          <w:szCs w:val="24"/>
          <w:lang w:eastAsia="en-GB"/>
          <w14:ligatures w14:val="none"/>
        </w:rPr>
        <w:t xml:space="preserve">You should choose an </w:t>
      </w:r>
      <w:r w:rsidRPr="008D03F4">
        <w:rPr>
          <w:rFonts w:ascii="Arial" w:eastAsia="Times New Roman" w:hAnsi="Arial" w:cs="Arial"/>
          <w:b/>
          <w:bCs/>
          <w:color w:val="FF0000"/>
          <w:kern w:val="0"/>
          <w:sz w:val="24"/>
          <w:szCs w:val="24"/>
          <w:u w:val="single"/>
          <w:lang w:eastAsia="en-GB"/>
          <w14:ligatures w14:val="none"/>
        </w:rPr>
        <w:t xml:space="preserve">serious and complex investigation </w:t>
      </w:r>
      <w:r w:rsidRPr="008D03F4">
        <w:rPr>
          <w:rFonts w:ascii="Arial" w:eastAsia="Arial" w:hAnsi="Arial" w:cs="Arial"/>
          <w:color w:val="000000" w:themeColor="text1"/>
          <w:kern w:val="0"/>
          <w:sz w:val="24"/>
          <w:szCs w:val="24"/>
          <w:lang w:eastAsia="en-GB"/>
          <w14:ligatures w14:val="none"/>
        </w:rPr>
        <w:t>that you have been involved in</w:t>
      </w:r>
      <w:r w:rsidRPr="008D03F4">
        <w:rPr>
          <w:rFonts w:ascii="Arial" w:eastAsia="Arial" w:hAnsi="Arial" w:cs="Arial"/>
          <w:b/>
          <w:bCs/>
          <w:color w:val="000000" w:themeColor="text1"/>
          <w:kern w:val="0"/>
          <w:sz w:val="24"/>
          <w:szCs w:val="24"/>
          <w:lang w:eastAsia="en-GB"/>
          <w14:ligatures w14:val="none"/>
        </w:rPr>
        <w:t xml:space="preserve"> that was of a complex nature, </w:t>
      </w:r>
      <w:r w:rsidRPr="008D03F4">
        <w:rPr>
          <w:rFonts w:ascii="Arial" w:eastAsia="Arial" w:hAnsi="Arial" w:cs="Arial"/>
          <w:color w:val="000000" w:themeColor="text1"/>
          <w:kern w:val="0"/>
          <w:sz w:val="24"/>
          <w:szCs w:val="24"/>
          <w:lang w:eastAsia="en-GB"/>
          <w14:ligatures w14:val="none"/>
        </w:rPr>
        <w:t>in which you played a significant role.</w:t>
      </w:r>
    </w:p>
    <w:p w14:paraId="3590240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75C40F2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p>
    <w:tbl>
      <w:tblPr>
        <w:tblStyle w:val="TableGrid"/>
        <w:tblW w:w="0" w:type="auto"/>
        <w:tblLayout w:type="fixed"/>
        <w:tblLook w:val="06A0" w:firstRow="1" w:lastRow="0" w:firstColumn="1" w:lastColumn="0" w:noHBand="1" w:noVBand="1"/>
      </w:tblPr>
      <w:tblGrid>
        <w:gridCol w:w="9015"/>
      </w:tblGrid>
      <w:tr w:rsidR="008D03F4" w:rsidRPr="008D03F4" w14:paraId="39680AD9" w14:textId="77777777" w:rsidTr="004049E6">
        <w:trPr>
          <w:trHeight w:val="3420"/>
        </w:trPr>
        <w:tc>
          <w:tcPr>
            <w:tcW w:w="9015" w:type="dxa"/>
          </w:tcPr>
          <w:p w14:paraId="7D86B58A" w14:textId="77777777" w:rsidR="008D03F4" w:rsidRPr="008D03F4" w:rsidRDefault="008D03F4" w:rsidP="008D03F4">
            <w:pPr>
              <w:overflowPunct w:val="0"/>
              <w:autoSpaceDE w:val="0"/>
              <w:autoSpaceDN w:val="0"/>
              <w:adjustRightInd w:val="0"/>
              <w:ind w:right="237"/>
              <w:jc w:val="both"/>
              <w:textAlignment w:val="baseline"/>
              <w:rPr>
                <w:rFonts w:ascii="Arial" w:hAnsi="Arial" w:cs="Arial"/>
                <w:color w:val="000000"/>
                <w:sz w:val="24"/>
                <w:szCs w:val="24"/>
                <w:lang w:eastAsia="en-GB"/>
              </w:rPr>
            </w:pPr>
          </w:p>
          <w:p w14:paraId="33EF75EE"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r w:rsidRPr="008D03F4">
              <w:rPr>
                <w:rFonts w:ascii="Arial" w:eastAsia="Arial" w:hAnsi="Arial" w:cs="Arial"/>
                <w:b/>
                <w:bCs/>
                <w:color w:val="000000" w:themeColor="text1"/>
                <w:sz w:val="24"/>
                <w:szCs w:val="24"/>
                <w:lang w:eastAsia="en-GB"/>
              </w:rPr>
              <w:t>Critically evaluate</w:t>
            </w:r>
            <w:r w:rsidRPr="008D03F4">
              <w:rPr>
                <w:rFonts w:ascii="Arial" w:eastAsia="Arial" w:hAnsi="Arial" w:cs="Arial"/>
                <w:color w:val="000000" w:themeColor="text1"/>
                <w:sz w:val="24"/>
                <w:szCs w:val="24"/>
                <w:lang w:eastAsia="en-GB"/>
              </w:rPr>
              <w:t xml:space="preserve"> the processes employed in a </w:t>
            </w:r>
            <w:r w:rsidRPr="008D03F4">
              <w:rPr>
                <w:rFonts w:ascii="Arial" w:eastAsia="Arial" w:hAnsi="Arial" w:cs="Arial"/>
                <w:color w:val="000000" w:themeColor="text1"/>
                <w:sz w:val="24"/>
                <w:szCs w:val="24"/>
                <w:highlight w:val="yellow"/>
                <w:lang w:eastAsia="en-GB"/>
              </w:rPr>
              <w:t>complex investigation</w:t>
            </w:r>
            <w:r w:rsidRPr="008D03F4">
              <w:rPr>
                <w:rFonts w:ascii="Arial" w:eastAsia="Arial" w:hAnsi="Arial" w:cs="Arial"/>
                <w:color w:val="000000" w:themeColor="text1"/>
                <w:sz w:val="24"/>
                <w:szCs w:val="24"/>
                <w:lang w:eastAsia="en-GB"/>
              </w:rPr>
              <w:t xml:space="preserve"> you have been involved in, and the fast-track actions that you have utilised.</w:t>
            </w:r>
          </w:p>
          <w:p w14:paraId="048BFC9D"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p>
          <w:p w14:paraId="0966BBA6"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p>
          <w:p w14:paraId="45399404" w14:textId="77777777" w:rsidR="008D03F4" w:rsidRPr="008D03F4" w:rsidRDefault="008D03F4" w:rsidP="008D03F4">
            <w:pPr>
              <w:overflowPunct w:val="0"/>
              <w:autoSpaceDE w:val="0"/>
              <w:autoSpaceDN w:val="0"/>
              <w:adjustRightInd w:val="0"/>
              <w:ind w:right="237"/>
              <w:jc w:val="both"/>
              <w:textAlignment w:val="baseline"/>
              <w:rPr>
                <w:rFonts w:ascii="Arial" w:eastAsia="Arial" w:hAnsi="Arial" w:cs="Arial"/>
                <w:color w:val="000000" w:themeColor="text1"/>
                <w:sz w:val="24"/>
                <w:szCs w:val="24"/>
                <w:lang w:eastAsia="en-GB"/>
              </w:rPr>
            </w:pPr>
            <w:r w:rsidRPr="008D03F4">
              <w:rPr>
                <w:rFonts w:ascii="Arial" w:eastAsia="Arial" w:hAnsi="Arial" w:cs="Arial"/>
                <w:color w:val="000000" w:themeColor="text1"/>
                <w:sz w:val="24"/>
                <w:szCs w:val="24"/>
                <w:lang w:eastAsia="en-GB"/>
              </w:rPr>
              <w:t xml:space="preserve">Evaluate the support you have provided to victims, witnesses, and offenders (where appropriate) during a </w:t>
            </w:r>
            <w:r w:rsidRPr="008D03F4">
              <w:rPr>
                <w:rFonts w:ascii="Arial" w:eastAsia="Arial" w:hAnsi="Arial" w:cs="Arial"/>
                <w:color w:val="000000" w:themeColor="text1"/>
                <w:sz w:val="24"/>
                <w:szCs w:val="24"/>
                <w:highlight w:val="yellow"/>
                <w:lang w:eastAsia="en-GB"/>
              </w:rPr>
              <w:t>complex investigation</w:t>
            </w:r>
            <w:r w:rsidRPr="008D03F4">
              <w:rPr>
                <w:rFonts w:ascii="Arial" w:eastAsia="Arial" w:hAnsi="Arial" w:cs="Arial"/>
                <w:color w:val="000000" w:themeColor="text1"/>
                <w:sz w:val="24"/>
                <w:szCs w:val="24"/>
                <w:lang w:eastAsia="en-GB"/>
              </w:rPr>
              <w:t xml:space="preserve"> and reference the management of your own personal values and attitudes in relation to this.</w:t>
            </w:r>
          </w:p>
          <w:p w14:paraId="4CF02695" w14:textId="77777777" w:rsidR="008D03F4" w:rsidRPr="008D03F4" w:rsidRDefault="008D03F4" w:rsidP="008D03F4">
            <w:pPr>
              <w:overflowPunct w:val="0"/>
              <w:autoSpaceDE w:val="0"/>
              <w:autoSpaceDN w:val="0"/>
              <w:adjustRightInd w:val="0"/>
              <w:ind w:right="237"/>
              <w:jc w:val="both"/>
              <w:textAlignment w:val="baseline"/>
              <w:rPr>
                <w:rFonts w:ascii="Arial" w:hAnsi="Arial" w:cs="Arial"/>
                <w:color w:val="000000"/>
                <w:sz w:val="24"/>
                <w:szCs w:val="24"/>
                <w:lang w:eastAsia="en-GB"/>
              </w:rPr>
            </w:pPr>
          </w:p>
          <w:p w14:paraId="340506C2" w14:textId="77777777" w:rsidR="008D03F4" w:rsidRPr="008D03F4" w:rsidRDefault="008D03F4" w:rsidP="008D03F4">
            <w:pPr>
              <w:overflowPunct w:val="0"/>
              <w:autoSpaceDE w:val="0"/>
              <w:autoSpaceDN w:val="0"/>
              <w:adjustRightInd w:val="0"/>
              <w:ind w:right="237"/>
              <w:jc w:val="both"/>
              <w:textAlignment w:val="baseline"/>
              <w:rPr>
                <w:rFonts w:ascii="Arial" w:hAnsi="Arial" w:cs="Arial"/>
                <w:i/>
                <w:iCs/>
                <w:color w:val="000000"/>
                <w:sz w:val="24"/>
                <w:szCs w:val="24"/>
                <w:lang w:eastAsia="en-GB"/>
              </w:rPr>
            </w:pPr>
            <w:r w:rsidRPr="008D03F4">
              <w:rPr>
                <w:rFonts w:ascii="Arial" w:hAnsi="Arial" w:cs="Arial"/>
                <w:color w:val="000000"/>
                <w:sz w:val="24"/>
                <w:szCs w:val="24"/>
                <w:lang w:eastAsia="en-GB"/>
              </w:rPr>
              <w:t xml:space="preserve">2000 words </w:t>
            </w:r>
            <w:r w:rsidRPr="008D03F4">
              <w:rPr>
                <w:rFonts w:ascii="Arial" w:hAnsi="Arial" w:cs="Arial"/>
                <w:i/>
                <w:iCs/>
                <w:color w:val="000000"/>
                <w:sz w:val="24"/>
                <w:szCs w:val="24"/>
                <w:lang w:eastAsia="en-GB"/>
              </w:rPr>
              <w:t>(+/- 10%: include your actual word count at the end of each section)</w:t>
            </w:r>
          </w:p>
          <w:p w14:paraId="3FE11825" w14:textId="77777777" w:rsidR="008D03F4" w:rsidRPr="008D03F4" w:rsidRDefault="008D03F4" w:rsidP="008D03F4">
            <w:pPr>
              <w:overflowPunct w:val="0"/>
              <w:autoSpaceDE w:val="0"/>
              <w:autoSpaceDN w:val="0"/>
              <w:adjustRightInd w:val="0"/>
              <w:textAlignment w:val="baseline"/>
              <w:rPr>
                <w:rFonts w:ascii="Arial" w:hAnsi="Arial" w:cs="Arial"/>
                <w:color w:val="000000" w:themeColor="text1"/>
                <w:sz w:val="28"/>
                <w:szCs w:val="28"/>
                <w:lang w:eastAsia="en-GB"/>
              </w:rPr>
            </w:pPr>
          </w:p>
        </w:tc>
      </w:tr>
    </w:tbl>
    <w:p w14:paraId="677504A4"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F3FF14E"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318FC21"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r w:rsidRPr="008D03F4">
        <w:rPr>
          <w:rFonts w:ascii="Arial" w:eastAsia="Times New Roman" w:hAnsi="Arial" w:cs="Arial"/>
          <w:b/>
          <w:bCs/>
          <w:color w:val="000000" w:themeColor="text1"/>
          <w:kern w:val="0"/>
          <w:sz w:val="28"/>
          <w:szCs w:val="28"/>
          <w:lang w:eastAsia="en-GB"/>
          <w14:ligatures w14:val="none"/>
        </w:rPr>
        <w:t xml:space="preserve">Answer: </w:t>
      </w:r>
    </w:p>
    <w:p w14:paraId="108D39B6"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40D93ECB"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u w:val="single"/>
          <w:lang w:eastAsia="en-GB"/>
          <w14:ligatures w14:val="none"/>
        </w:rPr>
      </w:pPr>
      <w:r w:rsidRPr="008201D4">
        <w:rPr>
          <w:rFonts w:ascii="Arial" w:eastAsia="Times New Roman" w:hAnsi="Arial" w:cs="Arial"/>
          <w:b/>
          <w:bCs/>
          <w:color w:val="000000" w:themeColor="text1"/>
          <w:kern w:val="0"/>
          <w:sz w:val="28"/>
          <w:szCs w:val="28"/>
          <w:u w:val="single"/>
          <w:lang w:eastAsia="en-GB"/>
          <w14:ligatures w14:val="none"/>
        </w:rPr>
        <w:t>INTRODUCTION</w:t>
      </w:r>
    </w:p>
    <w:p w14:paraId="694AD5FF"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u w:val="single"/>
          <w:lang w:eastAsia="en-GB"/>
          <w14:ligatures w14:val="none"/>
        </w:rPr>
      </w:pPr>
    </w:p>
    <w:p w14:paraId="7700992F"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I am going top look at and evaluate the processes of an investigation I was involved in and some of the fast track actions that were used. I will also evaluate the support provided to the victims, witnesses and offenders throughout the investigation. </w:t>
      </w:r>
    </w:p>
    <w:p w14:paraId="6D01A272"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Complex police investigations in the UK encompass a wide array of crimes, including but not limited to organized crime, terrorism, cybercrime, and high-profile homicides. These investigations often involve multiple agencies, intricate legal frameworks, and extensive evidentiary considerations, making them inherently challenging (Ellison &amp; Smyth, 2019)</w:t>
      </w:r>
    </w:p>
    <w:p w14:paraId="72C1F1B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In a complex investigation, there are a number of  processes that are generally  employed to manage the investigation effectively. These processes typically include:</w:t>
      </w:r>
    </w:p>
    <w:p w14:paraId="1562CE87"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0A99CAD1"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Resource Allocation: Ensuring sufficient resources, including personnel, technology, and expertise, are allocated to the investigation to handle its complexity and scale effectively.</w:t>
      </w:r>
    </w:p>
    <w:p w14:paraId="4906692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Task Management: Dividing the investigation into manageable tasks and assigning responsibilities to specific team members to ensure coordination and efficiency.</w:t>
      </w:r>
    </w:p>
    <w:p w14:paraId="15FBC91E"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Evidence Collection and Analysis: Thoroughly gathering and analysing evidence, including forensic evidence, witness statements, and digital evidence, to build a comprehensive understanding of the case.</w:t>
      </w:r>
    </w:p>
    <w:p w14:paraId="775F4B3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lastRenderedPageBreak/>
        <w:t>Multi-Agency Collaboration: Collaborating with other agencies, such as forensic experts, intelligence agencies, and legal professionals, to access specialised resources and expertise.</w:t>
      </w:r>
    </w:p>
    <w:p w14:paraId="1DD5ED47"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Public Communication: Managing public communication and media relations to provide accurate information, manage public expectations, and maintain public trust and confidence in the investigation.</w:t>
      </w:r>
    </w:p>
    <w:p w14:paraId="32FC845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One of the primary challenges in complex investigations is the coordination and collaboration among various stakeholders, including law enforcement agencies, intelligence services, forensic experts, and legal professionals (Chamberlain et al., 2018). Ensuring effective communication and information sharing while respecting legal boundaries and preserving evidentiary integrity is essential but often difficult to achieve.</w:t>
      </w:r>
    </w:p>
    <w:p w14:paraId="1C6E3615"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B1D7EBF"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color w:val="000000" w:themeColor="text1"/>
          <w:kern w:val="0"/>
          <w:sz w:val="24"/>
          <w:szCs w:val="24"/>
          <w:u w:val="single"/>
          <w:lang w:eastAsia="en-GB"/>
          <w14:ligatures w14:val="none"/>
        </w:rPr>
        <w:t>THE STUDY</w:t>
      </w:r>
    </w:p>
    <w:p w14:paraId="45944B4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51930EB"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The Process Employed in Complex UK Police Investigations and Complex police investigations often involve a range of intricate procedures, from initial crime scene management to evidence collection, analysis, and eventual prosecution. A pivotal aspect of these investigations is the gathering of evidence, which typically involves forensic techniques, witness statements, CCTV footage analysis, and digital forensics. Moreover, collaborative efforts between various law enforcement agencies, such as the police, forensic teams, and specialist units, are crucial for comprehensive investigations. </w:t>
      </w:r>
    </w:p>
    <w:p w14:paraId="12769BD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B44386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One key element in complex investigations is using advanced technology and forensic methods. For instance, DNA analysis advancements have revolutionized identifying suspects and linking them to crime scenes. Similarly, the use of digital forensics has become increasingly vital in cases involving cybercrime or digital evidence. These technological advancements have significantly enhanced the efficiency and accuracy of investigations, leading to higher conviction rates and improved outcomes. </w:t>
      </w:r>
    </w:p>
    <w:p w14:paraId="3333B575"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1C529A3"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Furthermore, the UK's legal framework, including the Police and Criminal Evidence Act (1984) and the Criminal Procedure Rules, provides a structured approach to conducting investigations while safeguarding the rights of individuals. The establishment of protocols for interviewing suspects, obtaining search warrants, and conducting searches ensures that investigations adhere to legal standards, thereby enhancing the integrity of the process.</w:t>
      </w:r>
    </w:p>
    <w:p w14:paraId="63DB2DC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A7803C8"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However, despite the progress made in investigative techniques and legal frameworks, challenges persist within the process of complex investigations. Delays in forensic analysis, resource constraints, and bureaucratic hurdles can impede the progress of investigations, potentially leading to case backlogs and compromised outcomes. Moreover, the increasing sophistication of criminal activities, such as cyber-enabled crimes and organized crime networks, poses novel challenges for law enforcement agencies, necessitating ongoing adaptation and training to keep pace with evolving threats. </w:t>
      </w:r>
    </w:p>
    <w:p w14:paraId="1935FD5B"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630419D" w14:textId="77777777" w:rsid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07FB14E7" w14:textId="77777777" w:rsid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445208D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color w:val="000000" w:themeColor="text1"/>
          <w:kern w:val="0"/>
          <w:sz w:val="24"/>
          <w:szCs w:val="24"/>
          <w:u w:val="single"/>
          <w:lang w:eastAsia="en-GB"/>
          <w14:ligatures w14:val="none"/>
        </w:rPr>
        <w:lastRenderedPageBreak/>
        <w:t>THE INVESTIGATION</w:t>
      </w:r>
    </w:p>
    <w:p w14:paraId="1A28F92B"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30EBA5C9"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color w:val="000000" w:themeColor="text1"/>
          <w:kern w:val="0"/>
          <w:sz w:val="24"/>
          <w:szCs w:val="24"/>
          <w:u w:val="single"/>
          <w:lang w:eastAsia="en-GB"/>
          <w14:ligatures w14:val="none"/>
        </w:rPr>
        <w:t xml:space="preserve">Diagram A – College of Policing (2023)  </w:t>
      </w:r>
    </w:p>
    <w:p w14:paraId="5B43EE94"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58248672"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College of Policing (2023) outlines the process of an investigation (Diagram A) and although all investigations are different there are similar stages throughout each one. </w:t>
      </w:r>
    </w:p>
    <w:p w14:paraId="0C46A5B9"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0D5069AD"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noProof/>
          <w:color w:val="000000" w:themeColor="text1"/>
          <w:kern w:val="0"/>
          <w:sz w:val="24"/>
          <w:szCs w:val="24"/>
          <w:u w:val="single"/>
          <w:lang w:eastAsia="en-GB"/>
          <w14:ligatures w14:val="none"/>
        </w:rPr>
        <w:drawing>
          <wp:inline distT="0" distB="0" distL="0" distR="0" wp14:anchorId="6A340734" wp14:editId="69053293">
            <wp:extent cx="5462270" cy="3600450"/>
            <wp:effectExtent l="0" t="0" r="5080" b="0"/>
            <wp:docPr id="735218342" name="Picture 1" descr="A diagram of a crime investig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218342" name="Picture 1" descr="A diagram of a crime investig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2270" cy="3600450"/>
                    </a:xfrm>
                    <a:prstGeom prst="rect">
                      <a:avLst/>
                    </a:prstGeom>
                    <a:noFill/>
                  </pic:spPr>
                </pic:pic>
              </a:graphicData>
            </a:graphic>
          </wp:inline>
        </w:drawing>
      </w:r>
    </w:p>
    <w:p w14:paraId="60F2BF8D"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The investigation I was involved in was section 18 with intent which is defined by ‘Whosoever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a felony, and being convicted thereof shall be liable to be kept in penal servitude for life (Offence Against the Persons Act 1861).</w:t>
      </w:r>
    </w:p>
    <w:p w14:paraId="5BAB7CC8"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This involved an individual who assaulted another individual with a Knife, causing the individual severe injuries to his chest area. The individual was conveyed to the hospital. The suspect was at large for a day until officers arrested the suspect later the next day. </w:t>
      </w:r>
    </w:p>
    <w:p w14:paraId="5CDEE87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The investigation was complex as there were numerous barriers to overcome to achieve the evidence needed to locate the suspect and identify the suspect as the person who caused the harm to the victim. There were also several external partners involved in the investigation including Ambulance, housing, and social services. </w:t>
      </w:r>
    </w:p>
    <w:p w14:paraId="6E88CE9B"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The initial call came from a witness who attended a house party when the incident took place. Due to the high level of alcohol that was consumed by the individual and the state of shock that the witness was in, a first account was initially taken. Then a further statement would be taken when the witness was in a less intoxicated state. </w:t>
      </w:r>
    </w:p>
    <w:p w14:paraId="116B050D"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51AD7733"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06C2B134"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7614CAE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16B96799" w14:textId="77777777" w:rsid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color w:val="000000" w:themeColor="text1"/>
          <w:kern w:val="0"/>
          <w:sz w:val="24"/>
          <w:szCs w:val="24"/>
          <w:u w:val="single"/>
          <w:lang w:eastAsia="en-GB"/>
          <w14:ligatures w14:val="none"/>
        </w:rPr>
        <w:t>INITIAL RESPONSE AND SCENE MANAGEMENT:</w:t>
      </w:r>
    </w:p>
    <w:p w14:paraId="686C2DC1" w14:textId="77777777" w:rsidR="00077EAB" w:rsidRPr="008201D4" w:rsidRDefault="00077EAB"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p>
    <w:p w14:paraId="61C82455"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Fast-track actions are often utilised in complex investigations to expedite certain aspects of the process. These may include:</w:t>
      </w:r>
    </w:p>
    <w:p w14:paraId="5626C338"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Emergency Response: Implementing immediate measures to address urgent threats or risks associated with the investigation, such as securing crime scenes or protecting potential victims.</w:t>
      </w:r>
    </w:p>
    <w:p w14:paraId="281C1C3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Rapid Deployment of Resources: Quickly mobilising additional resources or specialised units to respond to emerging developments or support critical aspects of the investigation.</w:t>
      </w:r>
    </w:p>
    <w:p w14:paraId="5973B197"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Priority Processing: Prioritising certain tasks or lines of inquiry based on their importance to the investigation's progress or potential impact on public safety.</w:t>
      </w:r>
    </w:p>
    <w:p w14:paraId="4670C38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The initial response to the incident sets the tone for the investigation. Police officers must secure the crime scene, preserve evidence, and provide immediate medical assistance to victims. At this scene, there was a clear victim who was bleeding from the chest area, distressed witnesses, and forensic opportunities. </w:t>
      </w:r>
    </w:p>
    <w:p w14:paraId="6F08D093"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Witnesses at the scene were also assessed and if deemed fit a statement was taken at the scene. </w:t>
      </w:r>
    </w:p>
    <w:p w14:paraId="403697C1"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It was important at this point that I knew the services available to all witnesses at the scene to provide the support required and take the statements.</w:t>
      </w:r>
    </w:p>
    <w:p w14:paraId="0968A6CD"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Upon arrival at the scene, numerous agencies would be involved in the investigation. Such as the Fire brigade, Forensics, ambulance service, and the police.  Effective multi-agency collaboration is a cornerstone of successful complex investigations. Agencies such as the National Crime Agency (NCA), regional police forces, and specialized units work together to pool resources, expertise, and intelligence (Dixon et al., 2020). This collaborative approach enhances information sharing, operational coordination, and the ability to tackle cross-border criminal activities.</w:t>
      </w:r>
    </w:p>
    <w:p w14:paraId="0ED3B83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Support Provided to Victims, Witnesses, and offenders play distinct roles within the criminal justice system, each requiring tailored support mechanisms throughout the investigation process. Victim support services, such as Victim Support UK, offer emotional support, practical assistance, and information to individuals affected by crime, helping them navigate the complexities of the criminal justice process. Moreover, initiatives like the Victim Personal Statement allow victims to express the impact of the crime on their lives, empowering them to participate in legal proceedings and assert their rights. </w:t>
      </w:r>
    </w:p>
    <w:p w14:paraId="6B4F53EC"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Similarly, witnesses are supported to facilitate their cooperation with law enforcement agencies. Witness Care Units (WCUs) in the UK assist witnesses by providing information about court procedures, arranging pre-trial visits, and offering emotional support during the trial process. These initiatives aim to alleviate the stress and anxiety often experienced by witnesses, thereby enhancing their willingness to testify and contribute to the investigation.</w:t>
      </w:r>
    </w:p>
    <w:p w14:paraId="5D53702E"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650380D5"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 </w:t>
      </w:r>
      <w:r w:rsidRPr="008201D4">
        <w:rPr>
          <w:rFonts w:ascii="Arial" w:eastAsia="Times New Roman" w:hAnsi="Arial" w:cs="Arial"/>
          <w:color w:val="000000" w:themeColor="text1"/>
          <w:kern w:val="0"/>
          <w:sz w:val="24"/>
          <w:szCs w:val="24"/>
          <w:u w:val="single"/>
          <w:lang w:eastAsia="en-GB"/>
          <w14:ligatures w14:val="none"/>
        </w:rPr>
        <w:t>CCTV OPPORTUNITIES</w:t>
      </w:r>
    </w:p>
    <w:p w14:paraId="52724957"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CCTV plays a pivotal role in aiding complex police investigations by providing crucial visual evidence, enhancing situational awareness, and facilitating the identification and apprehension of suspects. Its widespread deployment in public spaces, commercial establishments, and residential areas offers comprehensive coverage </w:t>
      </w:r>
      <w:r w:rsidRPr="008201D4">
        <w:rPr>
          <w:rFonts w:ascii="Arial" w:eastAsia="Times New Roman" w:hAnsi="Arial" w:cs="Arial"/>
          <w:color w:val="000000" w:themeColor="text1"/>
          <w:kern w:val="0"/>
          <w:sz w:val="24"/>
          <w:szCs w:val="24"/>
          <w:lang w:eastAsia="en-GB"/>
          <w14:ligatures w14:val="none"/>
        </w:rPr>
        <w:lastRenderedPageBreak/>
        <w:t>that can capture various stages of criminal activities, including premeditation, commission, and escape (Cerezo et al., 2019).</w:t>
      </w:r>
    </w:p>
    <w:p w14:paraId="05745FE8"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Moreover, CCTV footage serves as a valuable investigative tool for corroborating witness testimonies, establishing timelines, and reconstructing crime scenes. In cases of serious offenses such as grievous bodily harm (GBH), homicide, or terrorism, where the stakes are high and evidentiary requirements stringent, CCTV evidence can be instrumental in securing convictions and delivering justice (Gill et al., 2014).</w:t>
      </w:r>
    </w:p>
    <w:p w14:paraId="5C8FFDD4"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For this investigation what was crucial in terms of media footage was the person reporting had positioned the ring doorbell to capture the suspect speaking to the reporting person of what had happened. The footage was crucial to the outcome of the investigation. </w:t>
      </w:r>
    </w:p>
    <w:p w14:paraId="1B0990D9"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In the UK, ring doorbell film is becoming a more and more useful tool for police investigations. Its capacity to record images of possible suspects, cars, or illegal activities makes it crucial since it may help law enforcement track down offenders and compile evidence.</w:t>
      </w:r>
      <w:r w:rsidRPr="008201D4">
        <w:rPr>
          <w:rFonts w:ascii="Arial" w:eastAsia="Times New Roman" w:hAnsi="Arial" w:cs="Arial"/>
          <w:color w:val="000000" w:themeColor="text1"/>
          <w:kern w:val="0"/>
          <w:sz w:val="24"/>
          <w:szCs w:val="24"/>
          <w:lang w:eastAsia="en-GB"/>
          <w14:ligatures w14:val="none"/>
        </w:rPr>
        <w:br/>
      </w:r>
      <w:r w:rsidRPr="008201D4">
        <w:rPr>
          <w:rFonts w:ascii="Arial" w:eastAsia="Times New Roman" w:hAnsi="Arial" w:cs="Arial"/>
          <w:color w:val="000000" w:themeColor="text1"/>
          <w:kern w:val="0"/>
          <w:sz w:val="24"/>
          <w:szCs w:val="24"/>
          <w:lang w:eastAsia="en-GB"/>
          <w14:ligatures w14:val="none"/>
        </w:rPr>
        <w:br/>
        <w:t>There have been many instances in the past few years where Ring doorbell footage has been important in solving crimes. For instance, Ring doorbell cameras have captured photos of suspects entering or departing residences in burglary cases, giving detectives important leads. In a similar vein, Ring doorbell footage has assisted law enforcement in identifying and apprehending offenders in situations of package theft and vandalism.</w:t>
      </w:r>
    </w:p>
    <w:p w14:paraId="59069EB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Moreover, Ring doorbell footage can provide valuable timestamps, allowing investigators to establish timelines of events and corroborate witness statements. This can be particularly useful in cases where the exact timing of an incident is crucial for establishing guilt or innocence.</w:t>
      </w:r>
    </w:p>
    <w:p w14:paraId="6E0389B3"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18C6933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The image the footage ring doorbell footage provided us as investigators were the suspect's name, identity, visual, and a confession on the footage of the stabbing as well as a visual on the weapon used. The time of the incident and the time at which the suspect left the scene.</w:t>
      </w:r>
    </w:p>
    <w:p w14:paraId="150A49C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46BCEB8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The suspect was named and then interviewed providing a ‘No comment interview.’ Suspects under legal advice frequently employ this strategy to prevent self-incrimination. When assessing the use of "no comment" interviews, one must take legal rights, ethical issues, and the investigation process into account.</w:t>
      </w:r>
    </w:p>
    <w:p w14:paraId="58A44F2A"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However, this was expected given the evidence we had regarding the injuries and the CCTV footage from the ring doorbell. </w:t>
      </w:r>
    </w:p>
    <w:p w14:paraId="327DF625"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I then, from experience of working with offenders and victims had to provide the relative support required. </w:t>
      </w:r>
    </w:p>
    <w:p w14:paraId="2558B4E5"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57208BA8"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Support for victims, witnesses, and offenders is integral to maintaining trust in the justice system and ensuring fair treatment. This support I had to consider was as follows -</w:t>
      </w:r>
    </w:p>
    <w:p w14:paraId="169A9D67" w14:textId="77777777" w:rsidR="008201D4" w:rsidRPr="008201D4" w:rsidRDefault="008201D4" w:rsidP="008201D4">
      <w:pPr>
        <w:numPr>
          <w:ilvl w:val="0"/>
          <w:numId w:val="3"/>
        </w:num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Victim Support: Giving victims access to resources, updates on the investigation's progress, and emotional support. Making referrals to victim support agencies can help them get well and take part in the legal system.</w:t>
      </w:r>
    </w:p>
    <w:p w14:paraId="44952513" w14:textId="77777777" w:rsidR="008201D4" w:rsidRPr="008201D4" w:rsidRDefault="008201D4" w:rsidP="008201D4">
      <w:pPr>
        <w:numPr>
          <w:ilvl w:val="0"/>
          <w:numId w:val="3"/>
        </w:num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Witness Care: Giving support and comfort to witnesses during their participation in the inquiry and judicial process. It is imperative to guarantee </w:t>
      </w:r>
      <w:r w:rsidRPr="008201D4">
        <w:rPr>
          <w:rFonts w:ascii="Arial" w:eastAsia="Times New Roman" w:hAnsi="Arial" w:cs="Arial"/>
          <w:color w:val="000000" w:themeColor="text1"/>
          <w:kern w:val="0"/>
          <w:sz w:val="24"/>
          <w:szCs w:val="24"/>
          <w:lang w:eastAsia="en-GB"/>
          <w14:ligatures w14:val="none"/>
        </w:rPr>
        <w:lastRenderedPageBreak/>
        <w:t>their safety and well-being in addition to offering advice and unambiguous communication.</w:t>
      </w:r>
    </w:p>
    <w:p w14:paraId="28BC2DA2" w14:textId="77777777" w:rsidR="008201D4" w:rsidRPr="008201D4" w:rsidRDefault="008201D4" w:rsidP="008201D4">
      <w:pPr>
        <w:numPr>
          <w:ilvl w:val="0"/>
          <w:numId w:val="3"/>
        </w:num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Offender Management: While the primary focus is on investigation and prosecution, providing appropriate support and interventions to offenders, where applicable, can address underlying issues and prevent reoffending. This was addressed by the supporting agencies when the Offender was in the cells. Relative support agencies have access to offer support to the offender. </w:t>
      </w:r>
    </w:p>
    <w:p w14:paraId="562F70A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75007C9E"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u w:val="single"/>
          <w:lang w:eastAsia="en-GB"/>
          <w14:ligatures w14:val="none"/>
        </w:rPr>
      </w:pPr>
      <w:r w:rsidRPr="008201D4">
        <w:rPr>
          <w:rFonts w:ascii="Arial" w:eastAsia="Times New Roman" w:hAnsi="Arial" w:cs="Arial"/>
          <w:color w:val="000000" w:themeColor="text1"/>
          <w:kern w:val="0"/>
          <w:sz w:val="24"/>
          <w:szCs w:val="24"/>
          <w:u w:val="single"/>
          <w:lang w:eastAsia="en-GB"/>
          <w14:ligatures w14:val="none"/>
        </w:rPr>
        <w:t>CONCLUSION</w:t>
      </w:r>
    </w:p>
    <w:p w14:paraId="2EB9B914"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25FDFB86"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Complex police investigations in the UK involve a multifaceted process encompassing evidence gathering, forensic analysis, and legal procedures. While technological advancements have bolstered the efficacy of investigations, challenges persist in terms of resource allocation and adapting to evolving crime trends. Moreover, support mechanisms for victims, witnesses, and offenders play a crucial role in ensuring a fair and effective criminal justice system. </w:t>
      </w:r>
    </w:p>
    <w:p w14:paraId="1BA7138E"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Moving forward, efforts to streamline investigative processes, enhance collaboration between agencies, and prioritize victim-centric approaches are essential for addressing existing challenges. Similarly, ongoing investment in support services for all stakeholders, coupled with a focus on rehabilitation and reintegration, can contribute to the overall effectiveness and fairness of the UK's policing and criminal justice framework.</w:t>
      </w:r>
    </w:p>
    <w:p w14:paraId="73A5FA30"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r w:rsidRPr="008201D4">
        <w:rPr>
          <w:rFonts w:ascii="Arial" w:eastAsia="Times New Roman" w:hAnsi="Arial" w:cs="Arial"/>
          <w:color w:val="000000" w:themeColor="text1"/>
          <w:kern w:val="0"/>
          <w:sz w:val="24"/>
          <w:szCs w:val="24"/>
          <w:lang w:eastAsia="en-GB"/>
          <w14:ligatures w14:val="none"/>
        </w:rPr>
        <w:t xml:space="preserve">This investigation, given the nature of the incident, was relatively straight forward, and fortunately, with today's technology such as the ring doorbell footage that was provided to us the suspect was found quite easily. The weapon used in the incident was found later in the morning due to statements provided by witnesses. However, not all witnesses are too keen to come forward as they are afraid of repercussions on themselves and their families. Again, we were lucky that the CCTV could be argued against. Despite the ‘ NO COMMENT’ interview the suspect has pleaded and I am at the time of this assignment awaiting the sentence. </w:t>
      </w:r>
    </w:p>
    <w:p w14:paraId="417BE7D7" w14:textId="77777777" w:rsidR="008201D4" w:rsidRPr="008201D4" w:rsidRDefault="008201D4" w:rsidP="008201D4">
      <w:pPr>
        <w:overflowPunct w:val="0"/>
        <w:autoSpaceDE w:val="0"/>
        <w:autoSpaceDN w:val="0"/>
        <w:adjustRightInd w:val="0"/>
        <w:spacing w:after="0" w:line="240" w:lineRule="auto"/>
        <w:ind w:right="237"/>
        <w:jc w:val="both"/>
        <w:textAlignment w:val="baseline"/>
        <w:rPr>
          <w:rFonts w:eastAsia="Times New Roman" w:cstheme="minorHAnsi"/>
          <w:color w:val="000000" w:themeColor="text1"/>
          <w:kern w:val="0"/>
          <w:sz w:val="24"/>
          <w:szCs w:val="24"/>
          <w:lang w:eastAsia="en-GB"/>
          <w14:ligatures w14:val="none"/>
        </w:rPr>
      </w:pPr>
    </w:p>
    <w:p w14:paraId="1CC034A6" w14:textId="362C6947" w:rsidR="008D03F4" w:rsidRPr="008D03F4" w:rsidRDefault="008201D4" w:rsidP="008201D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r w:rsidRPr="008201D4">
        <w:rPr>
          <w:rFonts w:eastAsia="Times New Roman" w:cstheme="minorHAnsi"/>
          <w:color w:val="000000" w:themeColor="text1"/>
          <w:kern w:val="0"/>
          <w:sz w:val="24"/>
          <w:szCs w:val="24"/>
          <w:lang w:eastAsia="en-GB"/>
          <w14:ligatures w14:val="none"/>
        </w:rPr>
        <w:t>Word 20</w:t>
      </w:r>
      <w:r>
        <w:rPr>
          <w:rFonts w:eastAsia="Times New Roman" w:cstheme="minorHAnsi"/>
          <w:color w:val="000000" w:themeColor="text1"/>
          <w:kern w:val="0"/>
          <w:sz w:val="24"/>
          <w:szCs w:val="24"/>
          <w:lang w:eastAsia="en-GB"/>
          <w14:ligatures w14:val="none"/>
        </w:rPr>
        <w:t>8</w:t>
      </w:r>
      <w:r w:rsidRPr="008201D4">
        <w:rPr>
          <w:rFonts w:eastAsia="Times New Roman" w:cstheme="minorHAnsi"/>
          <w:color w:val="000000" w:themeColor="text1"/>
          <w:kern w:val="0"/>
          <w:sz w:val="24"/>
          <w:szCs w:val="24"/>
          <w:lang w:eastAsia="en-GB"/>
          <w14:ligatures w14:val="none"/>
        </w:rPr>
        <w:t>4</w:t>
      </w:r>
    </w:p>
    <w:p w14:paraId="14B0947B"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553CF3CC" w14:textId="77777777" w:rsidR="008D03F4" w:rsidRPr="008D03F4" w:rsidRDefault="008D03F4" w:rsidP="008D03F4">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kern w:val="0"/>
          <w:sz w:val="28"/>
          <w:szCs w:val="28"/>
          <w:lang w:eastAsia="en-GB"/>
          <w14:ligatures w14:val="none"/>
        </w:rPr>
      </w:pPr>
    </w:p>
    <w:p w14:paraId="1E61AD08"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Authentication signature: </w:t>
      </w:r>
    </w:p>
    <w:p w14:paraId="2437D02B"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0C39C74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Please sign to confirm that the work submitted is your own and has not been copied from another: </w:t>
      </w:r>
    </w:p>
    <w:p w14:paraId="1F9FD25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5154B5E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Signed: </w:t>
      </w:r>
    </w:p>
    <w:p w14:paraId="39D46E5D"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8D03F4">
        <w:rPr>
          <w:rFonts w:ascii="Arial" w:eastAsia="Arial" w:hAnsi="Arial" w:cs="Arial"/>
          <w:b/>
          <w:bCs/>
          <w:color w:val="000000" w:themeColor="text1"/>
          <w:kern w:val="0"/>
          <w:sz w:val="24"/>
          <w:szCs w:val="24"/>
          <w:lang w:eastAsia="en-GB"/>
          <w14:ligatures w14:val="none"/>
        </w:rPr>
        <w:t xml:space="preserve"> </w:t>
      </w:r>
    </w:p>
    <w:p w14:paraId="259AA5C7"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sectPr w:rsidR="008D03F4" w:rsidRPr="008D03F4" w:rsidSect="00D14489">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272"/>
        </w:sectPr>
      </w:pPr>
      <w:r w:rsidRPr="008D03F4">
        <w:rPr>
          <w:rFonts w:ascii="Arial" w:eastAsia="Arial" w:hAnsi="Arial" w:cs="Arial"/>
          <w:b/>
          <w:bCs/>
          <w:color w:val="000000" w:themeColor="text1"/>
          <w:kern w:val="0"/>
          <w:sz w:val="24"/>
          <w:szCs w:val="24"/>
          <w:lang w:eastAsia="en-GB"/>
          <w14:ligatures w14:val="none"/>
        </w:rPr>
        <w:t>Date</w:t>
      </w:r>
    </w:p>
    <w:p w14:paraId="38D67B6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b/>
          <w:bCs/>
          <w:color w:val="000000"/>
          <w:kern w:val="0"/>
          <w:sz w:val="24"/>
          <w:szCs w:val="24"/>
          <w:lang w:eastAsia="en-GB"/>
          <w14:ligatures w14:val="none"/>
        </w:rPr>
      </w:pPr>
      <w:r w:rsidRPr="008D03F4">
        <w:rPr>
          <w:rFonts w:ascii="Arial" w:eastAsia="Times New Roman" w:hAnsi="Arial" w:cs="Arial"/>
          <w:b/>
          <w:bCs/>
          <w:color w:val="000000"/>
          <w:kern w:val="0"/>
          <w:sz w:val="24"/>
          <w:szCs w:val="24"/>
          <w:lang w:eastAsia="en-GB"/>
          <w14:ligatures w14:val="none"/>
        </w:rPr>
        <w:lastRenderedPageBreak/>
        <w:t>Bibliography</w:t>
      </w:r>
    </w:p>
    <w:p w14:paraId="17496D3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6EFE3C5"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6C01E20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1F48B18F"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42D08966"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College of Policing. (2020). Code of Ethics. (accessed 22nd March 2024)</w:t>
      </w:r>
    </w:p>
    <w:p w14:paraId="5533EEB6"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4459A218"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3DAC54B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Grove LE and others. 2012. 'Preventing repeat victimization: A systematic review.' Brottsförebyggande rådet/The Swedish National Council for Crime Prevention. (accessed 16th March 2024)</w:t>
      </w:r>
    </w:p>
    <w:p w14:paraId="173B2D87"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44E523C"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BB5987E"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Her Majesty's Inspectorate of Constabulary and Fire &amp; Rescue Services (HMICFRS). (2021). Policing Through the Pandemic: The Service So Far. (accessed 18th March 2024)</w:t>
      </w:r>
    </w:p>
    <w:p w14:paraId="60A80BA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9D4563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1FB830C"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Home Office. (2024). Police and Criminal Evidence Act (1984). (accessed 18th March 2024)</w:t>
      </w:r>
    </w:p>
    <w:p w14:paraId="38DF36C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66446A5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69AFAE5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Horowitz, M. J. (1976). Stress response syndromes. New York: Jason Aronson. (accessed 18 th March 2024)</w:t>
      </w:r>
    </w:p>
    <w:p w14:paraId="13BF542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E0C709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E489744" w14:textId="77777777" w:rsidR="008D03F4" w:rsidRPr="008D03F4" w:rsidRDefault="00000000"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hyperlink r:id="rId15" w:history="1">
        <w:r w:rsidR="008D03F4" w:rsidRPr="008D03F4">
          <w:rPr>
            <w:rFonts w:ascii="Arial" w:eastAsia="Times New Roman" w:hAnsi="Arial" w:cs="Arial"/>
            <w:color w:val="0000FF"/>
            <w:kern w:val="0"/>
            <w:sz w:val="24"/>
            <w:szCs w:val="24"/>
            <w:u w:val="single"/>
            <w:lang w:eastAsia="en-GB"/>
            <w14:ligatures w14:val="none"/>
          </w:rPr>
          <w:t>https://faithbehavioralhealth.com/why-do-i-have-a-delayed-emotional-response/</w:t>
        </w:r>
      </w:hyperlink>
      <w:r w:rsidR="008D03F4" w:rsidRPr="008D03F4">
        <w:rPr>
          <w:rFonts w:ascii="Arial" w:eastAsia="Times New Roman" w:hAnsi="Arial" w:cs="Arial"/>
          <w:color w:val="000000"/>
          <w:kern w:val="0"/>
          <w:sz w:val="24"/>
          <w:szCs w:val="24"/>
          <w:lang w:eastAsia="en-GB"/>
          <w14:ligatures w14:val="none"/>
        </w:rPr>
        <w:t xml:space="preserve"> </w:t>
      </w:r>
    </w:p>
    <w:p w14:paraId="31DFE4F2"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55ED833"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29916E2" w14:textId="7DD8FA45"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Independent Office for Police Conduct (IOPC). (2022). Annual Report. (</w:t>
      </w:r>
      <w:r w:rsidR="003B1A41">
        <w:rPr>
          <w:rFonts w:ascii="Arial" w:eastAsia="Times New Roman" w:hAnsi="Arial" w:cs="Arial"/>
          <w:color w:val="000000"/>
          <w:kern w:val="0"/>
          <w:sz w:val="24"/>
          <w:szCs w:val="24"/>
          <w:lang w:eastAsia="en-GB"/>
          <w14:ligatures w14:val="none"/>
        </w:rPr>
        <w:t>A</w:t>
      </w:r>
      <w:r w:rsidRPr="008D03F4">
        <w:rPr>
          <w:rFonts w:ascii="Arial" w:eastAsia="Times New Roman" w:hAnsi="Arial" w:cs="Arial"/>
          <w:color w:val="000000"/>
          <w:kern w:val="0"/>
          <w:sz w:val="24"/>
          <w:szCs w:val="24"/>
          <w:lang w:eastAsia="en-GB"/>
          <w14:ligatures w14:val="none"/>
        </w:rPr>
        <w:t>ccessed 18 th March 2024)</w:t>
      </w:r>
    </w:p>
    <w:p w14:paraId="560FCDC4"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3755C719"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0C3DD53" w14:textId="02EA81DF"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Jackson, J., Bradford, B., Stanko, E. A., &amp; Hohl, K. (2011). Just Authority? Trust in the Police in England and Wales. Routledge. (</w:t>
      </w:r>
      <w:r w:rsidR="003B1A41">
        <w:rPr>
          <w:rFonts w:ascii="Arial" w:eastAsia="Times New Roman" w:hAnsi="Arial" w:cs="Arial"/>
          <w:color w:val="000000"/>
          <w:kern w:val="0"/>
          <w:sz w:val="24"/>
          <w:szCs w:val="24"/>
          <w:lang w:eastAsia="en-GB"/>
          <w14:ligatures w14:val="none"/>
        </w:rPr>
        <w:t>A</w:t>
      </w:r>
      <w:r w:rsidRPr="008D03F4">
        <w:rPr>
          <w:rFonts w:ascii="Arial" w:eastAsia="Times New Roman" w:hAnsi="Arial" w:cs="Arial"/>
          <w:color w:val="000000"/>
          <w:kern w:val="0"/>
          <w:sz w:val="24"/>
          <w:szCs w:val="24"/>
          <w:lang w:eastAsia="en-GB"/>
          <w14:ligatures w14:val="none"/>
        </w:rPr>
        <w:t>ccessed 22nd March 2024)</w:t>
      </w:r>
    </w:p>
    <w:p w14:paraId="250EB1C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3FC756F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D5F3D1B" w14:textId="625BC9A5"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Kilpatrick, D. G., Saunders, B. E., Veronen, L. J., Best, C. L., &amp; Von, J. M. (1987). Criminal victimization: (accessed 18 th March 2024) (</w:t>
      </w:r>
      <w:r w:rsidR="003B1A41">
        <w:rPr>
          <w:rFonts w:ascii="Arial" w:eastAsia="Times New Roman" w:hAnsi="Arial" w:cs="Arial"/>
          <w:color w:val="000000"/>
          <w:kern w:val="0"/>
          <w:sz w:val="24"/>
          <w:szCs w:val="24"/>
          <w:lang w:eastAsia="en-GB"/>
          <w14:ligatures w14:val="none"/>
        </w:rPr>
        <w:t>A</w:t>
      </w:r>
      <w:r w:rsidRPr="008D03F4">
        <w:rPr>
          <w:rFonts w:ascii="Arial" w:eastAsia="Times New Roman" w:hAnsi="Arial" w:cs="Arial"/>
          <w:color w:val="000000"/>
          <w:kern w:val="0"/>
          <w:sz w:val="24"/>
          <w:szCs w:val="24"/>
          <w:lang w:eastAsia="en-GB"/>
          <w14:ligatures w14:val="none"/>
        </w:rPr>
        <w:t>ccessed 18 th March 2024)</w:t>
      </w:r>
    </w:p>
    <w:p w14:paraId="29B821AE"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17F0E72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0FDFAB71"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Kubzansky, L., Koenen, K., Spiro, A., Vokonas, S., &amp; Sparrow, D. (2007).</w:t>
      </w:r>
    </w:p>
    <w:p w14:paraId="17CDCEEC" w14:textId="015622F8"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Prospective study of posttraumatic stress disorder symptoms and coronary heart disease in the normative aging study. Archives of General Psychiatry, 64(1), 109–116. (</w:t>
      </w:r>
      <w:r w:rsidR="003B1A41">
        <w:rPr>
          <w:rFonts w:ascii="Arial" w:eastAsia="Times New Roman" w:hAnsi="Arial" w:cs="Arial"/>
          <w:color w:val="000000"/>
          <w:kern w:val="0"/>
          <w:sz w:val="24"/>
          <w:szCs w:val="24"/>
          <w:lang w:eastAsia="en-GB"/>
          <w14:ligatures w14:val="none"/>
        </w:rPr>
        <w:t>A</w:t>
      </w:r>
      <w:r w:rsidRPr="008D03F4">
        <w:rPr>
          <w:rFonts w:ascii="Arial" w:eastAsia="Times New Roman" w:hAnsi="Arial" w:cs="Arial"/>
          <w:color w:val="000000"/>
          <w:kern w:val="0"/>
          <w:sz w:val="24"/>
          <w:szCs w:val="24"/>
          <w:lang w:eastAsia="en-GB"/>
          <w14:ligatures w14:val="none"/>
        </w:rPr>
        <w:t>ccessed 22nd March 2024)</w:t>
      </w:r>
    </w:p>
    <w:p w14:paraId="4D87FDB0"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51C2D7D"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550A0B78" w14:textId="4787BFD3"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r w:rsidRPr="008D03F4">
        <w:rPr>
          <w:rFonts w:ascii="Arial" w:eastAsia="Times New Roman" w:hAnsi="Arial" w:cs="Arial"/>
          <w:color w:val="000000"/>
          <w:kern w:val="0"/>
          <w:sz w:val="24"/>
          <w:szCs w:val="24"/>
          <w:lang w:eastAsia="en-GB"/>
          <w14:ligatures w14:val="none"/>
        </w:rPr>
        <w:t>Lifetime prevalence, reporting to police, and psychological impact. Crime &amp; Delinquency, 33(4), 479–489. (</w:t>
      </w:r>
      <w:r w:rsidR="003B1A41">
        <w:rPr>
          <w:rFonts w:ascii="Arial" w:eastAsia="Times New Roman" w:hAnsi="Arial" w:cs="Arial"/>
          <w:color w:val="000000"/>
          <w:kern w:val="0"/>
          <w:sz w:val="24"/>
          <w:szCs w:val="24"/>
          <w:lang w:eastAsia="en-GB"/>
          <w14:ligatures w14:val="none"/>
        </w:rPr>
        <w:t>A</w:t>
      </w:r>
      <w:r w:rsidRPr="008D03F4">
        <w:rPr>
          <w:rFonts w:ascii="Arial" w:eastAsia="Times New Roman" w:hAnsi="Arial" w:cs="Arial"/>
          <w:color w:val="000000"/>
          <w:kern w:val="0"/>
          <w:sz w:val="24"/>
          <w:szCs w:val="24"/>
          <w:lang w:eastAsia="en-GB"/>
          <w14:ligatures w14:val="none"/>
        </w:rPr>
        <w:t>ccessed 18 th March 2024)</w:t>
      </w:r>
    </w:p>
    <w:p w14:paraId="7D66EC8E"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08E0E5A" w14:textId="77777777" w:rsidR="008D03F4" w:rsidRPr="008D03F4" w:rsidRDefault="008D03F4" w:rsidP="008D03F4">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7223EDAA" w14:textId="6177C189" w:rsidR="00536B9D" w:rsidRDefault="008D03F4" w:rsidP="00CC76F3">
      <w:pPr>
        <w:spacing w:line="240" w:lineRule="auto"/>
        <w:rPr>
          <w:b/>
          <w:bCs/>
        </w:rPr>
      </w:pPr>
      <w:r w:rsidRPr="008D03F4">
        <w:rPr>
          <w:rFonts w:ascii="Arial" w:eastAsia="Times New Roman" w:hAnsi="Arial" w:cs="Arial"/>
          <w:color w:val="000000"/>
          <w:kern w:val="0"/>
          <w:sz w:val="24"/>
          <w:szCs w:val="24"/>
          <w:lang w:eastAsia="en-GB"/>
          <w14:ligatures w14:val="none"/>
        </w:rPr>
        <w:t>Royal College of Psychiatrists (2021). Post-traumatic stress disorder (PTSD) | Royal College of Psychiatrists. www.rcpsych.ac.uk. Available at: https://www.rcpsych.ac.uk/mental-health/mental-illnesses-and-mental-health-problems/post-traumatic-stress-disorder. (</w:t>
      </w:r>
      <w:r w:rsidR="003B1A41">
        <w:rPr>
          <w:rFonts w:ascii="Arial" w:eastAsia="Times New Roman" w:hAnsi="Arial" w:cs="Arial"/>
          <w:color w:val="000000"/>
          <w:kern w:val="0"/>
          <w:sz w:val="24"/>
          <w:szCs w:val="24"/>
          <w:lang w:eastAsia="en-GB"/>
          <w14:ligatures w14:val="none"/>
        </w:rPr>
        <w:t>A</w:t>
      </w:r>
      <w:r w:rsidRPr="008D03F4">
        <w:rPr>
          <w:rFonts w:ascii="Arial" w:eastAsia="Times New Roman" w:hAnsi="Arial" w:cs="Arial"/>
          <w:color w:val="000000"/>
          <w:kern w:val="0"/>
          <w:sz w:val="24"/>
          <w:szCs w:val="24"/>
          <w:lang w:eastAsia="en-GB"/>
          <w14:ligatures w14:val="none"/>
        </w:rPr>
        <w:t>ccessed 18th Ma</w:t>
      </w:r>
      <w:bookmarkEnd w:id="0"/>
      <w:r w:rsidR="003B1A41">
        <w:rPr>
          <w:rFonts w:ascii="Arial" w:eastAsia="Times New Roman" w:hAnsi="Arial" w:cs="Arial"/>
          <w:color w:val="000000"/>
          <w:kern w:val="0"/>
          <w:sz w:val="24"/>
          <w:szCs w:val="24"/>
          <w:lang w:eastAsia="en-GB"/>
          <w14:ligatures w14:val="none"/>
        </w:rPr>
        <w:t>rch 2024)</w:t>
      </w:r>
    </w:p>
    <w:p w14:paraId="5BBD123B" w14:textId="31BBE457" w:rsidR="008D03F4" w:rsidRPr="00077EAB" w:rsidRDefault="008D03F4" w:rsidP="00640EEE">
      <w:pPr>
        <w:rPr>
          <w:rFonts w:ascii="Arial" w:hAnsi="Arial" w:cs="Arial"/>
          <w:sz w:val="24"/>
          <w:szCs w:val="24"/>
        </w:rPr>
      </w:pPr>
    </w:p>
    <w:sectPr w:rsidR="008D03F4" w:rsidRPr="00077E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C7B2E6" w14:textId="77777777" w:rsidR="00D14489" w:rsidRDefault="00D14489">
      <w:pPr>
        <w:spacing w:after="0" w:line="240" w:lineRule="auto"/>
      </w:pPr>
      <w:r>
        <w:separator/>
      </w:r>
    </w:p>
  </w:endnote>
  <w:endnote w:type="continuationSeparator" w:id="0">
    <w:p w14:paraId="71F432F0" w14:textId="77777777" w:rsidR="00D14489" w:rsidRDefault="00D14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0825B" w14:textId="77777777" w:rsidR="00494A14" w:rsidRDefault="00494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523C1" w14:textId="77777777" w:rsidR="00494A14"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1E9960A2" w14:textId="77777777" w:rsidR="00494A14" w:rsidRPr="00BB5EAA" w:rsidRDefault="00494A1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EE5C4B" w14:textId="77777777" w:rsidR="00494A14" w:rsidRDefault="00494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7654D" w14:textId="77777777" w:rsidR="00D14489" w:rsidRDefault="00D14489">
      <w:pPr>
        <w:spacing w:after="0" w:line="240" w:lineRule="auto"/>
      </w:pPr>
      <w:r>
        <w:separator/>
      </w:r>
    </w:p>
  </w:footnote>
  <w:footnote w:type="continuationSeparator" w:id="0">
    <w:p w14:paraId="0E405515" w14:textId="77777777" w:rsidR="00D14489" w:rsidRDefault="00D144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6341E" w14:textId="77777777" w:rsidR="00494A14" w:rsidRDefault="00494A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06E81D" w14:textId="77777777" w:rsidR="00494A14" w:rsidRDefault="00494A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B71C8" w14:textId="77777777" w:rsidR="00494A14" w:rsidRDefault="00494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6029A1"/>
    <w:multiLevelType w:val="hybridMultilevel"/>
    <w:tmpl w:val="CFAC7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A71FA"/>
    <w:multiLevelType w:val="multilevel"/>
    <w:tmpl w:val="A79A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1E5678"/>
    <w:multiLevelType w:val="multilevel"/>
    <w:tmpl w:val="0818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4744487">
    <w:abstractNumId w:val="0"/>
  </w:num>
  <w:num w:numId="2" w16cid:durableId="544098401">
    <w:abstractNumId w:val="1"/>
  </w:num>
  <w:num w:numId="3" w16cid:durableId="1045521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F85"/>
    <w:rsid w:val="0005317C"/>
    <w:rsid w:val="00077EAB"/>
    <w:rsid w:val="00096074"/>
    <w:rsid w:val="00097705"/>
    <w:rsid w:val="000D382E"/>
    <w:rsid w:val="001F12E9"/>
    <w:rsid w:val="002227D5"/>
    <w:rsid w:val="002D4D36"/>
    <w:rsid w:val="003B1A41"/>
    <w:rsid w:val="004916B2"/>
    <w:rsid w:val="00494A14"/>
    <w:rsid w:val="00501503"/>
    <w:rsid w:val="00506033"/>
    <w:rsid w:val="00536B9D"/>
    <w:rsid w:val="005B5EDE"/>
    <w:rsid w:val="005F7D5D"/>
    <w:rsid w:val="00640EEE"/>
    <w:rsid w:val="006555A4"/>
    <w:rsid w:val="00712B0C"/>
    <w:rsid w:val="00723F85"/>
    <w:rsid w:val="008201D4"/>
    <w:rsid w:val="00850FE6"/>
    <w:rsid w:val="008D03F4"/>
    <w:rsid w:val="00974B44"/>
    <w:rsid w:val="009F0A25"/>
    <w:rsid w:val="00A62E48"/>
    <w:rsid w:val="00AF69C3"/>
    <w:rsid w:val="00B37A8A"/>
    <w:rsid w:val="00B41FE1"/>
    <w:rsid w:val="00C42BD2"/>
    <w:rsid w:val="00CB1A3D"/>
    <w:rsid w:val="00CC76F3"/>
    <w:rsid w:val="00D14489"/>
    <w:rsid w:val="00D903CA"/>
    <w:rsid w:val="00E21476"/>
    <w:rsid w:val="00E833D6"/>
    <w:rsid w:val="00F65BED"/>
    <w:rsid w:val="00FA67D3"/>
    <w:rsid w:val="00FB73EA"/>
    <w:rsid w:val="00FF6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6D4A6"/>
  <w15:chartTrackingRefBased/>
  <w15:docId w15:val="{F0787827-CBC4-41FC-82BB-EB6A84107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503"/>
    <w:pPr>
      <w:ind w:left="720"/>
      <w:contextualSpacing/>
    </w:pPr>
  </w:style>
  <w:style w:type="character" w:styleId="Hyperlink">
    <w:name w:val="Hyperlink"/>
    <w:basedOn w:val="DefaultParagraphFont"/>
    <w:uiPriority w:val="99"/>
    <w:unhideWhenUsed/>
    <w:rsid w:val="008D03F4"/>
    <w:rPr>
      <w:color w:val="0563C1" w:themeColor="hyperlink"/>
      <w:u w:val="single"/>
    </w:rPr>
  </w:style>
  <w:style w:type="character" w:styleId="UnresolvedMention">
    <w:name w:val="Unresolved Mention"/>
    <w:basedOn w:val="DefaultParagraphFont"/>
    <w:uiPriority w:val="99"/>
    <w:semiHidden/>
    <w:unhideWhenUsed/>
    <w:rsid w:val="008D03F4"/>
    <w:rPr>
      <w:color w:val="605E5C"/>
      <w:shd w:val="clear" w:color="auto" w:fill="E1DFDD"/>
    </w:rPr>
  </w:style>
  <w:style w:type="paragraph" w:styleId="Header">
    <w:name w:val="header"/>
    <w:basedOn w:val="Normal"/>
    <w:link w:val="HeaderChar"/>
    <w:uiPriority w:val="99"/>
    <w:semiHidden/>
    <w:unhideWhenUsed/>
    <w:rsid w:val="008D03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03F4"/>
  </w:style>
  <w:style w:type="paragraph" w:styleId="Footer">
    <w:name w:val="footer"/>
    <w:basedOn w:val="Normal"/>
    <w:link w:val="FooterChar"/>
    <w:uiPriority w:val="99"/>
    <w:semiHidden/>
    <w:unhideWhenUsed/>
    <w:rsid w:val="008D03F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D03F4"/>
  </w:style>
  <w:style w:type="table" w:styleId="TableGrid">
    <w:name w:val="Table Grid"/>
    <w:basedOn w:val="TableNormal"/>
    <w:rsid w:val="008D03F4"/>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324949">
      <w:bodyDiv w:val="1"/>
      <w:marLeft w:val="0"/>
      <w:marRight w:val="0"/>
      <w:marTop w:val="0"/>
      <w:marBottom w:val="0"/>
      <w:divBdr>
        <w:top w:val="none" w:sz="0" w:space="0" w:color="auto"/>
        <w:left w:val="none" w:sz="0" w:space="0" w:color="auto"/>
        <w:bottom w:val="none" w:sz="0" w:space="0" w:color="auto"/>
        <w:right w:val="none" w:sz="0" w:space="0" w:color="auto"/>
      </w:divBdr>
    </w:div>
    <w:div w:id="50771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aithbehavioralhealth.com/why-do-i-have-a-delayed-emotional-response/" TargetMode="Externa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15</Pages>
  <Words>4819</Words>
  <Characters>27561</Characters>
  <Application>Microsoft Office Word</Application>
  <DocSecurity>0</DocSecurity>
  <Lines>659</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Williams,Andrew swp8480</dc:creator>
  <cp:keywords/>
  <dc:description/>
  <cp:lastModifiedBy>shelley pace</cp:lastModifiedBy>
  <cp:revision>7</cp:revision>
  <dcterms:created xsi:type="dcterms:W3CDTF">2024-04-22T15:07:00Z</dcterms:created>
  <dcterms:modified xsi:type="dcterms:W3CDTF">2024-04-28T12:45:00Z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2024-03-06T22:48:08Z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01479e13-c7a6-4f74-a13f-92a44fc868c9</vt:lpwstr>
  </property>
  <property fmtid="{D5CDD505-2E9C-101B-9397-08002B2CF9AE}" pid="8" name="MSIP_Label_66cf8fe5-b7b7-4df7-b38d-1c61ac2f6639_ContentBits">
    <vt:lpwstr>0</vt:lpwstr>
  </property>
  <property fmtid="{D5CDD505-2E9C-101B-9397-08002B2CF9AE}" pid="9" name="GrammarlyDocumentId">
    <vt:lpwstr>f6a9cb33652719aa6113bf4b7b96ca90847658bd3377e5491d44845a72cc1644</vt:lpwstr>
  </property>
</Properties>
</file>