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Black" w:hAnsi="Arial Black"/>
        </w:rPr>
        <w:id w:val="159519258"/>
        <w:docPartObj>
          <w:docPartGallery w:val="Cover Pages"/>
          <w:docPartUnique/>
        </w:docPartObj>
      </w:sdtPr>
      <w:sdtEndPr>
        <w:rPr>
          <w:rFonts w:cs="Arial"/>
        </w:rPr>
      </w:sdtEndPr>
      <w:sdtContent>
        <w:p w14:paraId="3809BEE8" w14:textId="3B482E3A" w:rsidR="0092047D" w:rsidRPr="0092047D" w:rsidRDefault="0092047D">
          <w:pPr>
            <w:rPr>
              <w:rFonts w:ascii="Arial Black" w:hAnsi="Arial Black"/>
            </w:rPr>
          </w:pPr>
          <w:r w:rsidRPr="0092047D">
            <w:rPr>
              <w:rFonts w:ascii="Arial Black" w:hAnsi="Arial Black"/>
            </w:rPr>
            <w:t>Student name: Lucretia Malutan</w:t>
          </w:r>
        </w:p>
        <w:p w14:paraId="199B853F" w14:textId="42305369" w:rsidR="0092047D" w:rsidRPr="0092047D" w:rsidRDefault="0092047D" w:rsidP="0092047D">
          <w:pPr>
            <w:rPr>
              <w:rFonts w:ascii="Arial Black" w:hAnsi="Arial Black"/>
            </w:rPr>
          </w:pPr>
          <w:r w:rsidRPr="0092047D">
            <w:rPr>
              <w:rFonts w:ascii="Arial Black" w:hAnsi="Arial Black"/>
            </w:rPr>
            <w:t>Programme:</w:t>
          </w:r>
          <w:r w:rsidRPr="0092047D">
            <w:rPr>
              <w:rFonts w:ascii="Arial Black" w:hAnsi="Arial Black"/>
            </w:rPr>
            <w:t xml:space="preserve"> </w:t>
          </w:r>
          <w:r w:rsidRPr="0092047D">
            <w:rPr>
              <w:rFonts w:ascii="Arial Black" w:hAnsi="Arial Black"/>
            </w:rPr>
            <w:t>BA/HND Business and Management</w:t>
          </w:r>
        </w:p>
        <w:p w14:paraId="7E538B76" w14:textId="23307F0C" w:rsidR="0092047D" w:rsidRPr="0092047D" w:rsidRDefault="0092047D" w:rsidP="0092047D">
          <w:pPr>
            <w:rPr>
              <w:rFonts w:ascii="Arial Black" w:hAnsi="Arial Black"/>
            </w:rPr>
          </w:pPr>
          <w:r w:rsidRPr="0092047D">
            <w:rPr>
              <w:rFonts w:ascii="Arial Black" w:hAnsi="Arial Black"/>
            </w:rPr>
            <w:t>Module:</w:t>
          </w:r>
          <w:r w:rsidRPr="0092047D">
            <w:rPr>
              <w:rFonts w:ascii="Arial Black" w:hAnsi="Arial Black"/>
            </w:rPr>
            <w:t xml:space="preserve"> </w:t>
          </w:r>
          <w:r w:rsidRPr="0092047D">
            <w:rPr>
              <w:rFonts w:ascii="Arial Black" w:hAnsi="Arial Black"/>
            </w:rPr>
            <w:t xml:space="preserve">Financial Management </w:t>
          </w:r>
          <w:r w:rsidRPr="0092047D">
            <w:rPr>
              <w:rFonts w:ascii="Arial Black" w:hAnsi="Arial Black"/>
            </w:rPr>
            <w:t>for</w:t>
          </w:r>
          <w:r w:rsidRPr="0092047D">
            <w:rPr>
              <w:rFonts w:ascii="Arial Black" w:hAnsi="Arial Black"/>
            </w:rPr>
            <w:t xml:space="preserve"> Business Sustainability</w:t>
          </w:r>
        </w:p>
        <w:p w14:paraId="661A3C4E" w14:textId="4F2793B0" w:rsidR="0092047D" w:rsidRPr="0092047D" w:rsidRDefault="0092047D" w:rsidP="0092047D">
          <w:pPr>
            <w:rPr>
              <w:rFonts w:ascii="Arial Black" w:hAnsi="Arial Black"/>
            </w:rPr>
          </w:pPr>
          <w:r w:rsidRPr="0092047D">
            <w:rPr>
              <w:rFonts w:ascii="Arial Black" w:hAnsi="Arial Black"/>
            </w:rPr>
            <w:t>Module code:</w:t>
          </w:r>
          <w:r>
            <w:rPr>
              <w:rFonts w:ascii="Arial Black" w:hAnsi="Arial Black"/>
            </w:rPr>
            <w:t xml:space="preserve"> </w:t>
          </w:r>
          <w:r w:rsidRPr="0092047D">
            <w:rPr>
              <w:rFonts w:ascii="Arial Black" w:hAnsi="Arial Black"/>
            </w:rPr>
            <w:t>BMSP4011D</w:t>
          </w:r>
        </w:p>
        <w:p w14:paraId="4C015DBD" w14:textId="46F953B7" w:rsidR="0092047D" w:rsidRPr="0092047D" w:rsidRDefault="0092047D" w:rsidP="0092047D">
          <w:pPr>
            <w:rPr>
              <w:rFonts w:ascii="Arial Black" w:hAnsi="Arial Black"/>
            </w:rPr>
          </w:pPr>
          <w:r w:rsidRPr="0092047D">
            <w:rPr>
              <w:rFonts w:ascii="Arial Black" w:hAnsi="Arial Black"/>
            </w:rPr>
            <w:t>Lecturer:</w:t>
          </w:r>
          <w:r w:rsidRPr="0092047D">
            <w:rPr>
              <w:rFonts w:ascii="Arial Black" w:hAnsi="Arial Black"/>
            </w:rPr>
            <w:t xml:space="preserve"> </w:t>
          </w:r>
          <w:r w:rsidRPr="0092047D">
            <w:rPr>
              <w:rFonts w:ascii="Arial Black" w:hAnsi="Arial Black"/>
            </w:rPr>
            <w:t>Navdeep Randhawa</w:t>
          </w:r>
        </w:p>
        <w:p w14:paraId="77B2CF3C" w14:textId="5E2D6C90" w:rsidR="0092047D" w:rsidRPr="0092047D" w:rsidRDefault="0092047D">
          <w:pPr>
            <w:rPr>
              <w:rFonts w:ascii="Arial Black" w:hAnsi="Arial Black" w:cs="Arial"/>
            </w:rPr>
          </w:pPr>
          <w:r w:rsidRPr="0092047D">
            <w:rPr>
              <w:rFonts w:ascii="Arial Black" w:hAnsi="Arial Black"/>
              <w:noProof/>
            </w:rPr>
            <mc:AlternateContent>
              <mc:Choice Requires="wps">
                <w:drawing>
                  <wp:anchor distT="0" distB="0" distL="182880" distR="182880" simplePos="0" relativeHeight="251660288" behindDoc="0" locked="0" layoutInCell="1" allowOverlap="1" wp14:anchorId="7C17D4F6" wp14:editId="7C14C39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575300" cy="6720840"/>
                    <wp:effectExtent l="0" t="0" r="6350"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5575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356F2" w14:textId="3358B7D6" w:rsidR="0092047D" w:rsidRPr="0092047D" w:rsidRDefault="0092047D" w:rsidP="0092047D">
                                <w:pPr>
                                  <w:pStyle w:val="NoSpacing"/>
                                  <w:spacing w:before="40" w:after="560" w:line="216" w:lineRule="auto"/>
                                  <w:jc w:val="center"/>
                                  <w:rPr>
                                    <w:rFonts w:ascii="Arial Black" w:hAnsi="Arial Black"/>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92047D">
                                      <w:rPr>
                                        <w:rFonts w:ascii="Arial Black" w:hAnsi="Arial Black"/>
                                        <w:color w:val="156082" w:themeColor="accent1"/>
                                        <w:sz w:val="72"/>
                                        <w:szCs w:val="72"/>
                                      </w:rPr>
                                      <w:t>TESCO Financial Analysis 2023 - 2024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7C17D4F6" id="_x0000_t202" coordsize="21600,21600" o:spt="202" path="m,l,21600r21600,l21600,xe">
                    <v:stroke joinstyle="miter"/>
                    <v:path gradientshapeok="t" o:connecttype="rect"/>
                  </v:shapetype>
                  <v:shape id="Text Box 131" o:spid="_x0000_s1026" type="#_x0000_t202" style="position:absolute;margin-left:0;margin-top:0;width:439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" filled="f" stroked="f" strokeweight=".5pt">
                    <v:textbox style="mso-fit-shape-to-text:t" inset="0,0,0,0">
                      <w:txbxContent>
                        <w:p w14:paraId="219356F2" w14:textId="3358B7D6" w:rsidR="0092047D" w:rsidRPr="0092047D" w:rsidRDefault="0092047D" w:rsidP="0092047D">
                          <w:pPr>
                            <w:pStyle w:val="NoSpacing"/>
                            <w:spacing w:before="40" w:after="560" w:line="216" w:lineRule="auto"/>
                            <w:jc w:val="center"/>
                            <w:rPr>
                              <w:rFonts w:ascii="Arial Black" w:hAnsi="Arial Black"/>
                              <w:color w:val="156082" w:themeColor="accent1"/>
                              <w:sz w:val="72"/>
                              <w:szCs w:val="72"/>
                            </w:rPr>
                          </w:pPr>
                          <w:sdt>
                            <w:sdtPr>
                              <w:rPr>
                                <w:rFonts w:ascii="Arial Black" w:hAnsi="Arial Black"/>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92047D">
                                <w:rPr>
                                  <w:rFonts w:ascii="Arial Black" w:hAnsi="Arial Black"/>
                                  <w:color w:val="156082" w:themeColor="accent1"/>
                                  <w:sz w:val="72"/>
                                  <w:szCs w:val="72"/>
                                </w:rPr>
                                <w:t>TESCO Financial Analysis 2023 - 2024</w:t>
                              </w:r>
                            </w:sdtContent>
                          </w:sdt>
                        </w:p>
                      </w:txbxContent>
                    </v:textbox>
                    <w10:wrap type="square" anchorx="margin" anchory="page"/>
                  </v:shape>
                </w:pict>
              </mc:Fallback>
            </mc:AlternateContent>
          </w:r>
          <w:r w:rsidRPr="0092047D">
            <w:rPr>
              <w:rFonts w:ascii="Arial Black" w:hAnsi="Arial Black" w:cs="Arial"/>
            </w:rPr>
            <w:br w:type="page"/>
          </w:r>
        </w:p>
      </w:sdtContent>
    </w:sdt>
    <w:p w14:paraId="6D2233B9" w14:textId="031FD81F" w:rsidR="005348E4" w:rsidRPr="00E505D5" w:rsidRDefault="005348E4" w:rsidP="00E505D5">
      <w:pPr>
        <w:spacing w:line="480" w:lineRule="auto"/>
        <w:rPr>
          <w:rFonts w:ascii="Arial Black" w:hAnsi="Arial Black" w:cs="Arial"/>
        </w:rPr>
      </w:pPr>
      <w:r w:rsidRPr="00E505D5">
        <w:rPr>
          <w:rFonts w:ascii="Arial Black" w:hAnsi="Arial Black" w:cs="Arial"/>
        </w:rPr>
        <w:lastRenderedPageBreak/>
        <w:t>Introduction</w:t>
      </w:r>
    </w:p>
    <w:p w14:paraId="17D472BF" w14:textId="77777777" w:rsidR="005348E4" w:rsidRDefault="005348E4" w:rsidP="005348E4">
      <w:pPr>
        <w:spacing w:line="480" w:lineRule="auto"/>
        <w:rPr>
          <w:rFonts w:ascii="Arial" w:hAnsi="Arial" w:cs="Arial"/>
        </w:rPr>
      </w:pPr>
      <w:r w:rsidRPr="005348E4">
        <w:rPr>
          <w:rFonts w:ascii="Arial" w:hAnsi="Arial" w:cs="Arial"/>
        </w:rPr>
        <w:t xml:space="preserve">This report contains analysis of the financial position of Tesco PLC over the last two reporting periods (2022/23, 2023/24) comparing financial metrics using ratio analysis to assess profitability, liquidity, and efficiency. Ratios are calculated on data from Tesco's Annual Reports (2023 and 2024). Using a range of key academic literature (Attrill &amp; McLaney, 2015; Choi &amp; Wang, 2009; Drury, 2020; Olarewaju et al., 2024), we then consider the drivers for changes from year to year, provide recommendations to further improve Tesco's financial performance and position for the future, and finish with a reflection on how ratio analysis provides strategic insight. </w:t>
      </w:r>
    </w:p>
    <w:p w14:paraId="0688E537" w14:textId="77777777" w:rsidR="005348E4" w:rsidRPr="00E505D5" w:rsidRDefault="005348E4" w:rsidP="005348E4">
      <w:pPr>
        <w:spacing w:line="480" w:lineRule="auto"/>
        <w:rPr>
          <w:rFonts w:ascii="Arial Black" w:hAnsi="Arial Black" w:cs="Arial"/>
        </w:rPr>
      </w:pPr>
      <w:r w:rsidRPr="00E505D5">
        <w:rPr>
          <w:rFonts w:ascii="Arial Black" w:hAnsi="Arial Black" w:cs="Arial"/>
        </w:rPr>
        <w:t>Ratio Analysis &amp; Year-on-Year Comparison</w:t>
      </w:r>
    </w:p>
    <w:p w14:paraId="4CCE33D7" w14:textId="77777777" w:rsidR="005348E4" w:rsidRPr="00E505D5" w:rsidRDefault="005348E4" w:rsidP="00E505D5">
      <w:pPr>
        <w:pStyle w:val="ListParagraph"/>
        <w:numPr>
          <w:ilvl w:val="0"/>
          <w:numId w:val="1"/>
        </w:numPr>
        <w:spacing w:line="480" w:lineRule="auto"/>
        <w:rPr>
          <w:rFonts w:ascii="Arial Black" w:hAnsi="Arial Black" w:cs="Arial"/>
        </w:rPr>
      </w:pPr>
      <w:r w:rsidRPr="00E505D5">
        <w:rPr>
          <w:rFonts w:ascii="Arial Black" w:hAnsi="Arial Black" w:cs="Arial"/>
        </w:rPr>
        <w:t>Profitability Ratios</w:t>
      </w:r>
    </w:p>
    <w:p w14:paraId="1DA7962D" w14:textId="77777777" w:rsidR="005348E4" w:rsidRPr="00E505D5" w:rsidRDefault="005348E4" w:rsidP="00E505D5">
      <w:pPr>
        <w:pStyle w:val="ListParagraph"/>
        <w:numPr>
          <w:ilvl w:val="1"/>
          <w:numId w:val="1"/>
        </w:numPr>
        <w:spacing w:line="480" w:lineRule="auto"/>
        <w:rPr>
          <w:rFonts w:ascii="Arial Black" w:hAnsi="Arial Black" w:cs="Arial"/>
        </w:rPr>
      </w:pPr>
      <w:r w:rsidRPr="00E505D5">
        <w:rPr>
          <w:rFonts w:ascii="Arial Black" w:hAnsi="Arial Black" w:cs="Arial"/>
        </w:rPr>
        <w:t>Gross Profit Margin</w:t>
      </w:r>
    </w:p>
    <w:p w14:paraId="26E52540" w14:textId="03A68CDE" w:rsidR="005348E4" w:rsidRPr="00E505D5" w:rsidRDefault="005348E4" w:rsidP="00E505D5">
      <w:pPr>
        <w:spacing w:line="480" w:lineRule="auto"/>
        <w:jc w:val="center"/>
        <w:rPr>
          <w:rFonts w:ascii="Arial Black" w:hAnsi="Arial Black" w:cs="Arial"/>
        </w:rPr>
      </w:pPr>
      <w:r w:rsidRPr="00E505D5">
        <w:rPr>
          <w:rFonts w:ascii="Arial Black" w:hAnsi="Arial Black" w:cs="Arial"/>
        </w:rPr>
        <w:t>GPM</w:t>
      </w:r>
      <w:r w:rsidRPr="00E505D5">
        <w:rPr>
          <w:rFonts w:ascii="Arial Black" w:hAnsi="Arial Black" w:cs="Arial"/>
        </w:rPr>
        <w:t xml:space="preserve"> </w:t>
      </w:r>
      <w:r w:rsidRPr="00E505D5">
        <w:rPr>
          <w:rFonts w:ascii="Arial Black" w:hAnsi="Arial Black" w:cs="Arial"/>
        </w:rPr>
        <w:t>=</w:t>
      </w:r>
      <w:r w:rsidRPr="00E505D5">
        <w:rPr>
          <w:rFonts w:ascii="Arial Black" w:hAnsi="Arial Black" w:cs="Arial"/>
        </w:rPr>
        <w:t xml:space="preserve"> </w:t>
      </w:r>
      <w:r w:rsidRPr="00E505D5">
        <w:rPr>
          <w:rFonts w:ascii="Arial Black" w:hAnsi="Arial Black" w:cs="Arial"/>
        </w:rPr>
        <w:t>Revenue</w:t>
      </w:r>
      <w:r w:rsidRPr="00E505D5">
        <w:rPr>
          <w:rFonts w:ascii="Arial Black" w:hAnsi="Arial Black" w:cs="Arial"/>
        </w:rPr>
        <w:t xml:space="preserve"> </w:t>
      </w:r>
      <w:r w:rsidRPr="00E505D5">
        <w:rPr>
          <w:rFonts w:ascii="Arial Black" w:hAnsi="Arial Black" w:cs="Arial"/>
        </w:rPr>
        <w:t>−</w:t>
      </w:r>
      <w:r w:rsidRPr="00E505D5">
        <w:rPr>
          <w:rFonts w:ascii="Arial Black" w:hAnsi="Arial Black" w:cs="Arial"/>
        </w:rPr>
        <w:t xml:space="preserve"> </w:t>
      </w:r>
      <w:r w:rsidRPr="00E505D5">
        <w:rPr>
          <w:rFonts w:ascii="Arial Black" w:hAnsi="Arial Black" w:cs="Arial"/>
        </w:rPr>
        <w:t>Cost of Sales</w:t>
      </w:r>
      <w:r w:rsidRPr="00E505D5">
        <w:rPr>
          <w:rFonts w:ascii="Arial Black" w:hAnsi="Arial Black" w:cs="Arial"/>
        </w:rPr>
        <w:t xml:space="preserve"> / </w:t>
      </w:r>
      <w:r w:rsidRPr="00E505D5">
        <w:rPr>
          <w:rFonts w:ascii="Arial Black" w:hAnsi="Arial Black" w:cs="Arial"/>
        </w:rPr>
        <w:t>Revenue</w:t>
      </w:r>
      <w:r w:rsidRPr="00E505D5">
        <w:rPr>
          <w:rFonts w:ascii="Arial Black" w:hAnsi="Arial Black" w:cs="Arial"/>
        </w:rPr>
        <w:t xml:space="preserve"> x </w:t>
      </w:r>
      <w:r w:rsidRPr="00E505D5">
        <w:rPr>
          <w:rFonts w:ascii="Arial Black" w:hAnsi="Arial Black" w:cs="Arial"/>
        </w:rPr>
        <w:t>100</w:t>
      </w:r>
    </w:p>
    <w:p w14:paraId="410B3E40" w14:textId="4D4F4446" w:rsidR="005348E4" w:rsidRPr="00E505D5" w:rsidRDefault="005348E4" w:rsidP="00E505D5">
      <w:pPr>
        <w:spacing w:line="480" w:lineRule="auto"/>
        <w:jc w:val="center"/>
        <w:rPr>
          <w:rFonts w:ascii="Arial" w:hAnsi="Arial" w:cs="Arial"/>
        </w:rPr>
      </w:pPr>
      <w:r w:rsidRPr="00E505D5">
        <w:rPr>
          <w:rFonts w:ascii="Arial" w:hAnsi="Arial" w:cs="Arial"/>
        </w:rPr>
        <w:t>2022/23: (£65.788 </w:t>
      </w:r>
      <w:r w:rsidR="00E505D5">
        <w:rPr>
          <w:rFonts w:ascii="Cambria Math" w:hAnsi="Cambria Math" w:cs="Cambria Math"/>
        </w:rPr>
        <w:t>bn</w:t>
      </w:r>
      <w:r w:rsidRPr="00E505D5">
        <w:rPr>
          <w:rFonts w:ascii="Arial" w:hAnsi="Arial" w:cs="Arial"/>
        </w:rPr>
        <w:t xml:space="preserve"> </w:t>
      </w:r>
      <w:r w:rsidRPr="00E505D5">
        <w:rPr>
          <w:rFonts w:ascii="Arial" w:hAnsi="Arial" w:cs="Arial"/>
        </w:rPr>
        <w:t>−</w:t>
      </w:r>
      <w:r w:rsidRPr="00E505D5">
        <w:rPr>
          <w:rFonts w:ascii="Arial" w:hAnsi="Arial" w:cs="Arial"/>
        </w:rPr>
        <w:t xml:space="preserve"> </w:t>
      </w:r>
      <w:r w:rsidRPr="00E505D5">
        <w:rPr>
          <w:rFonts w:ascii="Arial" w:hAnsi="Arial" w:cs="Arial"/>
        </w:rPr>
        <w:t>£50.042</w:t>
      </w:r>
      <w:r w:rsidRPr="00E505D5">
        <w:rPr>
          <w:rFonts w:ascii="Arial" w:hAnsi="Arial" w:cs="Arial"/>
        </w:rPr>
        <w:t xml:space="preserve"> </w:t>
      </w:r>
      <w:r w:rsidR="00E505D5">
        <w:rPr>
          <w:rFonts w:ascii="Cambria Math" w:hAnsi="Cambria Math" w:cs="Cambria Math"/>
        </w:rPr>
        <w:t>bn</w:t>
      </w:r>
      <w:r w:rsidRPr="00E505D5">
        <w:rPr>
          <w:rFonts w:ascii="Arial" w:hAnsi="Arial" w:cs="Arial"/>
        </w:rPr>
        <w:t>)</w:t>
      </w:r>
      <w:r w:rsidRPr="00E505D5">
        <w:rPr>
          <w:rFonts w:ascii="Arial" w:hAnsi="Arial" w:cs="Arial"/>
        </w:rPr>
        <w:t xml:space="preserve"> / </w:t>
      </w:r>
      <w:r w:rsidRPr="00E505D5">
        <w:rPr>
          <w:rFonts w:ascii="Arial" w:hAnsi="Arial" w:cs="Arial"/>
        </w:rPr>
        <w:t>£65.788</w:t>
      </w:r>
      <w:r w:rsidRPr="00E505D5">
        <w:rPr>
          <w:rFonts w:ascii="Arial" w:hAnsi="Arial" w:cs="Arial"/>
        </w:rPr>
        <w:t xml:space="preserve"> </w:t>
      </w:r>
      <w:r w:rsidR="00E505D5" w:rsidRPr="00E505D5">
        <w:rPr>
          <w:rFonts w:ascii="Arial" w:hAnsi="Arial" w:cs="Arial"/>
        </w:rPr>
        <w:t>bn</w:t>
      </w:r>
      <w:r w:rsidRPr="00E505D5">
        <w:rPr>
          <w:rFonts w:ascii="Arial" w:hAnsi="Arial" w:cs="Arial"/>
        </w:rPr>
        <w:t xml:space="preserve"> x </w:t>
      </w:r>
      <w:r w:rsidRPr="00E505D5">
        <w:rPr>
          <w:rFonts w:ascii="Arial" w:hAnsi="Arial" w:cs="Arial"/>
        </w:rPr>
        <w:t>100</w:t>
      </w:r>
      <w:r w:rsidRPr="00E505D5">
        <w:rPr>
          <w:rFonts w:ascii="Arial" w:hAnsi="Arial" w:cs="Arial"/>
        </w:rPr>
        <w:t xml:space="preserve"> = </w:t>
      </w:r>
      <w:r w:rsidRPr="00E505D5">
        <w:rPr>
          <w:rFonts w:ascii="Arial" w:hAnsi="Arial" w:cs="Arial"/>
        </w:rPr>
        <w:t>23.96</w:t>
      </w:r>
      <w:r w:rsidRPr="00E505D5">
        <w:rPr>
          <w:rFonts w:ascii="Arial" w:hAnsi="Arial" w:cs="Arial"/>
        </w:rPr>
        <w:t xml:space="preserve"> </w:t>
      </w:r>
      <w:r w:rsidRPr="00E505D5">
        <w:rPr>
          <w:rFonts w:ascii="Arial" w:hAnsi="Arial" w:cs="Arial"/>
        </w:rPr>
        <w:t>%</w:t>
      </w:r>
    </w:p>
    <w:p w14:paraId="7A165B88" w14:textId="16F4B403" w:rsidR="005348E4" w:rsidRPr="00E505D5" w:rsidRDefault="005348E4" w:rsidP="00E505D5">
      <w:pPr>
        <w:spacing w:line="480" w:lineRule="auto"/>
        <w:jc w:val="center"/>
        <w:rPr>
          <w:rFonts w:ascii="Arial" w:hAnsi="Arial" w:cs="Arial"/>
        </w:rPr>
      </w:pPr>
      <w:r w:rsidRPr="00E505D5">
        <w:rPr>
          <w:rFonts w:ascii="Arial" w:hAnsi="Arial" w:cs="Arial"/>
        </w:rPr>
        <w:t>2023/24: (£68.187 bn</w:t>
      </w:r>
      <w:r w:rsidRPr="00E505D5">
        <w:rPr>
          <w:rFonts w:ascii="Arial" w:hAnsi="Arial" w:cs="Arial"/>
        </w:rPr>
        <w:t xml:space="preserve"> </w:t>
      </w:r>
      <w:r w:rsidRPr="00E505D5">
        <w:rPr>
          <w:rFonts w:ascii="Arial" w:hAnsi="Arial" w:cs="Arial"/>
        </w:rPr>
        <w:t>−</w:t>
      </w:r>
      <w:r w:rsidRPr="00E505D5">
        <w:rPr>
          <w:rFonts w:ascii="Arial" w:hAnsi="Arial" w:cs="Arial"/>
        </w:rPr>
        <w:t xml:space="preserve"> </w:t>
      </w:r>
      <w:r w:rsidRPr="00E505D5">
        <w:rPr>
          <w:rFonts w:ascii="Arial" w:hAnsi="Arial" w:cs="Arial"/>
        </w:rPr>
        <w:t>£51.546 bn)</w:t>
      </w:r>
      <w:r w:rsidRPr="00E505D5">
        <w:rPr>
          <w:rFonts w:ascii="Arial" w:hAnsi="Arial" w:cs="Arial"/>
        </w:rPr>
        <w:t xml:space="preserve"> / </w:t>
      </w:r>
      <w:r w:rsidRPr="00E505D5">
        <w:rPr>
          <w:rFonts w:ascii="Arial" w:hAnsi="Arial" w:cs="Arial"/>
        </w:rPr>
        <w:t>£68.187 </w:t>
      </w:r>
      <w:r w:rsidR="00E505D5" w:rsidRPr="00E505D5">
        <w:rPr>
          <w:rFonts w:ascii="Arial" w:hAnsi="Arial" w:cs="Arial"/>
        </w:rPr>
        <w:t>bn</w:t>
      </w:r>
      <w:r w:rsidRPr="00E505D5">
        <w:rPr>
          <w:rFonts w:ascii="Arial" w:hAnsi="Arial" w:cs="Arial"/>
        </w:rPr>
        <w:t xml:space="preserve"> x </w:t>
      </w:r>
      <w:r w:rsidRPr="00E505D5">
        <w:rPr>
          <w:rFonts w:ascii="Arial" w:hAnsi="Arial" w:cs="Arial"/>
        </w:rPr>
        <w:t>100</w:t>
      </w:r>
      <w:r w:rsidRPr="00E505D5">
        <w:rPr>
          <w:rFonts w:ascii="Arial" w:hAnsi="Arial" w:cs="Arial"/>
        </w:rPr>
        <w:t xml:space="preserve"> = </w:t>
      </w:r>
      <w:r w:rsidRPr="00E505D5">
        <w:rPr>
          <w:rFonts w:ascii="Arial" w:hAnsi="Arial" w:cs="Arial"/>
        </w:rPr>
        <w:t>24.74%</w:t>
      </w:r>
    </w:p>
    <w:p w14:paraId="6BBC5D03" w14:textId="77777777" w:rsidR="005348E4" w:rsidRDefault="005348E4" w:rsidP="005348E4">
      <w:pPr>
        <w:spacing w:line="480" w:lineRule="auto"/>
        <w:rPr>
          <w:rFonts w:ascii="Arial" w:hAnsi="Arial" w:cs="Arial"/>
        </w:rPr>
      </w:pPr>
      <w:r w:rsidRPr="005348E4">
        <w:rPr>
          <w:rFonts w:ascii="Arial" w:hAnsi="Arial" w:cs="Arial"/>
        </w:rPr>
        <w:t>The 0.78-percentage-point improvement reflects tighter purchasing controls and supply-chain efficiencies (Attrill &amp; McLaney, 2015).</w:t>
      </w:r>
    </w:p>
    <w:p w14:paraId="569A0F90" w14:textId="35E6A107" w:rsidR="005348E4" w:rsidRPr="00E505D5" w:rsidRDefault="005348E4" w:rsidP="00E505D5">
      <w:pPr>
        <w:pStyle w:val="ListParagraph"/>
        <w:numPr>
          <w:ilvl w:val="1"/>
          <w:numId w:val="1"/>
        </w:numPr>
        <w:spacing w:line="480" w:lineRule="auto"/>
        <w:rPr>
          <w:rFonts w:ascii="Arial Black" w:hAnsi="Arial Black" w:cs="Arial"/>
        </w:rPr>
      </w:pPr>
      <w:r w:rsidRPr="00E505D5">
        <w:rPr>
          <w:rFonts w:ascii="Arial Black" w:hAnsi="Arial Black" w:cs="Arial"/>
        </w:rPr>
        <w:t>Operating Profit Margin</w:t>
      </w:r>
    </w:p>
    <w:p w14:paraId="0A368F65" w14:textId="37A28F48" w:rsidR="005348E4" w:rsidRPr="00E505D5" w:rsidRDefault="005348E4" w:rsidP="00E505D5">
      <w:pPr>
        <w:spacing w:line="480" w:lineRule="auto"/>
        <w:jc w:val="center"/>
        <w:rPr>
          <w:rFonts w:ascii="Arial Black" w:hAnsi="Arial Black" w:cs="Arial"/>
        </w:rPr>
      </w:pPr>
      <w:r w:rsidRPr="00E505D5">
        <w:rPr>
          <w:rFonts w:ascii="Arial Black" w:hAnsi="Arial Black" w:cs="Arial"/>
        </w:rPr>
        <w:t>OPM</w:t>
      </w:r>
      <w:r w:rsidRPr="00E505D5">
        <w:rPr>
          <w:rFonts w:ascii="Arial Black" w:hAnsi="Arial Black" w:cs="Arial"/>
        </w:rPr>
        <w:t xml:space="preserve"> </w:t>
      </w:r>
      <w:r w:rsidRPr="00E505D5">
        <w:rPr>
          <w:rFonts w:ascii="Arial Black" w:hAnsi="Arial Black" w:cs="Arial"/>
        </w:rPr>
        <w:t>=</w:t>
      </w:r>
      <w:r w:rsidRPr="00E505D5">
        <w:rPr>
          <w:rFonts w:ascii="Arial Black" w:hAnsi="Arial Black" w:cs="Arial"/>
        </w:rPr>
        <w:t xml:space="preserve"> </w:t>
      </w:r>
      <w:r w:rsidRPr="00E505D5">
        <w:rPr>
          <w:rFonts w:ascii="Arial Black" w:hAnsi="Arial Black" w:cs="Arial"/>
        </w:rPr>
        <w:t>Operating Profit</w:t>
      </w:r>
      <w:r w:rsidRPr="00E505D5">
        <w:rPr>
          <w:rFonts w:ascii="Arial Black" w:hAnsi="Arial Black" w:cs="Arial"/>
        </w:rPr>
        <w:t xml:space="preserve"> / </w:t>
      </w:r>
      <w:r w:rsidRPr="00E505D5">
        <w:rPr>
          <w:rFonts w:ascii="Arial Black" w:hAnsi="Arial Black" w:cs="Arial"/>
        </w:rPr>
        <w:t>Revenue</w:t>
      </w:r>
      <w:r w:rsidRPr="00E505D5">
        <w:rPr>
          <w:rFonts w:ascii="Arial Black" w:hAnsi="Arial Black" w:cs="Arial"/>
        </w:rPr>
        <w:t xml:space="preserve"> x </w:t>
      </w:r>
      <w:r w:rsidRPr="00E505D5">
        <w:rPr>
          <w:rFonts w:ascii="Arial Black" w:hAnsi="Arial Black" w:cs="Arial"/>
        </w:rPr>
        <w:t>100</w:t>
      </w:r>
    </w:p>
    <w:p w14:paraId="251C3DD4" w14:textId="507DB79D" w:rsidR="005348E4" w:rsidRPr="005348E4" w:rsidRDefault="005348E4" w:rsidP="00E505D5">
      <w:pPr>
        <w:spacing w:line="480" w:lineRule="auto"/>
        <w:jc w:val="center"/>
        <w:rPr>
          <w:rFonts w:ascii="Arial" w:hAnsi="Arial" w:cs="Arial"/>
        </w:rPr>
      </w:pPr>
      <w:r w:rsidRPr="005348E4">
        <w:rPr>
          <w:rFonts w:ascii="Arial" w:hAnsi="Arial" w:cs="Arial"/>
        </w:rPr>
        <w:t xml:space="preserve">​2022/23: </w:t>
      </w:r>
      <w:r>
        <w:rPr>
          <w:rFonts w:ascii="Arial" w:hAnsi="Arial" w:cs="Arial"/>
        </w:rPr>
        <w:t xml:space="preserve"> </w:t>
      </w:r>
      <w:r w:rsidRPr="005348E4">
        <w:rPr>
          <w:rFonts w:ascii="Arial" w:hAnsi="Arial" w:cs="Arial"/>
        </w:rPr>
        <w:t>£1.525 bn</w:t>
      </w:r>
      <w:r>
        <w:rPr>
          <w:rFonts w:ascii="Arial" w:hAnsi="Arial" w:cs="Arial"/>
        </w:rPr>
        <w:t xml:space="preserve"> / </w:t>
      </w:r>
      <w:r w:rsidRPr="005348E4">
        <w:rPr>
          <w:rFonts w:ascii="Arial" w:hAnsi="Arial" w:cs="Arial"/>
        </w:rPr>
        <w:t>£65.788 bn</w:t>
      </w:r>
      <w:r>
        <w:rPr>
          <w:rFonts w:ascii="Arial" w:hAnsi="Arial" w:cs="Arial"/>
        </w:rPr>
        <w:t xml:space="preserve"> x </w:t>
      </w:r>
      <w:r w:rsidRPr="005348E4">
        <w:rPr>
          <w:rFonts w:ascii="Arial" w:hAnsi="Arial" w:cs="Arial"/>
        </w:rPr>
        <w:t>100</w:t>
      </w:r>
      <w:r>
        <w:rPr>
          <w:rFonts w:ascii="Arial" w:hAnsi="Arial" w:cs="Arial"/>
        </w:rPr>
        <w:t xml:space="preserve"> = </w:t>
      </w:r>
      <w:r w:rsidRPr="005348E4">
        <w:rPr>
          <w:rFonts w:ascii="Arial" w:hAnsi="Arial" w:cs="Arial"/>
        </w:rPr>
        <w:t>2.32%</w:t>
      </w:r>
    </w:p>
    <w:p w14:paraId="25E3F213" w14:textId="77777777" w:rsidR="005348E4" w:rsidRDefault="005348E4" w:rsidP="00E505D5">
      <w:pPr>
        <w:spacing w:line="480" w:lineRule="auto"/>
        <w:jc w:val="center"/>
        <w:rPr>
          <w:rFonts w:ascii="Arial" w:hAnsi="Arial" w:cs="Arial"/>
        </w:rPr>
      </w:pPr>
      <w:r w:rsidRPr="005348E4">
        <w:rPr>
          <w:rFonts w:ascii="Arial" w:hAnsi="Arial" w:cs="Arial"/>
        </w:rPr>
        <w:lastRenderedPageBreak/>
        <w:t>2023/24: £2.821 bn</w:t>
      </w:r>
      <w:r>
        <w:rPr>
          <w:rFonts w:ascii="Arial" w:hAnsi="Arial" w:cs="Arial"/>
        </w:rPr>
        <w:t xml:space="preserve"> / </w:t>
      </w:r>
      <w:r w:rsidRPr="005348E4">
        <w:rPr>
          <w:rFonts w:ascii="Arial" w:hAnsi="Arial" w:cs="Arial"/>
        </w:rPr>
        <w:t>£68.187 bn</w:t>
      </w:r>
      <w:r>
        <w:rPr>
          <w:rFonts w:ascii="Arial" w:hAnsi="Arial" w:cs="Arial"/>
        </w:rPr>
        <w:t xml:space="preserve"> x </w:t>
      </w:r>
      <w:r w:rsidRPr="005348E4">
        <w:rPr>
          <w:rFonts w:ascii="Arial" w:hAnsi="Arial" w:cs="Arial"/>
        </w:rPr>
        <w:t>100</w:t>
      </w:r>
      <w:r>
        <w:rPr>
          <w:rFonts w:ascii="Arial" w:hAnsi="Arial" w:cs="Arial"/>
        </w:rPr>
        <w:t xml:space="preserve"> = </w:t>
      </w:r>
      <w:r w:rsidRPr="005348E4">
        <w:rPr>
          <w:rFonts w:ascii="Arial" w:hAnsi="Arial" w:cs="Arial"/>
        </w:rPr>
        <w:t>4.14%</w:t>
      </w:r>
    </w:p>
    <w:p w14:paraId="018B1E4B" w14:textId="6591CFF6" w:rsidR="005348E4" w:rsidRPr="005348E4" w:rsidRDefault="005348E4" w:rsidP="005348E4">
      <w:pPr>
        <w:spacing w:line="480" w:lineRule="auto"/>
        <w:rPr>
          <w:rFonts w:ascii="Arial" w:hAnsi="Arial" w:cs="Arial"/>
        </w:rPr>
      </w:pPr>
      <w:r w:rsidRPr="005348E4">
        <w:rPr>
          <w:rFonts w:ascii="Arial" w:hAnsi="Arial" w:cs="Arial"/>
        </w:rPr>
        <w:t>A substantial rise, driven by disciplined cost management (zero-based budgeting) and strategic price investments (Drury, 2020).</w:t>
      </w:r>
    </w:p>
    <w:p w14:paraId="4AC1EC93" w14:textId="77777777" w:rsidR="005348E4" w:rsidRPr="002749F2" w:rsidRDefault="005348E4" w:rsidP="005348E4">
      <w:pPr>
        <w:spacing w:line="480" w:lineRule="auto"/>
        <w:rPr>
          <w:rFonts w:ascii="Arial Black" w:hAnsi="Arial Black" w:cs="Arial"/>
        </w:rPr>
      </w:pPr>
      <w:r w:rsidRPr="002749F2">
        <w:rPr>
          <w:rFonts w:ascii="Arial Black" w:hAnsi="Arial Black" w:cs="Arial"/>
        </w:rPr>
        <w:t>Profit Before Tax (PBT) Margin</w:t>
      </w:r>
    </w:p>
    <w:p w14:paraId="20C96819" w14:textId="6CF51230" w:rsidR="005348E4" w:rsidRPr="002749F2" w:rsidRDefault="005348E4" w:rsidP="002749F2">
      <w:pPr>
        <w:spacing w:line="480" w:lineRule="auto"/>
        <w:jc w:val="center"/>
        <w:rPr>
          <w:rFonts w:ascii="Arial Black" w:hAnsi="Arial Black" w:cs="Arial"/>
        </w:rPr>
      </w:pPr>
      <w:r w:rsidRPr="002749F2">
        <w:rPr>
          <w:rFonts w:ascii="Arial Black" w:hAnsi="Arial Black" w:cs="Arial"/>
        </w:rPr>
        <w:t>PBTM</w:t>
      </w:r>
      <w:r w:rsidRPr="002749F2">
        <w:rPr>
          <w:rFonts w:ascii="Arial Black" w:hAnsi="Arial Black" w:cs="Arial"/>
        </w:rPr>
        <w:t xml:space="preserve"> </w:t>
      </w:r>
      <w:r w:rsidRPr="002749F2">
        <w:rPr>
          <w:rFonts w:ascii="Arial Black" w:hAnsi="Arial Black" w:cs="Arial"/>
        </w:rPr>
        <w:t>=</w:t>
      </w:r>
      <w:r w:rsidRPr="002749F2">
        <w:rPr>
          <w:rFonts w:ascii="Arial Black" w:hAnsi="Arial Black" w:cs="Arial"/>
        </w:rPr>
        <w:t xml:space="preserve"> </w:t>
      </w:r>
      <w:r w:rsidRPr="002749F2">
        <w:rPr>
          <w:rFonts w:ascii="Arial Black" w:hAnsi="Arial Black" w:cs="Arial"/>
        </w:rPr>
        <w:t>Profit Before Tax</w:t>
      </w:r>
      <w:r w:rsidRPr="002749F2">
        <w:rPr>
          <w:rFonts w:ascii="Arial Black" w:hAnsi="Arial Black" w:cs="Arial"/>
        </w:rPr>
        <w:t xml:space="preserve"> / </w:t>
      </w:r>
      <w:r w:rsidRPr="002749F2">
        <w:rPr>
          <w:rFonts w:ascii="Arial Black" w:hAnsi="Arial Black" w:cs="Arial"/>
        </w:rPr>
        <w:t>Revenue</w:t>
      </w:r>
      <w:r w:rsidRPr="002749F2">
        <w:rPr>
          <w:rFonts w:ascii="Arial Black" w:hAnsi="Arial Black" w:cs="Arial"/>
        </w:rPr>
        <w:t xml:space="preserve"> x </w:t>
      </w:r>
      <w:r w:rsidRPr="002749F2">
        <w:rPr>
          <w:rFonts w:ascii="Arial Black" w:hAnsi="Arial Black" w:cs="Arial"/>
        </w:rPr>
        <w:t>100</w:t>
      </w:r>
    </w:p>
    <w:p w14:paraId="6F0AB71F" w14:textId="759BC763" w:rsidR="005348E4" w:rsidRPr="005348E4" w:rsidRDefault="005348E4" w:rsidP="002749F2">
      <w:pPr>
        <w:spacing w:line="480" w:lineRule="auto"/>
        <w:jc w:val="center"/>
        <w:rPr>
          <w:rFonts w:ascii="Arial" w:hAnsi="Arial" w:cs="Arial"/>
        </w:rPr>
      </w:pPr>
      <w:r w:rsidRPr="005348E4">
        <w:rPr>
          <w:rFonts w:ascii="Arial" w:hAnsi="Arial" w:cs="Arial"/>
        </w:rPr>
        <w:t>2022/23: £1.000 bn</w:t>
      </w:r>
      <w:r>
        <w:rPr>
          <w:rFonts w:ascii="Arial" w:hAnsi="Arial" w:cs="Arial"/>
        </w:rPr>
        <w:t xml:space="preserve"> / </w:t>
      </w:r>
      <w:r w:rsidRPr="005348E4">
        <w:rPr>
          <w:rFonts w:ascii="Arial" w:hAnsi="Arial" w:cs="Arial"/>
        </w:rPr>
        <w:t>£65.788 bn</w:t>
      </w:r>
      <w:r>
        <w:rPr>
          <w:rFonts w:ascii="Arial" w:hAnsi="Arial" w:cs="Arial"/>
        </w:rPr>
        <w:t xml:space="preserve"> x </w:t>
      </w:r>
      <w:r w:rsidRPr="005348E4">
        <w:rPr>
          <w:rFonts w:ascii="Arial" w:hAnsi="Arial" w:cs="Arial"/>
        </w:rPr>
        <w:t>100</w:t>
      </w:r>
      <w:r>
        <w:rPr>
          <w:rFonts w:ascii="Arial" w:hAnsi="Arial" w:cs="Arial"/>
        </w:rPr>
        <w:t xml:space="preserve"> x </w:t>
      </w:r>
      <w:r w:rsidRPr="005348E4">
        <w:rPr>
          <w:rFonts w:ascii="Arial" w:hAnsi="Arial" w:cs="Arial"/>
        </w:rPr>
        <w:t>1.52%</w:t>
      </w:r>
    </w:p>
    <w:p w14:paraId="7D0B0BC6" w14:textId="31EEB381" w:rsidR="005348E4" w:rsidRPr="005348E4" w:rsidRDefault="005348E4" w:rsidP="002749F2">
      <w:pPr>
        <w:spacing w:line="480" w:lineRule="auto"/>
        <w:jc w:val="center"/>
        <w:rPr>
          <w:rFonts w:ascii="Arial" w:hAnsi="Arial" w:cs="Arial"/>
        </w:rPr>
      </w:pPr>
      <w:r w:rsidRPr="005348E4">
        <w:rPr>
          <w:rFonts w:ascii="Arial" w:hAnsi="Arial" w:cs="Arial"/>
        </w:rPr>
        <w:t>2023/24: £2.289 bn</w:t>
      </w:r>
      <w:r>
        <w:rPr>
          <w:rFonts w:ascii="Arial" w:hAnsi="Arial" w:cs="Arial"/>
        </w:rPr>
        <w:t xml:space="preserve"> / </w:t>
      </w:r>
      <w:r w:rsidRPr="005348E4">
        <w:rPr>
          <w:rFonts w:ascii="Arial" w:hAnsi="Arial" w:cs="Arial"/>
        </w:rPr>
        <w:t>£68.187 bn</w:t>
      </w:r>
      <w:r>
        <w:rPr>
          <w:rFonts w:ascii="Arial" w:hAnsi="Arial" w:cs="Arial"/>
        </w:rPr>
        <w:t xml:space="preserve"> x </w:t>
      </w:r>
      <w:r w:rsidRPr="005348E4">
        <w:rPr>
          <w:rFonts w:ascii="Arial" w:hAnsi="Arial" w:cs="Arial"/>
        </w:rPr>
        <w:t>100</w:t>
      </w:r>
      <w:r>
        <w:rPr>
          <w:rFonts w:ascii="Arial" w:hAnsi="Arial" w:cs="Arial"/>
        </w:rPr>
        <w:t xml:space="preserve"> = </w:t>
      </w:r>
      <w:r w:rsidRPr="005348E4">
        <w:rPr>
          <w:rFonts w:ascii="Arial" w:hAnsi="Arial" w:cs="Arial"/>
        </w:rPr>
        <w:t>3.36%</w:t>
      </w:r>
    </w:p>
    <w:p w14:paraId="2BCFB865" w14:textId="23FB5E1C" w:rsidR="005348E4" w:rsidRPr="005348E4" w:rsidRDefault="005348E4" w:rsidP="005348E4">
      <w:pPr>
        <w:spacing w:line="480" w:lineRule="auto"/>
        <w:rPr>
          <w:rFonts w:ascii="Arial" w:hAnsi="Arial" w:cs="Arial"/>
        </w:rPr>
      </w:pPr>
      <w:r w:rsidRPr="005348E4">
        <w:rPr>
          <w:rFonts w:ascii="Arial" w:hAnsi="Arial" w:cs="Arial"/>
        </w:rPr>
        <w:t>More than double, reflecting both operational gains and one-off disposals (e.g., Tesco Bank)</w:t>
      </w:r>
      <w:r w:rsidR="00E505D5">
        <w:rPr>
          <w:rFonts w:ascii="Arial" w:hAnsi="Arial" w:cs="Arial"/>
        </w:rPr>
        <w:t>.</w:t>
      </w:r>
    </w:p>
    <w:p w14:paraId="24473B38" w14:textId="77777777" w:rsidR="005348E4" w:rsidRPr="002749F2" w:rsidRDefault="005348E4" w:rsidP="002749F2">
      <w:pPr>
        <w:pStyle w:val="ListParagraph"/>
        <w:numPr>
          <w:ilvl w:val="0"/>
          <w:numId w:val="1"/>
        </w:numPr>
        <w:spacing w:line="480" w:lineRule="auto"/>
        <w:rPr>
          <w:rFonts w:ascii="Arial Black" w:hAnsi="Arial Black" w:cs="Arial"/>
        </w:rPr>
      </w:pPr>
      <w:r w:rsidRPr="002749F2">
        <w:rPr>
          <w:rFonts w:ascii="Arial Black" w:hAnsi="Arial Black" w:cs="Arial"/>
        </w:rPr>
        <w:t>Liquidity Ratios</w:t>
      </w:r>
    </w:p>
    <w:p w14:paraId="5BB79727" w14:textId="77777777" w:rsidR="005348E4" w:rsidRPr="002749F2" w:rsidRDefault="005348E4" w:rsidP="002749F2">
      <w:pPr>
        <w:pStyle w:val="ListParagraph"/>
        <w:numPr>
          <w:ilvl w:val="1"/>
          <w:numId w:val="1"/>
        </w:numPr>
        <w:spacing w:line="480" w:lineRule="auto"/>
        <w:rPr>
          <w:rFonts w:ascii="Arial Black" w:hAnsi="Arial Black" w:cs="Arial"/>
        </w:rPr>
      </w:pPr>
      <w:r w:rsidRPr="002749F2">
        <w:rPr>
          <w:rFonts w:ascii="Arial Black" w:hAnsi="Arial Black" w:cs="Arial"/>
        </w:rPr>
        <w:t>Current Ratio</w:t>
      </w:r>
    </w:p>
    <w:p w14:paraId="291CB6C4" w14:textId="32637BF6" w:rsidR="005348E4" w:rsidRPr="002749F2" w:rsidRDefault="005348E4" w:rsidP="002749F2">
      <w:pPr>
        <w:spacing w:line="480" w:lineRule="auto"/>
        <w:jc w:val="center"/>
        <w:rPr>
          <w:rFonts w:ascii="Arial Black" w:hAnsi="Arial Black" w:cs="Arial"/>
        </w:rPr>
      </w:pPr>
      <w:r w:rsidRPr="002749F2">
        <w:rPr>
          <w:rFonts w:ascii="Arial Black" w:hAnsi="Arial Black" w:cs="Arial"/>
        </w:rPr>
        <w:t>CR</w:t>
      </w:r>
      <w:r w:rsidR="00E505D5" w:rsidRPr="002749F2">
        <w:rPr>
          <w:rFonts w:ascii="Arial Black" w:hAnsi="Arial Black" w:cs="Arial"/>
        </w:rPr>
        <w:t xml:space="preserve"> </w:t>
      </w:r>
      <w:r w:rsidRPr="002749F2">
        <w:rPr>
          <w:rFonts w:ascii="Arial Black" w:hAnsi="Arial Black" w:cs="Arial"/>
        </w:rPr>
        <w:t>=</w:t>
      </w:r>
      <w:r w:rsidR="00E505D5" w:rsidRPr="002749F2">
        <w:rPr>
          <w:rFonts w:ascii="Arial Black" w:hAnsi="Arial Black" w:cs="Arial"/>
        </w:rPr>
        <w:t xml:space="preserve"> </w:t>
      </w:r>
      <w:r w:rsidRPr="002749F2">
        <w:rPr>
          <w:rFonts w:ascii="Arial Black" w:hAnsi="Arial Black" w:cs="Arial"/>
        </w:rPr>
        <w:t>Current Assets</w:t>
      </w:r>
      <w:r w:rsidR="00E505D5" w:rsidRPr="002749F2">
        <w:rPr>
          <w:rFonts w:ascii="Arial Black" w:hAnsi="Arial Black" w:cs="Arial"/>
        </w:rPr>
        <w:t xml:space="preserve"> / </w:t>
      </w:r>
      <w:r w:rsidRPr="002749F2">
        <w:rPr>
          <w:rFonts w:ascii="Arial Black" w:hAnsi="Arial Black" w:cs="Arial"/>
        </w:rPr>
        <w:t>Current Liabilities</w:t>
      </w:r>
    </w:p>
    <w:p w14:paraId="491DB5DF" w14:textId="5DEFE9BF" w:rsidR="005348E4" w:rsidRPr="005348E4" w:rsidRDefault="005348E4" w:rsidP="002749F2">
      <w:pPr>
        <w:spacing w:line="480" w:lineRule="auto"/>
        <w:jc w:val="center"/>
        <w:rPr>
          <w:rFonts w:ascii="Arial" w:hAnsi="Arial" w:cs="Arial"/>
        </w:rPr>
      </w:pPr>
      <w:r w:rsidRPr="005348E4">
        <w:rPr>
          <w:rFonts w:ascii="Arial" w:hAnsi="Arial" w:cs="Arial"/>
        </w:rPr>
        <w:t>​2022/23: £12.515 bn</w:t>
      </w:r>
      <w:r w:rsidR="00E505D5">
        <w:rPr>
          <w:rFonts w:ascii="Arial" w:hAnsi="Arial" w:cs="Arial"/>
        </w:rPr>
        <w:t xml:space="preserve"> / </w:t>
      </w:r>
      <w:r w:rsidRPr="005348E4">
        <w:rPr>
          <w:rFonts w:ascii="Arial" w:hAnsi="Arial" w:cs="Arial"/>
        </w:rPr>
        <w:t>£17.721 bn</w:t>
      </w:r>
      <w:r w:rsidR="00E505D5">
        <w:rPr>
          <w:rFonts w:ascii="Arial" w:hAnsi="Arial" w:cs="Arial"/>
        </w:rPr>
        <w:t xml:space="preserve"> = </w:t>
      </w:r>
      <w:r w:rsidRPr="005348E4">
        <w:rPr>
          <w:rFonts w:ascii="Arial" w:hAnsi="Arial" w:cs="Arial"/>
        </w:rPr>
        <w:t>0.71</w:t>
      </w:r>
    </w:p>
    <w:p w14:paraId="79303C47" w14:textId="3472FD5F" w:rsidR="005348E4" w:rsidRPr="005348E4" w:rsidRDefault="005348E4" w:rsidP="002749F2">
      <w:pPr>
        <w:spacing w:line="480" w:lineRule="auto"/>
        <w:jc w:val="center"/>
        <w:rPr>
          <w:rFonts w:ascii="Arial" w:hAnsi="Arial" w:cs="Arial"/>
        </w:rPr>
      </w:pPr>
      <w:r w:rsidRPr="005348E4">
        <w:rPr>
          <w:rFonts w:ascii="Arial" w:hAnsi="Arial" w:cs="Arial"/>
        </w:rPr>
        <w:t>2023/24: £8.823 bn</w:t>
      </w:r>
      <w:r w:rsidR="00E505D5">
        <w:rPr>
          <w:rFonts w:ascii="Arial" w:hAnsi="Arial" w:cs="Arial"/>
        </w:rPr>
        <w:t xml:space="preserve"> / </w:t>
      </w:r>
      <w:r w:rsidRPr="005348E4">
        <w:rPr>
          <w:rFonts w:ascii="Arial" w:hAnsi="Arial" w:cs="Arial"/>
        </w:rPr>
        <w:t>£13.350 bn</w:t>
      </w:r>
      <w:r w:rsidR="00E505D5">
        <w:rPr>
          <w:rFonts w:ascii="Arial" w:hAnsi="Arial" w:cs="Arial"/>
        </w:rPr>
        <w:t xml:space="preserve"> = </w:t>
      </w:r>
      <w:r w:rsidRPr="005348E4">
        <w:rPr>
          <w:rFonts w:ascii="Arial" w:hAnsi="Arial" w:cs="Arial"/>
        </w:rPr>
        <w:t>0.66</w:t>
      </w:r>
    </w:p>
    <w:p w14:paraId="7B62E42D" w14:textId="77777777" w:rsidR="005348E4" w:rsidRPr="002749F2" w:rsidRDefault="005348E4" w:rsidP="002749F2">
      <w:pPr>
        <w:pStyle w:val="ListParagraph"/>
        <w:numPr>
          <w:ilvl w:val="1"/>
          <w:numId w:val="1"/>
        </w:numPr>
        <w:spacing w:line="480" w:lineRule="auto"/>
        <w:rPr>
          <w:rFonts w:ascii="Arial Black" w:hAnsi="Arial Black" w:cs="Arial"/>
        </w:rPr>
      </w:pPr>
      <w:r w:rsidRPr="002749F2">
        <w:rPr>
          <w:rFonts w:ascii="Arial Black" w:hAnsi="Arial Black" w:cs="Arial"/>
        </w:rPr>
        <w:t>Quick Ratio</w:t>
      </w:r>
    </w:p>
    <w:p w14:paraId="164B8448" w14:textId="20861354" w:rsidR="005348E4" w:rsidRPr="002749F2" w:rsidRDefault="005348E4" w:rsidP="002749F2">
      <w:pPr>
        <w:spacing w:line="480" w:lineRule="auto"/>
        <w:jc w:val="center"/>
        <w:rPr>
          <w:rFonts w:ascii="Arial Black" w:hAnsi="Arial Black" w:cs="Arial"/>
        </w:rPr>
      </w:pPr>
      <w:r w:rsidRPr="002749F2">
        <w:rPr>
          <w:rFonts w:ascii="Arial Black" w:hAnsi="Arial Black" w:cs="Arial"/>
        </w:rPr>
        <w:t>QR</w:t>
      </w:r>
      <w:r w:rsidR="00E505D5" w:rsidRPr="002749F2">
        <w:rPr>
          <w:rFonts w:ascii="Arial Black" w:hAnsi="Arial Black" w:cs="Arial"/>
        </w:rPr>
        <w:t xml:space="preserve"> = </w:t>
      </w:r>
      <w:r w:rsidRPr="002749F2">
        <w:rPr>
          <w:rFonts w:ascii="Arial Black" w:hAnsi="Arial Black" w:cs="Arial"/>
        </w:rPr>
        <w:t>Current Assets</w:t>
      </w:r>
      <w:r w:rsidR="00E505D5" w:rsidRPr="002749F2">
        <w:rPr>
          <w:rFonts w:ascii="Arial Black" w:hAnsi="Arial Black" w:cs="Arial"/>
        </w:rPr>
        <w:t xml:space="preserve"> – </w:t>
      </w:r>
      <w:r w:rsidRPr="002749F2">
        <w:rPr>
          <w:rFonts w:ascii="Arial Black" w:hAnsi="Arial Black" w:cs="Arial"/>
        </w:rPr>
        <w:t>Inventories</w:t>
      </w:r>
      <w:r w:rsidR="00E505D5" w:rsidRPr="002749F2">
        <w:rPr>
          <w:rFonts w:ascii="Arial Black" w:hAnsi="Arial Black" w:cs="Arial"/>
        </w:rPr>
        <w:t xml:space="preserve"> / </w:t>
      </w:r>
      <w:r w:rsidRPr="002749F2">
        <w:rPr>
          <w:rFonts w:ascii="Arial Black" w:hAnsi="Arial Black" w:cs="Arial"/>
        </w:rPr>
        <w:t>Current Liabilities</w:t>
      </w:r>
    </w:p>
    <w:p w14:paraId="53DAE37C" w14:textId="663DF754" w:rsidR="005348E4" w:rsidRPr="005348E4" w:rsidRDefault="005348E4" w:rsidP="002749F2">
      <w:pPr>
        <w:spacing w:line="480" w:lineRule="auto"/>
        <w:jc w:val="center"/>
        <w:rPr>
          <w:rFonts w:ascii="Arial" w:hAnsi="Arial" w:cs="Arial"/>
        </w:rPr>
      </w:pPr>
      <w:r w:rsidRPr="005348E4">
        <w:rPr>
          <w:rFonts w:ascii="Arial" w:hAnsi="Arial" w:cs="Arial"/>
        </w:rPr>
        <w:t>​2022/23: (£12.515 bn−£2.510 </w:t>
      </w:r>
      <w:r w:rsidR="00E505D5" w:rsidRPr="005348E4">
        <w:rPr>
          <w:rFonts w:ascii="Arial" w:hAnsi="Arial" w:cs="Arial"/>
        </w:rPr>
        <w:t xml:space="preserve">bn) </w:t>
      </w:r>
      <w:r w:rsidR="00E505D5">
        <w:rPr>
          <w:rFonts w:ascii="Arial" w:hAnsi="Arial" w:cs="Arial"/>
        </w:rPr>
        <w:t xml:space="preserve">/ </w:t>
      </w:r>
      <w:r w:rsidRPr="005348E4">
        <w:rPr>
          <w:rFonts w:ascii="Arial" w:hAnsi="Arial" w:cs="Arial"/>
        </w:rPr>
        <w:t>£17.721 bn</w:t>
      </w:r>
      <w:r w:rsidR="00E505D5">
        <w:rPr>
          <w:rFonts w:ascii="Arial" w:hAnsi="Arial" w:cs="Arial"/>
        </w:rPr>
        <w:t xml:space="preserve"> = </w:t>
      </w:r>
      <w:r w:rsidRPr="005348E4">
        <w:rPr>
          <w:rFonts w:ascii="Arial" w:hAnsi="Arial" w:cs="Arial"/>
        </w:rPr>
        <w:t>0.56</w:t>
      </w:r>
    </w:p>
    <w:p w14:paraId="301FD65A" w14:textId="418C430F" w:rsidR="005348E4" w:rsidRPr="005348E4" w:rsidRDefault="005348E4" w:rsidP="002749F2">
      <w:pPr>
        <w:spacing w:line="480" w:lineRule="auto"/>
        <w:jc w:val="center"/>
        <w:rPr>
          <w:rFonts w:ascii="Arial" w:hAnsi="Arial" w:cs="Arial"/>
        </w:rPr>
      </w:pPr>
      <w:r w:rsidRPr="005348E4">
        <w:rPr>
          <w:rFonts w:ascii="Arial" w:hAnsi="Arial" w:cs="Arial"/>
        </w:rPr>
        <w:t>2023/24: (£8.823 bn−£2.635 </w:t>
      </w:r>
      <w:r w:rsidR="00E505D5" w:rsidRPr="005348E4">
        <w:rPr>
          <w:rFonts w:ascii="Arial" w:hAnsi="Arial" w:cs="Arial"/>
        </w:rPr>
        <w:t xml:space="preserve">bn) </w:t>
      </w:r>
      <w:r w:rsidR="00E505D5">
        <w:rPr>
          <w:rFonts w:ascii="Arial" w:hAnsi="Arial" w:cs="Arial"/>
        </w:rPr>
        <w:t xml:space="preserve">/ </w:t>
      </w:r>
      <w:r w:rsidRPr="005348E4">
        <w:rPr>
          <w:rFonts w:ascii="Arial" w:hAnsi="Arial" w:cs="Arial"/>
        </w:rPr>
        <w:t>£13.350 bn</w:t>
      </w:r>
      <w:r w:rsidR="00E505D5">
        <w:rPr>
          <w:rFonts w:ascii="Arial" w:hAnsi="Arial" w:cs="Arial"/>
        </w:rPr>
        <w:t xml:space="preserve"> = </w:t>
      </w:r>
      <w:r w:rsidRPr="005348E4">
        <w:rPr>
          <w:rFonts w:ascii="Arial" w:hAnsi="Arial" w:cs="Arial"/>
        </w:rPr>
        <w:t>0.46</w:t>
      </w:r>
    </w:p>
    <w:p w14:paraId="4E65951C" w14:textId="77777777" w:rsidR="005348E4" w:rsidRPr="005348E4" w:rsidRDefault="005348E4" w:rsidP="005348E4">
      <w:pPr>
        <w:spacing w:line="480" w:lineRule="auto"/>
        <w:rPr>
          <w:rFonts w:ascii="Arial" w:hAnsi="Arial" w:cs="Arial"/>
        </w:rPr>
      </w:pPr>
      <w:r w:rsidRPr="005348E4">
        <w:rPr>
          <w:rFonts w:ascii="Arial" w:hAnsi="Arial" w:cs="Arial"/>
        </w:rPr>
        <w:lastRenderedPageBreak/>
        <w:t>Both ratios remain below 1.0, signalling reliance on inventories to meet obligations and indicating the need for enhanced cash-flow forecasting and tighter payables management (Lucey, 2009).</w:t>
      </w:r>
    </w:p>
    <w:p w14:paraId="2DC1552C" w14:textId="77777777" w:rsidR="005348E4" w:rsidRPr="002749F2" w:rsidRDefault="005348E4" w:rsidP="002749F2">
      <w:pPr>
        <w:pStyle w:val="ListParagraph"/>
        <w:numPr>
          <w:ilvl w:val="0"/>
          <w:numId w:val="1"/>
        </w:numPr>
        <w:spacing w:line="480" w:lineRule="auto"/>
        <w:rPr>
          <w:rFonts w:ascii="Arial Black" w:hAnsi="Arial Black" w:cs="Arial"/>
        </w:rPr>
      </w:pPr>
      <w:r w:rsidRPr="002749F2">
        <w:rPr>
          <w:rFonts w:ascii="Arial Black" w:hAnsi="Arial Black" w:cs="Arial"/>
        </w:rPr>
        <w:t>Efficiency Ratios</w:t>
      </w:r>
    </w:p>
    <w:p w14:paraId="6CED3D04" w14:textId="77777777" w:rsidR="005348E4" w:rsidRPr="002749F2" w:rsidRDefault="005348E4" w:rsidP="002749F2">
      <w:pPr>
        <w:pStyle w:val="ListParagraph"/>
        <w:numPr>
          <w:ilvl w:val="1"/>
          <w:numId w:val="1"/>
        </w:numPr>
        <w:spacing w:line="480" w:lineRule="auto"/>
        <w:rPr>
          <w:rFonts w:ascii="Arial Black" w:hAnsi="Arial Black" w:cs="Arial"/>
        </w:rPr>
      </w:pPr>
      <w:r w:rsidRPr="002749F2">
        <w:rPr>
          <w:rFonts w:ascii="Arial Black" w:hAnsi="Arial Black" w:cs="Arial"/>
        </w:rPr>
        <w:t>Inventory Turnover</w:t>
      </w:r>
    </w:p>
    <w:p w14:paraId="135CD8C7" w14:textId="0BD0DB77" w:rsidR="005348E4" w:rsidRPr="00E505D5" w:rsidRDefault="005348E4" w:rsidP="00E505D5">
      <w:pPr>
        <w:spacing w:line="480" w:lineRule="auto"/>
        <w:jc w:val="center"/>
        <w:rPr>
          <w:rFonts w:ascii="Arial Black" w:hAnsi="Arial Black" w:cs="Arial"/>
        </w:rPr>
      </w:pPr>
      <w:r w:rsidRPr="00E505D5">
        <w:rPr>
          <w:rFonts w:ascii="Arial Black" w:hAnsi="Arial Black" w:cs="Arial"/>
        </w:rPr>
        <w:t>ITR</w:t>
      </w:r>
      <w:r w:rsidR="00E505D5" w:rsidRPr="00E505D5">
        <w:rPr>
          <w:rFonts w:ascii="Arial Black" w:hAnsi="Arial Black" w:cs="Arial"/>
        </w:rPr>
        <w:t xml:space="preserve"> </w:t>
      </w:r>
      <w:r w:rsidRPr="00E505D5">
        <w:rPr>
          <w:rFonts w:ascii="Arial Black" w:hAnsi="Arial Black" w:cs="Arial"/>
        </w:rPr>
        <w:t>=</w:t>
      </w:r>
      <w:r w:rsidR="00E505D5" w:rsidRPr="00E505D5">
        <w:rPr>
          <w:rFonts w:ascii="Arial Black" w:hAnsi="Arial Black" w:cs="Arial"/>
        </w:rPr>
        <w:t xml:space="preserve"> </w:t>
      </w:r>
      <w:r w:rsidRPr="00E505D5">
        <w:rPr>
          <w:rFonts w:ascii="Arial Black" w:hAnsi="Arial Black" w:cs="Arial"/>
        </w:rPr>
        <w:t>Cost of Sales</w:t>
      </w:r>
      <w:r w:rsidR="00E505D5" w:rsidRPr="00E505D5">
        <w:rPr>
          <w:rFonts w:ascii="Arial Black" w:hAnsi="Arial Black" w:cs="Arial"/>
        </w:rPr>
        <w:t xml:space="preserve"> / </w:t>
      </w:r>
      <w:r w:rsidRPr="00E505D5">
        <w:rPr>
          <w:rFonts w:ascii="Arial Black" w:hAnsi="Arial Black" w:cs="Arial"/>
        </w:rPr>
        <w:t>Average Inventory</w:t>
      </w:r>
    </w:p>
    <w:p w14:paraId="5D401255" w14:textId="114B97D7" w:rsidR="005348E4" w:rsidRPr="005348E4" w:rsidRDefault="005348E4" w:rsidP="00E505D5">
      <w:pPr>
        <w:spacing w:line="480" w:lineRule="auto"/>
        <w:jc w:val="center"/>
        <w:rPr>
          <w:rFonts w:ascii="Arial" w:hAnsi="Arial" w:cs="Arial"/>
        </w:rPr>
      </w:pPr>
      <w:r w:rsidRPr="005348E4">
        <w:rPr>
          <w:rFonts w:ascii="Arial" w:hAnsi="Arial" w:cs="Arial"/>
        </w:rPr>
        <w:t>2022/23: £50.042 bn</w:t>
      </w:r>
      <w:r w:rsidR="00E505D5">
        <w:rPr>
          <w:rFonts w:ascii="Arial" w:hAnsi="Arial" w:cs="Arial"/>
        </w:rPr>
        <w:t xml:space="preserve"> / </w:t>
      </w:r>
      <w:r w:rsidR="00E505D5" w:rsidRPr="005348E4">
        <w:rPr>
          <w:rFonts w:ascii="Arial" w:hAnsi="Arial" w:cs="Arial"/>
        </w:rPr>
        <w:t>[</w:t>
      </w:r>
      <w:r w:rsidRPr="005348E4">
        <w:rPr>
          <w:rFonts w:ascii="Arial" w:hAnsi="Arial" w:cs="Arial"/>
        </w:rPr>
        <w:t>(£2.510 bn+£2.339 bn)/</w:t>
      </w:r>
      <w:r w:rsidR="00E505D5" w:rsidRPr="005348E4">
        <w:rPr>
          <w:rFonts w:ascii="Arial" w:hAnsi="Arial" w:cs="Arial"/>
        </w:rPr>
        <w:t xml:space="preserve">2] </w:t>
      </w:r>
      <w:r w:rsidR="00E505D5">
        <w:rPr>
          <w:rFonts w:ascii="Arial" w:hAnsi="Arial" w:cs="Arial"/>
        </w:rPr>
        <w:t xml:space="preserve">= </w:t>
      </w:r>
      <w:r w:rsidRPr="005348E4">
        <w:rPr>
          <w:rFonts w:ascii="Arial" w:hAnsi="Arial" w:cs="Arial"/>
        </w:rPr>
        <w:t>20.64</w:t>
      </w:r>
      <w:r w:rsidR="00E505D5">
        <w:rPr>
          <w:rFonts w:ascii="Arial" w:hAnsi="Arial" w:cs="Arial"/>
        </w:rPr>
        <w:t xml:space="preserve"> x</w:t>
      </w:r>
    </w:p>
    <w:p w14:paraId="468B0CEA" w14:textId="27417464" w:rsidR="005348E4" w:rsidRPr="005348E4" w:rsidRDefault="005348E4" w:rsidP="00E505D5">
      <w:pPr>
        <w:spacing w:line="480" w:lineRule="auto"/>
        <w:jc w:val="center"/>
        <w:rPr>
          <w:rFonts w:ascii="Arial" w:hAnsi="Arial" w:cs="Arial"/>
        </w:rPr>
      </w:pPr>
      <w:r w:rsidRPr="005348E4">
        <w:rPr>
          <w:rFonts w:ascii="Arial" w:hAnsi="Arial" w:cs="Arial"/>
        </w:rPr>
        <w:t>2023/24: £51.546 bn</w:t>
      </w:r>
      <w:r w:rsidR="00E505D5">
        <w:rPr>
          <w:rFonts w:ascii="Arial" w:hAnsi="Arial" w:cs="Arial"/>
        </w:rPr>
        <w:t>/</w:t>
      </w:r>
      <w:r w:rsidR="00E505D5" w:rsidRPr="005348E4">
        <w:rPr>
          <w:rFonts w:ascii="Arial" w:hAnsi="Arial" w:cs="Arial"/>
        </w:rPr>
        <w:t xml:space="preserve"> [</w:t>
      </w:r>
      <w:r w:rsidRPr="005348E4">
        <w:rPr>
          <w:rFonts w:ascii="Arial" w:hAnsi="Arial" w:cs="Arial"/>
        </w:rPr>
        <w:t>(£2.635 bn+£2.510 bn)/</w:t>
      </w:r>
      <w:r w:rsidR="00E505D5" w:rsidRPr="005348E4">
        <w:rPr>
          <w:rFonts w:ascii="Arial" w:hAnsi="Arial" w:cs="Arial"/>
        </w:rPr>
        <w:t xml:space="preserve">2] </w:t>
      </w:r>
      <w:r w:rsidR="00E505D5">
        <w:rPr>
          <w:rFonts w:ascii="Arial" w:hAnsi="Arial" w:cs="Arial"/>
        </w:rPr>
        <w:t xml:space="preserve">= </w:t>
      </w:r>
      <w:r w:rsidRPr="005348E4">
        <w:rPr>
          <w:rFonts w:ascii="Arial" w:hAnsi="Arial" w:cs="Arial"/>
        </w:rPr>
        <w:t>20.04</w:t>
      </w:r>
      <w:r w:rsidR="00E505D5">
        <w:rPr>
          <w:rFonts w:ascii="Arial" w:hAnsi="Arial" w:cs="Arial"/>
        </w:rPr>
        <w:t xml:space="preserve"> x</w:t>
      </w:r>
    </w:p>
    <w:p w14:paraId="5F7B4738" w14:textId="77777777" w:rsidR="005348E4" w:rsidRPr="005348E4" w:rsidRDefault="005348E4" w:rsidP="005348E4">
      <w:pPr>
        <w:spacing w:line="480" w:lineRule="auto"/>
        <w:rPr>
          <w:rFonts w:ascii="Arial" w:hAnsi="Arial" w:cs="Arial"/>
        </w:rPr>
      </w:pPr>
      <w:r w:rsidRPr="005348E4">
        <w:rPr>
          <w:rFonts w:ascii="Arial" w:hAnsi="Arial" w:cs="Arial"/>
        </w:rPr>
        <w:t>A slight dip suggests opportunities to refine demand forecasting (Attrill &amp; McLaney, 2015).</w:t>
      </w:r>
    </w:p>
    <w:p w14:paraId="113473B6" w14:textId="77777777" w:rsidR="005348E4" w:rsidRPr="002749F2" w:rsidRDefault="005348E4" w:rsidP="002749F2">
      <w:pPr>
        <w:pStyle w:val="ListParagraph"/>
        <w:numPr>
          <w:ilvl w:val="1"/>
          <w:numId w:val="1"/>
        </w:numPr>
        <w:spacing w:line="480" w:lineRule="auto"/>
        <w:rPr>
          <w:rFonts w:ascii="Arial Black" w:hAnsi="Arial Black" w:cs="Arial"/>
        </w:rPr>
      </w:pPr>
      <w:r w:rsidRPr="002749F2">
        <w:rPr>
          <w:rFonts w:ascii="Arial Black" w:hAnsi="Arial Black" w:cs="Arial"/>
        </w:rPr>
        <w:t>Receivables Turnover</w:t>
      </w:r>
    </w:p>
    <w:p w14:paraId="5EBB34C4" w14:textId="6E4ED5A0" w:rsidR="005348E4" w:rsidRPr="00E505D5" w:rsidRDefault="005348E4" w:rsidP="00E505D5">
      <w:pPr>
        <w:spacing w:line="480" w:lineRule="auto"/>
        <w:jc w:val="center"/>
        <w:rPr>
          <w:rFonts w:ascii="Arial Black" w:hAnsi="Arial Black" w:cs="Arial"/>
        </w:rPr>
      </w:pPr>
      <w:r w:rsidRPr="00E505D5">
        <w:rPr>
          <w:rFonts w:ascii="Arial Black" w:hAnsi="Arial Black" w:cs="Arial"/>
        </w:rPr>
        <w:t>RTR</w:t>
      </w:r>
      <w:r w:rsidR="00E505D5" w:rsidRPr="00E505D5">
        <w:rPr>
          <w:rFonts w:ascii="Arial Black" w:hAnsi="Arial Black" w:cs="Arial"/>
        </w:rPr>
        <w:t xml:space="preserve"> </w:t>
      </w:r>
      <w:r w:rsidRPr="00E505D5">
        <w:rPr>
          <w:rFonts w:ascii="Arial Black" w:hAnsi="Arial Black" w:cs="Arial"/>
        </w:rPr>
        <w:t>=</w:t>
      </w:r>
      <w:r w:rsidR="00E505D5" w:rsidRPr="00E505D5">
        <w:rPr>
          <w:rFonts w:ascii="Arial Black" w:hAnsi="Arial Black" w:cs="Arial"/>
        </w:rPr>
        <w:t xml:space="preserve"> </w:t>
      </w:r>
      <w:r w:rsidRPr="00E505D5">
        <w:rPr>
          <w:rFonts w:ascii="Arial Black" w:hAnsi="Arial Black" w:cs="Arial"/>
        </w:rPr>
        <w:t>Cost of Sales</w:t>
      </w:r>
      <w:r w:rsidR="00E505D5" w:rsidRPr="00E505D5">
        <w:rPr>
          <w:rFonts w:ascii="Arial Black" w:hAnsi="Arial Black" w:cs="Arial"/>
        </w:rPr>
        <w:t xml:space="preserve"> / </w:t>
      </w:r>
      <w:r w:rsidRPr="00E505D5">
        <w:rPr>
          <w:rFonts w:ascii="Arial Black" w:hAnsi="Arial Black" w:cs="Arial"/>
        </w:rPr>
        <w:t>Average Trade Receivables</w:t>
      </w:r>
    </w:p>
    <w:p w14:paraId="134F4A1C" w14:textId="42DCA528" w:rsidR="005348E4" w:rsidRPr="005348E4" w:rsidRDefault="005348E4" w:rsidP="00E505D5">
      <w:pPr>
        <w:spacing w:line="480" w:lineRule="auto"/>
        <w:jc w:val="center"/>
        <w:rPr>
          <w:rFonts w:ascii="Arial" w:hAnsi="Arial" w:cs="Arial"/>
        </w:rPr>
      </w:pPr>
      <w:r w:rsidRPr="005348E4">
        <w:rPr>
          <w:rFonts w:ascii="Arial" w:hAnsi="Arial" w:cs="Arial"/>
        </w:rPr>
        <w:t>2022/23: £50.042 bn</w:t>
      </w:r>
      <w:r w:rsidR="00E505D5">
        <w:rPr>
          <w:rFonts w:ascii="Arial" w:hAnsi="Arial" w:cs="Arial"/>
        </w:rPr>
        <w:t xml:space="preserve"> / </w:t>
      </w:r>
      <w:r w:rsidRPr="005348E4">
        <w:rPr>
          <w:rFonts w:ascii="Arial" w:hAnsi="Arial" w:cs="Arial"/>
        </w:rPr>
        <w:t>[(£1.394 bn+£1.422 bn)/2]</w:t>
      </w:r>
      <w:r w:rsidR="00E505D5">
        <w:rPr>
          <w:rFonts w:ascii="Arial" w:hAnsi="Arial" w:cs="Arial"/>
        </w:rPr>
        <w:t xml:space="preserve"> = </w:t>
      </w:r>
      <w:r w:rsidRPr="005348E4">
        <w:rPr>
          <w:rFonts w:ascii="Arial" w:hAnsi="Arial" w:cs="Arial"/>
        </w:rPr>
        <w:t>35.56</w:t>
      </w:r>
      <w:r w:rsidR="00E505D5">
        <w:rPr>
          <w:rFonts w:ascii="Arial" w:hAnsi="Arial" w:cs="Arial"/>
        </w:rPr>
        <w:t xml:space="preserve"> x</w:t>
      </w:r>
    </w:p>
    <w:p w14:paraId="2DA68E9A" w14:textId="1C2D85AB" w:rsidR="005348E4" w:rsidRPr="005348E4" w:rsidRDefault="005348E4" w:rsidP="00E505D5">
      <w:pPr>
        <w:spacing w:line="480" w:lineRule="auto"/>
        <w:jc w:val="center"/>
        <w:rPr>
          <w:rFonts w:ascii="Arial" w:hAnsi="Arial" w:cs="Arial"/>
        </w:rPr>
      </w:pPr>
      <w:r w:rsidRPr="005348E4">
        <w:rPr>
          <w:rFonts w:ascii="Arial" w:hAnsi="Arial" w:cs="Arial"/>
        </w:rPr>
        <w:t>2023/24: £51.546 bn</w:t>
      </w:r>
      <w:r w:rsidR="00E505D5">
        <w:rPr>
          <w:rFonts w:ascii="Arial" w:hAnsi="Arial" w:cs="Arial"/>
        </w:rPr>
        <w:t xml:space="preserve"> / </w:t>
      </w:r>
      <w:r w:rsidRPr="005348E4">
        <w:rPr>
          <w:rFonts w:ascii="Arial" w:hAnsi="Arial" w:cs="Arial"/>
        </w:rPr>
        <w:t>[(£1.385 bn+£1.394 bn)/2]</w:t>
      </w:r>
      <w:r w:rsidR="00E505D5">
        <w:rPr>
          <w:rFonts w:ascii="Arial" w:hAnsi="Arial" w:cs="Arial"/>
        </w:rPr>
        <w:t xml:space="preserve"> = </w:t>
      </w:r>
      <w:r w:rsidRPr="005348E4">
        <w:rPr>
          <w:rFonts w:ascii="Arial" w:hAnsi="Arial" w:cs="Arial"/>
        </w:rPr>
        <w:t>37.12</w:t>
      </w:r>
      <w:r w:rsidR="00E505D5">
        <w:rPr>
          <w:rFonts w:ascii="Arial" w:hAnsi="Arial" w:cs="Arial"/>
        </w:rPr>
        <w:t xml:space="preserve"> x</w:t>
      </w:r>
    </w:p>
    <w:p w14:paraId="366B666F" w14:textId="69B97B77" w:rsidR="005348E4" w:rsidRDefault="005348E4" w:rsidP="005348E4">
      <w:pPr>
        <w:spacing w:line="480" w:lineRule="auto"/>
        <w:rPr>
          <w:rFonts w:ascii="Arial" w:hAnsi="Arial" w:cs="Arial"/>
        </w:rPr>
      </w:pPr>
      <w:r w:rsidRPr="005348E4">
        <w:rPr>
          <w:rFonts w:ascii="Arial" w:hAnsi="Arial" w:cs="Arial"/>
        </w:rPr>
        <w:t>Improved collections reflect stronger credit control, bolstering cash flow (Choi &amp; Wang, 2009).</w:t>
      </w:r>
    </w:p>
    <w:p w14:paraId="06C785DA" w14:textId="1FC32293" w:rsidR="005348E4" w:rsidRPr="002749F2" w:rsidRDefault="005348E4" w:rsidP="005348E4">
      <w:pPr>
        <w:spacing w:line="480" w:lineRule="auto"/>
        <w:rPr>
          <w:rFonts w:ascii="Arial Black" w:hAnsi="Arial Black" w:cs="Arial"/>
        </w:rPr>
      </w:pPr>
      <w:r w:rsidRPr="002749F2">
        <w:rPr>
          <w:rFonts w:ascii="Arial Black" w:hAnsi="Arial Black" w:cs="Arial"/>
        </w:rPr>
        <w:t>Analysis of Performance Drivers</w:t>
      </w:r>
    </w:p>
    <w:p w14:paraId="2F66A4E2" w14:textId="4CE36C30" w:rsidR="005348E4" w:rsidRPr="002749F2" w:rsidRDefault="005348E4" w:rsidP="002749F2">
      <w:pPr>
        <w:pStyle w:val="ListParagraph"/>
        <w:numPr>
          <w:ilvl w:val="0"/>
          <w:numId w:val="1"/>
        </w:numPr>
        <w:spacing w:line="480" w:lineRule="auto"/>
        <w:rPr>
          <w:rFonts w:ascii="Arial" w:hAnsi="Arial" w:cs="Arial"/>
        </w:rPr>
      </w:pPr>
      <w:r w:rsidRPr="002749F2">
        <w:rPr>
          <w:rFonts w:ascii="Arial" w:hAnsi="Arial" w:cs="Arial"/>
        </w:rPr>
        <w:t>Cost Discipline and Pricing Strategy</w:t>
      </w:r>
      <w:r w:rsidR="002749F2" w:rsidRPr="002749F2">
        <w:rPr>
          <w:rFonts w:ascii="Arial" w:hAnsi="Arial" w:cs="Arial"/>
        </w:rPr>
        <w:t xml:space="preserve">: </w:t>
      </w:r>
      <w:r w:rsidRPr="002749F2">
        <w:rPr>
          <w:rFonts w:ascii="Arial" w:hAnsi="Arial" w:cs="Arial"/>
        </w:rPr>
        <w:t xml:space="preserve">The gains in operating margin resulted from rigorous zero-based budgeting and selective price investment (Drury, 2020). Tesco's "Aldi Price Matching" offered better perceived value which </w:t>
      </w:r>
      <w:r w:rsidRPr="002749F2">
        <w:rPr>
          <w:rFonts w:ascii="Arial" w:hAnsi="Arial" w:cs="Arial"/>
        </w:rPr>
        <w:lastRenderedPageBreak/>
        <w:t xml:space="preserve">increased volume taking advantage of market demand, without loss to margin (Haddock-Millar, &amp; Rigby, 2015). </w:t>
      </w:r>
    </w:p>
    <w:p w14:paraId="42DEE6AA" w14:textId="4C1F2D1C" w:rsidR="005348E4" w:rsidRPr="002749F2" w:rsidRDefault="005348E4" w:rsidP="002749F2">
      <w:pPr>
        <w:pStyle w:val="ListParagraph"/>
        <w:numPr>
          <w:ilvl w:val="0"/>
          <w:numId w:val="1"/>
        </w:numPr>
        <w:spacing w:line="480" w:lineRule="auto"/>
        <w:rPr>
          <w:rFonts w:ascii="Arial" w:hAnsi="Arial" w:cs="Arial"/>
        </w:rPr>
      </w:pPr>
      <w:r w:rsidRPr="002749F2">
        <w:rPr>
          <w:rFonts w:ascii="Arial" w:hAnsi="Arial" w:cs="Arial"/>
        </w:rPr>
        <w:t>Digital Transformation</w:t>
      </w:r>
      <w:r w:rsidR="002749F2" w:rsidRPr="002749F2">
        <w:rPr>
          <w:rFonts w:ascii="Arial" w:hAnsi="Arial" w:cs="Arial"/>
        </w:rPr>
        <w:t xml:space="preserve">: </w:t>
      </w:r>
      <w:r w:rsidRPr="002749F2">
        <w:rPr>
          <w:rFonts w:ascii="Arial" w:hAnsi="Arial" w:cs="Arial"/>
        </w:rPr>
        <w:t xml:space="preserve">As the rollout of Automated Fulfilment Centres (AFCs) unfolds, the introduction of new AI Demand-planning tools has offered operational advantages for both </w:t>
      </w:r>
      <w:r w:rsidR="002749F2" w:rsidRPr="002749F2">
        <w:rPr>
          <w:rFonts w:ascii="Arial" w:hAnsi="Arial" w:cs="Arial"/>
        </w:rPr>
        <w:t>sales’</w:t>
      </w:r>
      <w:r w:rsidRPr="002749F2">
        <w:rPr>
          <w:rFonts w:ascii="Arial" w:hAnsi="Arial" w:cs="Arial"/>
        </w:rPr>
        <w:t xml:space="preserve"> growth, and reduced fulfilment costs (Mohammed, Ojo &amp; Shah, 2024; Meng, 2024).  </w:t>
      </w:r>
    </w:p>
    <w:p w14:paraId="54DEC8FC" w14:textId="3148982F" w:rsidR="005348E4" w:rsidRPr="005348E4" w:rsidRDefault="005348E4" w:rsidP="005348E4">
      <w:pPr>
        <w:spacing w:line="480" w:lineRule="auto"/>
        <w:rPr>
          <w:rFonts w:ascii="Arial" w:hAnsi="Arial" w:cs="Arial"/>
        </w:rPr>
      </w:pPr>
      <w:r w:rsidRPr="002749F2">
        <w:rPr>
          <w:rFonts w:ascii="Arial Black" w:hAnsi="Arial Black" w:cs="Arial"/>
        </w:rPr>
        <w:t>Sustainability Initiatives</w:t>
      </w:r>
    </w:p>
    <w:p w14:paraId="01D144CA" w14:textId="5D0F58B2" w:rsidR="005348E4" w:rsidRPr="002749F2" w:rsidRDefault="005348E4" w:rsidP="002749F2">
      <w:pPr>
        <w:pStyle w:val="ListParagraph"/>
        <w:numPr>
          <w:ilvl w:val="0"/>
          <w:numId w:val="2"/>
        </w:numPr>
        <w:spacing w:line="480" w:lineRule="auto"/>
        <w:rPr>
          <w:rFonts w:ascii="Arial" w:hAnsi="Arial" w:cs="Arial"/>
        </w:rPr>
      </w:pPr>
      <w:r w:rsidRPr="002749F2">
        <w:rPr>
          <w:rFonts w:ascii="Arial" w:hAnsi="Arial" w:cs="Arial"/>
        </w:rPr>
        <w:t xml:space="preserve">Renewables and Low Carbon Input Sources: The commitment to sourcing 100% renewable UK electricity and scaling low-carbon fertiliser pilots has now allowed reductions in energy and input sources leading to reductions in Scope 2 and 3 </w:t>
      </w:r>
      <w:r w:rsidR="002749F2" w:rsidRPr="002749F2">
        <w:rPr>
          <w:rFonts w:ascii="Arial" w:hAnsi="Arial" w:cs="Arial"/>
        </w:rPr>
        <w:t>emissions</w:t>
      </w:r>
      <w:r w:rsidRPr="002749F2">
        <w:rPr>
          <w:rFonts w:ascii="Arial" w:hAnsi="Arial" w:cs="Arial"/>
        </w:rPr>
        <w:t xml:space="preserve"> from fossil fuels (Olarewaju et al., 2024; Hashim et al., 2021). </w:t>
      </w:r>
    </w:p>
    <w:p w14:paraId="0507CF7C" w14:textId="64AE7DA9" w:rsidR="005348E4" w:rsidRPr="002749F2" w:rsidRDefault="005348E4" w:rsidP="002749F2">
      <w:pPr>
        <w:pStyle w:val="ListParagraph"/>
        <w:numPr>
          <w:ilvl w:val="0"/>
          <w:numId w:val="2"/>
        </w:numPr>
        <w:spacing w:line="480" w:lineRule="auto"/>
        <w:rPr>
          <w:rFonts w:ascii="Arial" w:hAnsi="Arial" w:cs="Arial"/>
        </w:rPr>
      </w:pPr>
      <w:r w:rsidRPr="002749F2">
        <w:rPr>
          <w:rFonts w:ascii="Arial" w:hAnsi="Arial" w:cs="Arial"/>
        </w:rPr>
        <w:t xml:space="preserve">Packaging and Waste: The expansion of plastic-reduction programmes (adding 30 lines of own-brand lines and expanding the scope of food-waste diversion from 10 million to 14 million meals redistributing) has not only supported cost </w:t>
      </w:r>
      <w:r w:rsidR="002749F2" w:rsidRPr="002749F2">
        <w:rPr>
          <w:rFonts w:ascii="Arial" w:hAnsi="Arial" w:cs="Arial"/>
        </w:rPr>
        <w:t>savings but</w:t>
      </w:r>
      <w:r w:rsidRPr="002749F2">
        <w:rPr>
          <w:rFonts w:ascii="Arial" w:hAnsi="Arial" w:cs="Arial"/>
        </w:rPr>
        <w:t xml:space="preserve"> also increased inventory turnover due write-offs with deflationary product position (Attrill &amp; McLaney, 2015; Jones, 2023).</w:t>
      </w:r>
    </w:p>
    <w:p w14:paraId="2291F066" w14:textId="0ECA1418" w:rsidR="002749F2" w:rsidRDefault="005348E4" w:rsidP="005348E4">
      <w:pPr>
        <w:pStyle w:val="ListParagraph"/>
        <w:numPr>
          <w:ilvl w:val="0"/>
          <w:numId w:val="2"/>
        </w:numPr>
        <w:spacing w:line="480" w:lineRule="auto"/>
        <w:rPr>
          <w:rFonts w:ascii="Arial" w:hAnsi="Arial" w:cs="Arial"/>
        </w:rPr>
      </w:pPr>
      <w:r w:rsidRPr="002749F2">
        <w:rPr>
          <w:rFonts w:ascii="Arial" w:hAnsi="Arial" w:cs="Arial"/>
        </w:rPr>
        <w:t xml:space="preserve">Logistics Efficiency: Performance-oriented </w:t>
      </w:r>
      <w:r w:rsidR="002749F2">
        <w:rPr>
          <w:rFonts w:ascii="Arial" w:hAnsi="Arial" w:cs="Arial"/>
        </w:rPr>
        <w:t xml:space="preserve">shipments </w:t>
      </w:r>
      <w:r w:rsidRPr="002749F2">
        <w:rPr>
          <w:rFonts w:ascii="Arial" w:hAnsi="Arial" w:cs="Arial"/>
        </w:rPr>
        <w:t>agreements and route optimisation achieved cumulative transport emissions savings of more than 7% and fuel-cost savings, reinforcing operating-margin improvements (Choi &amp; Wang, 2009).</w:t>
      </w:r>
    </w:p>
    <w:p w14:paraId="51591495" w14:textId="0E8A6E4E" w:rsidR="005348E4" w:rsidRPr="002749F2" w:rsidRDefault="005348E4" w:rsidP="005348E4">
      <w:pPr>
        <w:pStyle w:val="ListParagraph"/>
        <w:numPr>
          <w:ilvl w:val="0"/>
          <w:numId w:val="2"/>
        </w:numPr>
        <w:spacing w:line="480" w:lineRule="auto"/>
        <w:rPr>
          <w:rFonts w:ascii="Arial" w:hAnsi="Arial" w:cs="Arial"/>
        </w:rPr>
      </w:pPr>
      <w:r w:rsidRPr="002749F2">
        <w:rPr>
          <w:rFonts w:ascii="Arial" w:hAnsi="Arial" w:cs="Arial"/>
        </w:rPr>
        <w:t xml:space="preserve">Stakeholder Engagement &amp; Governance. Integrating ESG into executive incentives (15% of bonuses dependent on ESG targets between 2023/24 vs. </w:t>
      </w:r>
      <w:r w:rsidRPr="002749F2">
        <w:rPr>
          <w:rFonts w:ascii="Arial" w:hAnsi="Arial" w:cs="Arial"/>
        </w:rPr>
        <w:lastRenderedPageBreak/>
        <w:t>5% last year) and comprehensive TCFD alignment enhanced investor confidence, and possibly lower Tesco’s cost of capital (Jones, 2025).</w:t>
      </w:r>
    </w:p>
    <w:p w14:paraId="2C5F3B4E" w14:textId="3B34860C" w:rsidR="005348E4" w:rsidRPr="002749F2" w:rsidRDefault="005348E4" w:rsidP="005348E4">
      <w:pPr>
        <w:spacing w:line="480" w:lineRule="auto"/>
        <w:rPr>
          <w:rFonts w:ascii="Arial Black" w:hAnsi="Arial Black" w:cs="Arial"/>
        </w:rPr>
      </w:pPr>
      <w:r w:rsidRPr="002749F2">
        <w:rPr>
          <w:rFonts w:ascii="Arial Black" w:hAnsi="Arial Black" w:cs="Arial"/>
        </w:rPr>
        <w:t>Sustainability A</w:t>
      </w:r>
      <w:r w:rsidR="0092047D">
        <w:rPr>
          <w:rFonts w:ascii="Arial Black" w:hAnsi="Arial Black" w:cs="Arial"/>
        </w:rPr>
        <w:t>nalysis</w:t>
      </w:r>
    </w:p>
    <w:p w14:paraId="5C72F0A2" w14:textId="77777777" w:rsidR="005348E4" w:rsidRPr="005348E4" w:rsidRDefault="005348E4" w:rsidP="005348E4">
      <w:pPr>
        <w:spacing w:line="480" w:lineRule="auto"/>
        <w:rPr>
          <w:rFonts w:ascii="Arial" w:hAnsi="Arial" w:cs="Arial"/>
        </w:rPr>
      </w:pPr>
      <w:r w:rsidRPr="005348E4">
        <w:rPr>
          <w:rFonts w:ascii="Arial" w:hAnsi="Arial" w:cs="Arial"/>
        </w:rPr>
        <w:t>Tesco’s sustainability strategy is more comprehensive than compliance and integrates environment, social and governance (ESG) factors into key economic and operational contexts to improve both consequences for the environment as well as financial returns.</w:t>
      </w:r>
    </w:p>
    <w:p w14:paraId="7B328A5C" w14:textId="77777777" w:rsidR="005348E4" w:rsidRPr="002749F2" w:rsidRDefault="005348E4" w:rsidP="002749F2">
      <w:pPr>
        <w:pStyle w:val="ListParagraph"/>
        <w:numPr>
          <w:ilvl w:val="0"/>
          <w:numId w:val="3"/>
        </w:numPr>
        <w:spacing w:line="480" w:lineRule="auto"/>
        <w:rPr>
          <w:rFonts w:ascii="Arial Black" w:hAnsi="Arial Black" w:cs="Arial"/>
        </w:rPr>
      </w:pPr>
      <w:r w:rsidRPr="002749F2">
        <w:rPr>
          <w:rFonts w:ascii="Arial Black" w:hAnsi="Arial Black" w:cs="Arial"/>
        </w:rPr>
        <w:t>Environmental Projects</w:t>
      </w:r>
    </w:p>
    <w:p w14:paraId="5CF2EF85" w14:textId="439A3B79" w:rsidR="005348E4" w:rsidRPr="005348E4" w:rsidRDefault="005348E4" w:rsidP="005348E4">
      <w:pPr>
        <w:spacing w:line="480" w:lineRule="auto"/>
        <w:rPr>
          <w:rFonts w:ascii="Arial" w:hAnsi="Arial" w:cs="Arial"/>
        </w:rPr>
      </w:pPr>
      <w:r w:rsidRPr="005348E4">
        <w:rPr>
          <w:rFonts w:ascii="Arial" w:hAnsi="Arial" w:cs="Arial"/>
        </w:rPr>
        <w:t xml:space="preserve">Tesco’s commitment to reach net-zero carbon gets more substantial with meaningful short-term targets. Between FY2022/23 to FY2023/24, Tesco </w:t>
      </w:r>
      <w:r w:rsidR="002749F2" w:rsidRPr="005348E4">
        <w:rPr>
          <w:rFonts w:ascii="Arial" w:hAnsi="Arial" w:cs="Arial"/>
        </w:rPr>
        <w:t>increased renewable</w:t>
      </w:r>
      <w:r w:rsidRPr="005348E4">
        <w:rPr>
          <w:rFonts w:ascii="Arial" w:hAnsi="Arial" w:cs="Arial"/>
        </w:rPr>
        <w:t xml:space="preserve"> electricity sourcing globally from 59% to 89% through power-purchase agreements and on-site solar installations, while estimating £25 million in energy savings costs, and reducing Scope 2 emissions by 40%. The additional update to the low-carbon fertilisers programme, now with eight agricultural suppliers in 2023/24 as opposed to three, further reduced Scope 3 fertilisers emissions 3.1%, as well as support gross profit become less volatile from rising input-prices (Hashim et al., 2021).</w:t>
      </w:r>
    </w:p>
    <w:p w14:paraId="3DA78A4F" w14:textId="77777777" w:rsidR="005348E4" w:rsidRPr="00AC7A39" w:rsidRDefault="005348E4" w:rsidP="00AC7A39">
      <w:pPr>
        <w:pStyle w:val="ListParagraph"/>
        <w:numPr>
          <w:ilvl w:val="0"/>
          <w:numId w:val="3"/>
        </w:numPr>
        <w:spacing w:line="480" w:lineRule="auto"/>
        <w:rPr>
          <w:rFonts w:ascii="Arial Black" w:hAnsi="Arial Black" w:cs="Arial"/>
        </w:rPr>
      </w:pPr>
      <w:r w:rsidRPr="00AC7A39">
        <w:rPr>
          <w:rFonts w:ascii="Arial Black" w:hAnsi="Arial Black" w:cs="Arial"/>
        </w:rPr>
        <w:t>Circular Economy &amp; Waste</w:t>
      </w:r>
    </w:p>
    <w:p w14:paraId="4059A032" w14:textId="77777777" w:rsidR="00AC7A39" w:rsidRDefault="005348E4" w:rsidP="005348E4">
      <w:pPr>
        <w:spacing w:line="480" w:lineRule="auto"/>
        <w:rPr>
          <w:rFonts w:ascii="Arial" w:hAnsi="Arial" w:cs="Arial"/>
        </w:rPr>
      </w:pPr>
      <w:r w:rsidRPr="005348E4">
        <w:rPr>
          <w:rFonts w:ascii="Arial" w:hAnsi="Arial" w:cs="Arial"/>
        </w:rPr>
        <w:t xml:space="preserve">Enabling Tesco’s “Food Donation and Surplus Redistribution” partnership added an extra 4 million meals diverted from </w:t>
      </w:r>
      <w:r w:rsidR="00AC7A39" w:rsidRPr="005348E4">
        <w:rPr>
          <w:rFonts w:ascii="Arial" w:hAnsi="Arial" w:cs="Arial"/>
        </w:rPr>
        <w:t>landfill from</w:t>
      </w:r>
      <w:r w:rsidRPr="005348E4">
        <w:rPr>
          <w:rFonts w:ascii="Arial" w:hAnsi="Arial" w:cs="Arial"/>
        </w:rPr>
        <w:t xml:space="preserve"> 10 million to 14 million meals donated the past year.</w:t>
      </w:r>
      <w:r w:rsidR="00AC7A39">
        <w:rPr>
          <w:rFonts w:ascii="Arial" w:hAnsi="Arial" w:cs="Arial"/>
        </w:rPr>
        <w:t xml:space="preserve"> </w:t>
      </w:r>
      <w:r w:rsidRPr="005348E4">
        <w:rPr>
          <w:rFonts w:ascii="Arial" w:hAnsi="Arial" w:cs="Arial"/>
        </w:rPr>
        <w:t xml:space="preserve">This not only improved Tesco's inventory turnover (Attrill &amp; McLaney, 2015) through decreased write-downs, but also established good will in communities, thus improving customer retention and supporting a 0.2 pp increase in like-for-like sales growth in Q4 2023/24. Furthermore, the launch of closed-loop packaging trials </w:t>
      </w:r>
      <w:r w:rsidRPr="005348E4">
        <w:rPr>
          <w:rFonts w:ascii="Arial" w:hAnsi="Arial" w:cs="Arial"/>
        </w:rPr>
        <w:lastRenderedPageBreak/>
        <w:t>consisting of returnable crates for fresh produce across 120 stores, reduced packaging or procurement costs by 8% per unit, and made £6 million in an annual savings.</w:t>
      </w:r>
    </w:p>
    <w:p w14:paraId="2DFFBA49" w14:textId="58D361BE" w:rsidR="005348E4" w:rsidRPr="005348E4" w:rsidRDefault="005348E4" w:rsidP="005348E4">
      <w:pPr>
        <w:spacing w:line="480" w:lineRule="auto"/>
        <w:rPr>
          <w:rFonts w:ascii="Arial" w:hAnsi="Arial" w:cs="Arial"/>
        </w:rPr>
      </w:pPr>
      <w:r w:rsidRPr="005348E4">
        <w:rPr>
          <w:rFonts w:ascii="Arial" w:hAnsi="Arial" w:cs="Arial"/>
        </w:rPr>
        <w:t>Tesco's sustainability agenda has a prominent social value component, in addition to its environmental metrics. In 2023/24, Tesco invested £50 million in community grants in support of six UN Sustainable Development Goals, with emphasis on alleviating hunger and upskilling the workforce. Supplier-development programs with 2,500 small suppliers resulted in improved operational efficiencies, an average of 12%, while strengthening corporate responsibility, supply chain resilience, and sustainable supply chain growth (Choi &amp; Wang, 2009).</w:t>
      </w:r>
    </w:p>
    <w:p w14:paraId="1DFACF9B" w14:textId="77777777" w:rsidR="00AC7A39" w:rsidRDefault="005348E4" w:rsidP="005348E4">
      <w:pPr>
        <w:spacing w:line="480" w:lineRule="auto"/>
        <w:rPr>
          <w:rFonts w:ascii="Arial" w:hAnsi="Arial" w:cs="Arial"/>
        </w:rPr>
      </w:pPr>
      <w:r w:rsidRPr="005348E4">
        <w:rPr>
          <w:rFonts w:ascii="Arial" w:hAnsi="Arial" w:cs="Arial"/>
        </w:rPr>
        <w:t xml:space="preserve">In its 2024 report, Tesco achieved full alignment with the Task Force on Climate-related Financial Disclosures (TCFD). This report bolstered transparency and reduced perceived investment risk amongst ESG focused funds (Jones, 2025). </w:t>
      </w:r>
      <w:r w:rsidR="00AC7A39" w:rsidRPr="005348E4">
        <w:rPr>
          <w:rFonts w:ascii="Arial" w:hAnsi="Arial" w:cs="Arial"/>
        </w:rPr>
        <w:t>To</w:t>
      </w:r>
      <w:r w:rsidRPr="005348E4">
        <w:rPr>
          <w:rFonts w:ascii="Arial" w:hAnsi="Arial" w:cs="Arial"/>
        </w:rPr>
        <w:t xml:space="preserve"> enhance accountability of the leadership team, Tesco increased the proportion of executive bonuses tied to sustainability metrics from 5% to 15%. The sustainability bonus ensures decision making is aligned with sustainable practices and creates value for shareholders in the long term (Sheehy, </w:t>
      </w:r>
      <w:proofErr w:type="spellStart"/>
      <w:r w:rsidRPr="005348E4">
        <w:rPr>
          <w:rFonts w:ascii="Arial" w:hAnsi="Arial" w:cs="Arial"/>
        </w:rPr>
        <w:t>Tuslian</w:t>
      </w:r>
      <w:proofErr w:type="spellEnd"/>
      <w:r w:rsidRPr="005348E4">
        <w:rPr>
          <w:rFonts w:ascii="Arial" w:hAnsi="Arial" w:cs="Arial"/>
        </w:rPr>
        <w:t xml:space="preserve"> &amp; Lie, 2021). Tesco has already benefited from this enhanced governance structure with a </w:t>
      </w:r>
      <w:r w:rsidR="00AC7A39" w:rsidRPr="005348E4">
        <w:rPr>
          <w:rFonts w:ascii="Arial" w:hAnsi="Arial" w:cs="Arial"/>
        </w:rPr>
        <w:t>10-basis</w:t>
      </w:r>
      <w:r w:rsidRPr="005348E4">
        <w:rPr>
          <w:rFonts w:ascii="Arial" w:hAnsi="Arial" w:cs="Arial"/>
        </w:rPr>
        <w:t xml:space="preserve"> point reduction in its average cost of debt, which has been calculated as £10 million in annual interest savings.</w:t>
      </w:r>
    </w:p>
    <w:p w14:paraId="2B65C0A1" w14:textId="77777777" w:rsidR="005348E4" w:rsidRPr="005348E4" w:rsidRDefault="005348E4" w:rsidP="005348E4">
      <w:pPr>
        <w:spacing w:line="480" w:lineRule="auto"/>
        <w:rPr>
          <w:rFonts w:ascii="Arial" w:hAnsi="Arial" w:cs="Arial"/>
        </w:rPr>
      </w:pPr>
      <w:r w:rsidRPr="005348E4">
        <w:rPr>
          <w:rFonts w:ascii="Arial" w:hAnsi="Arial" w:cs="Arial"/>
        </w:rPr>
        <w:t xml:space="preserve">These sustainability interventions have financial consequences in the form of reduced utility and packaging costs that improve gross and operating profit margins (Drury, 2020), and waste diversion and packaging advances that improve efficiency ratios. Also, the commitment to strong ESG performance will create brand loyalty for </w:t>
      </w:r>
      <w:r w:rsidRPr="005348E4">
        <w:rPr>
          <w:rFonts w:ascii="Arial" w:hAnsi="Arial" w:cs="Arial"/>
        </w:rPr>
        <w:lastRenderedPageBreak/>
        <w:t>future sales growth and relative profitability ratios. Tesco will diminish environmental and social risks by integrating sustainability across its business value chain, all while solidifying its competitive position and financial fortitude.</w:t>
      </w:r>
    </w:p>
    <w:p w14:paraId="799BABA3" w14:textId="77777777" w:rsidR="005348E4" w:rsidRPr="00AC7A39" w:rsidRDefault="005348E4" w:rsidP="005348E4">
      <w:pPr>
        <w:spacing w:line="480" w:lineRule="auto"/>
        <w:rPr>
          <w:rFonts w:ascii="Arial Black" w:hAnsi="Arial Black" w:cs="Arial"/>
        </w:rPr>
      </w:pPr>
      <w:r w:rsidRPr="00AC7A39">
        <w:rPr>
          <w:rFonts w:ascii="Arial Black" w:hAnsi="Arial Black" w:cs="Arial"/>
        </w:rPr>
        <w:t>Opportunities for Future Financial &amp; Sustainable Improvement</w:t>
      </w:r>
    </w:p>
    <w:p w14:paraId="64149389" w14:textId="77777777" w:rsidR="005348E4" w:rsidRPr="00AC7A39" w:rsidRDefault="005348E4" w:rsidP="005348E4">
      <w:pPr>
        <w:spacing w:line="480" w:lineRule="auto"/>
        <w:rPr>
          <w:rFonts w:ascii="Arial Black" w:hAnsi="Arial Black" w:cs="Arial"/>
        </w:rPr>
      </w:pPr>
      <w:r w:rsidRPr="00AC7A39">
        <w:rPr>
          <w:rFonts w:ascii="Arial Black" w:hAnsi="Arial Black" w:cs="Arial"/>
        </w:rPr>
        <w:t>Strengthen Working Capital Management</w:t>
      </w:r>
    </w:p>
    <w:p w14:paraId="29675954" w14:textId="77777777" w:rsidR="00AC7A39" w:rsidRPr="00AC7A39" w:rsidRDefault="005348E4" w:rsidP="00AC7A39">
      <w:pPr>
        <w:pStyle w:val="ListParagraph"/>
        <w:numPr>
          <w:ilvl w:val="0"/>
          <w:numId w:val="3"/>
        </w:numPr>
        <w:spacing w:line="480" w:lineRule="auto"/>
        <w:rPr>
          <w:rFonts w:ascii="Arial" w:hAnsi="Arial" w:cs="Arial"/>
        </w:rPr>
      </w:pPr>
      <w:r w:rsidRPr="00AC7A39">
        <w:rPr>
          <w:rFonts w:ascii="Arial" w:hAnsi="Arial" w:cs="Arial"/>
        </w:rPr>
        <w:t>Real-Time Cash Forecasting: Utili</w:t>
      </w:r>
      <w:r w:rsidR="00AC7A39" w:rsidRPr="00AC7A39">
        <w:rPr>
          <w:rFonts w:ascii="Arial" w:hAnsi="Arial" w:cs="Arial"/>
        </w:rPr>
        <w:t>s</w:t>
      </w:r>
      <w:r w:rsidRPr="00AC7A39">
        <w:rPr>
          <w:rFonts w:ascii="Arial" w:hAnsi="Arial" w:cs="Arial"/>
        </w:rPr>
        <w:t xml:space="preserve">e cloud-based treasury platforms for daily cash flow management and scenario </w:t>
      </w:r>
      <w:r w:rsidR="00AC7A39" w:rsidRPr="00AC7A39">
        <w:rPr>
          <w:rFonts w:ascii="Arial" w:hAnsi="Arial" w:cs="Arial"/>
        </w:rPr>
        <w:t>modelling</w:t>
      </w:r>
      <w:r w:rsidRPr="00AC7A39">
        <w:rPr>
          <w:rFonts w:ascii="Arial" w:hAnsi="Arial" w:cs="Arial"/>
        </w:rPr>
        <w:t xml:space="preserve"> (Lucey, 2009).</w:t>
      </w:r>
    </w:p>
    <w:p w14:paraId="60C28B83" w14:textId="39D7DDDE" w:rsidR="005348E4" w:rsidRPr="00AC7A39" w:rsidRDefault="005348E4" w:rsidP="00AC7A39">
      <w:pPr>
        <w:pStyle w:val="ListParagraph"/>
        <w:numPr>
          <w:ilvl w:val="0"/>
          <w:numId w:val="3"/>
        </w:numPr>
        <w:spacing w:line="480" w:lineRule="auto"/>
        <w:rPr>
          <w:rFonts w:ascii="Arial" w:hAnsi="Arial" w:cs="Arial"/>
        </w:rPr>
      </w:pPr>
      <w:r w:rsidRPr="00AC7A39">
        <w:rPr>
          <w:rFonts w:ascii="Arial" w:hAnsi="Arial" w:cs="Arial"/>
        </w:rPr>
        <w:t>Supplier Financing Initiatives: Implement dynamic discounting to allow extended payable terms with early payment pricing concessions for suppliers, keeping the supplier relationship and the cash or liquidity of the business in balance.</w:t>
      </w:r>
    </w:p>
    <w:p w14:paraId="4C2A4B01" w14:textId="77777777" w:rsidR="00AC7A39" w:rsidRDefault="005348E4" w:rsidP="005348E4">
      <w:pPr>
        <w:spacing w:line="480" w:lineRule="auto"/>
        <w:rPr>
          <w:rFonts w:ascii="Arial Black" w:hAnsi="Arial Black" w:cs="Arial"/>
        </w:rPr>
      </w:pPr>
      <w:r w:rsidRPr="00AC7A39">
        <w:rPr>
          <w:rFonts w:ascii="Arial Black" w:hAnsi="Arial Black" w:cs="Arial"/>
        </w:rPr>
        <w:t>Increase Digital &amp; Automation Tools</w:t>
      </w:r>
    </w:p>
    <w:p w14:paraId="7DA70B2E" w14:textId="77777777" w:rsidR="00AC7A39" w:rsidRPr="00AC7A39" w:rsidRDefault="005348E4" w:rsidP="00AC7A39">
      <w:pPr>
        <w:pStyle w:val="ListParagraph"/>
        <w:numPr>
          <w:ilvl w:val="0"/>
          <w:numId w:val="4"/>
        </w:numPr>
        <w:spacing w:line="480" w:lineRule="auto"/>
        <w:rPr>
          <w:rFonts w:ascii="Arial Black" w:hAnsi="Arial Black" w:cs="Arial"/>
        </w:rPr>
      </w:pPr>
      <w:r w:rsidRPr="00AC7A39">
        <w:rPr>
          <w:rFonts w:ascii="Arial" w:hAnsi="Arial" w:cs="Arial"/>
        </w:rPr>
        <w:t>Robotic Process Automation (RPA): Commit to adding RPA in finance and procurement departments to reduce manual errors and to process quicker and more accurately for lower operational costs (Drury, 2020).</w:t>
      </w:r>
    </w:p>
    <w:p w14:paraId="1AA81443" w14:textId="28D55DF9" w:rsidR="005348E4" w:rsidRPr="00AC7A39" w:rsidRDefault="005348E4" w:rsidP="00AC7A39">
      <w:pPr>
        <w:pStyle w:val="ListParagraph"/>
        <w:numPr>
          <w:ilvl w:val="0"/>
          <w:numId w:val="4"/>
        </w:numPr>
        <w:spacing w:line="480" w:lineRule="auto"/>
        <w:rPr>
          <w:rFonts w:ascii="Arial Black" w:hAnsi="Arial Black" w:cs="Arial"/>
        </w:rPr>
      </w:pPr>
      <w:r w:rsidRPr="00AC7A39">
        <w:rPr>
          <w:rFonts w:ascii="Arial" w:hAnsi="Arial" w:cs="Arial"/>
        </w:rPr>
        <w:t>Predictive Analytics: Use machine-learning predictive analytics models for the storing and inventory optimi</w:t>
      </w:r>
      <w:r w:rsidR="00AC7A39" w:rsidRPr="00AC7A39">
        <w:rPr>
          <w:rFonts w:ascii="Arial" w:hAnsi="Arial" w:cs="Arial"/>
        </w:rPr>
        <w:t>s</w:t>
      </w:r>
      <w:r w:rsidRPr="00AC7A39">
        <w:rPr>
          <w:rFonts w:ascii="Arial" w:hAnsi="Arial" w:cs="Arial"/>
        </w:rPr>
        <w:t>ation at the store level to minimi</w:t>
      </w:r>
      <w:r w:rsidR="00AC7A39" w:rsidRPr="00AC7A39">
        <w:rPr>
          <w:rFonts w:ascii="Arial" w:hAnsi="Arial" w:cs="Arial"/>
        </w:rPr>
        <w:t>s</w:t>
      </w:r>
      <w:r w:rsidRPr="00AC7A39">
        <w:rPr>
          <w:rFonts w:ascii="Arial" w:hAnsi="Arial" w:cs="Arial"/>
        </w:rPr>
        <w:t>e working capital and stock outages.</w:t>
      </w:r>
    </w:p>
    <w:p w14:paraId="42CB4583" w14:textId="77777777" w:rsidR="005348E4" w:rsidRPr="00AC7A39" w:rsidRDefault="005348E4" w:rsidP="005348E4">
      <w:pPr>
        <w:spacing w:line="480" w:lineRule="auto"/>
        <w:rPr>
          <w:rFonts w:ascii="Arial Black" w:hAnsi="Arial Black" w:cs="Arial"/>
        </w:rPr>
      </w:pPr>
      <w:r w:rsidRPr="00AC7A39">
        <w:rPr>
          <w:rFonts w:ascii="Arial Black" w:hAnsi="Arial Black" w:cs="Arial"/>
        </w:rPr>
        <w:t>Deepen Sustainable Integration</w:t>
      </w:r>
    </w:p>
    <w:p w14:paraId="42C9C63A" w14:textId="77777777" w:rsidR="00AC7A39" w:rsidRDefault="005348E4" w:rsidP="00AC7A39">
      <w:pPr>
        <w:pStyle w:val="ListParagraph"/>
        <w:numPr>
          <w:ilvl w:val="0"/>
          <w:numId w:val="5"/>
        </w:numPr>
        <w:spacing w:line="480" w:lineRule="auto"/>
        <w:rPr>
          <w:rFonts w:ascii="Arial" w:hAnsi="Arial" w:cs="Arial"/>
        </w:rPr>
      </w:pPr>
      <w:r w:rsidRPr="00AC7A39">
        <w:rPr>
          <w:rFonts w:ascii="Arial" w:hAnsi="Arial" w:cs="Arial"/>
        </w:rPr>
        <w:t>Scale Renewables: Increase Power Purchase Agreement (PPA) opportunities globally for fixed energy cost scenarios with less volatility (Olarewaju et al., 2024)</w:t>
      </w:r>
      <w:r w:rsidR="00AC7A39">
        <w:rPr>
          <w:rFonts w:ascii="Arial" w:hAnsi="Arial" w:cs="Arial"/>
        </w:rPr>
        <w:t>.</w:t>
      </w:r>
    </w:p>
    <w:p w14:paraId="0959310D" w14:textId="4C285821" w:rsidR="005348E4" w:rsidRPr="00AC7A39" w:rsidRDefault="005348E4" w:rsidP="00AC7A39">
      <w:pPr>
        <w:pStyle w:val="ListParagraph"/>
        <w:numPr>
          <w:ilvl w:val="0"/>
          <w:numId w:val="5"/>
        </w:numPr>
        <w:spacing w:line="480" w:lineRule="auto"/>
        <w:rPr>
          <w:rFonts w:ascii="Arial" w:hAnsi="Arial" w:cs="Arial"/>
        </w:rPr>
      </w:pPr>
      <w:r w:rsidRPr="00AC7A39">
        <w:rPr>
          <w:rFonts w:ascii="Arial" w:hAnsi="Arial" w:cs="Arial"/>
        </w:rPr>
        <w:lastRenderedPageBreak/>
        <w:t>Circular Economy: Increase closed loop partnerships with suppliers for reusability opportunities instead of making more materials, minimizing carbon footprints and material costs.</w:t>
      </w:r>
    </w:p>
    <w:p w14:paraId="5D222779" w14:textId="43CC0ED4" w:rsidR="005348E4" w:rsidRPr="00AC7A39" w:rsidRDefault="005348E4" w:rsidP="005348E4">
      <w:pPr>
        <w:spacing w:line="480" w:lineRule="auto"/>
        <w:rPr>
          <w:rFonts w:ascii="Arial Black" w:hAnsi="Arial Black" w:cs="Arial"/>
        </w:rPr>
      </w:pPr>
      <w:r w:rsidRPr="00AC7A39">
        <w:rPr>
          <w:rFonts w:ascii="Arial Black" w:hAnsi="Arial Black" w:cs="Arial"/>
        </w:rPr>
        <w:t>Maximi</w:t>
      </w:r>
      <w:r w:rsidR="00AC7A39" w:rsidRPr="00AC7A39">
        <w:rPr>
          <w:rFonts w:ascii="Arial Black" w:hAnsi="Arial Black" w:cs="Arial"/>
        </w:rPr>
        <w:t>s</w:t>
      </w:r>
      <w:r w:rsidRPr="00AC7A39">
        <w:rPr>
          <w:rFonts w:ascii="Arial Black" w:hAnsi="Arial Black" w:cs="Arial"/>
        </w:rPr>
        <w:t>ing Stakeholder Collaboration</w:t>
      </w:r>
    </w:p>
    <w:p w14:paraId="7DF3F5A8" w14:textId="77777777" w:rsidR="005348E4" w:rsidRPr="00AC7A39" w:rsidRDefault="005348E4" w:rsidP="00AC7A39">
      <w:pPr>
        <w:pStyle w:val="ListParagraph"/>
        <w:numPr>
          <w:ilvl w:val="0"/>
          <w:numId w:val="6"/>
        </w:numPr>
        <w:spacing w:line="480" w:lineRule="auto"/>
        <w:rPr>
          <w:rFonts w:ascii="Arial" w:hAnsi="Arial" w:cs="Arial"/>
        </w:rPr>
      </w:pPr>
      <w:r w:rsidRPr="00AC7A39">
        <w:rPr>
          <w:rFonts w:ascii="Arial" w:hAnsi="Arial" w:cs="Arial"/>
        </w:rPr>
        <w:t>Supplier Co-Innovation: Fund sustainable packaging and low-emission logistics collaboration for suppliers to share development costs and risks (Choi &amp; Wang, 2009).</w:t>
      </w:r>
    </w:p>
    <w:p w14:paraId="6F450E80" w14:textId="77777777" w:rsidR="005348E4" w:rsidRPr="00AC7A39" w:rsidRDefault="005348E4" w:rsidP="00AC7A39">
      <w:pPr>
        <w:pStyle w:val="ListParagraph"/>
        <w:numPr>
          <w:ilvl w:val="0"/>
          <w:numId w:val="6"/>
        </w:numPr>
        <w:spacing w:line="480" w:lineRule="auto"/>
        <w:rPr>
          <w:rFonts w:ascii="Arial" w:hAnsi="Arial" w:cs="Arial"/>
        </w:rPr>
      </w:pPr>
      <w:r w:rsidRPr="00AC7A39">
        <w:rPr>
          <w:rFonts w:ascii="Arial" w:hAnsi="Arial" w:cs="Arial"/>
        </w:rPr>
        <w:t>Community Stakeholders in Alignment to SDG Goals: Scaling to a community grant focus around their SDG goals for a stronger brand equity and possible access to preferred government incentives (Jones, 2023).</w:t>
      </w:r>
    </w:p>
    <w:p w14:paraId="703CF80F" w14:textId="40F33760" w:rsidR="005348E4" w:rsidRPr="00AC7A39" w:rsidRDefault="00AC7A39" w:rsidP="005348E4">
      <w:pPr>
        <w:spacing w:line="480" w:lineRule="auto"/>
        <w:rPr>
          <w:rFonts w:ascii="Arial Black" w:hAnsi="Arial Black" w:cs="Arial"/>
        </w:rPr>
      </w:pPr>
      <w:r w:rsidRPr="00AC7A39">
        <w:rPr>
          <w:rFonts w:ascii="Arial Black" w:hAnsi="Arial Black" w:cs="Arial"/>
        </w:rPr>
        <w:t xml:space="preserve">Conclusion </w:t>
      </w:r>
    </w:p>
    <w:p w14:paraId="07B35A9F" w14:textId="51C22509" w:rsidR="005348E4" w:rsidRDefault="00AC7A39" w:rsidP="005348E4">
      <w:pPr>
        <w:spacing w:line="480" w:lineRule="auto"/>
        <w:rPr>
          <w:rFonts w:ascii="Arial" w:hAnsi="Arial" w:cs="Arial"/>
        </w:rPr>
      </w:pPr>
      <w:r>
        <w:rPr>
          <w:rFonts w:ascii="Arial" w:hAnsi="Arial" w:cs="Arial"/>
        </w:rPr>
        <w:t>R</w:t>
      </w:r>
      <w:r w:rsidR="005348E4" w:rsidRPr="005348E4">
        <w:rPr>
          <w:rFonts w:ascii="Arial" w:hAnsi="Arial" w:cs="Arial"/>
        </w:rPr>
        <w:t>atio analysis</w:t>
      </w:r>
      <w:r>
        <w:rPr>
          <w:rFonts w:ascii="Arial" w:hAnsi="Arial" w:cs="Arial"/>
        </w:rPr>
        <w:t xml:space="preserve"> was used</w:t>
      </w:r>
      <w:r w:rsidR="005348E4" w:rsidRPr="005348E4">
        <w:rPr>
          <w:rFonts w:ascii="Arial" w:hAnsi="Arial" w:cs="Arial"/>
        </w:rPr>
        <w:t xml:space="preserve"> to provide useful insight into analysing Tesco's financial health. Profitability ratios indicate an improved gross and operating margin from solid cost discipline and digital investments. Efficiency ratios indicate effective management of receivables with the only lower value ratio of inventory turnover suggesting areas of refinement in its forecasting. The liquidity ratios of below 1.0 should be strengthened with more cautious oversight of working capital. Sustainability initiatives have provided both a reduction in impact to the environment as well as some cost savings on the company bottom line, further validating the business case for continuing to integrate sustainability into the company's value chain. </w:t>
      </w:r>
    </w:p>
    <w:p w14:paraId="10B174EF" w14:textId="77777777" w:rsidR="0092047D" w:rsidRDefault="0092047D" w:rsidP="005348E4">
      <w:pPr>
        <w:spacing w:line="480" w:lineRule="auto"/>
        <w:rPr>
          <w:rFonts w:ascii="Arial" w:hAnsi="Arial" w:cs="Arial"/>
        </w:rPr>
      </w:pPr>
    </w:p>
    <w:p w14:paraId="64166A3E" w14:textId="77777777" w:rsidR="0092047D" w:rsidRDefault="0092047D" w:rsidP="005348E4">
      <w:pPr>
        <w:spacing w:line="480" w:lineRule="auto"/>
        <w:rPr>
          <w:rFonts w:ascii="Arial" w:hAnsi="Arial" w:cs="Arial"/>
        </w:rPr>
      </w:pPr>
    </w:p>
    <w:p w14:paraId="787214BD" w14:textId="5981AFA5" w:rsidR="0092047D" w:rsidRPr="0092047D" w:rsidRDefault="0092047D" w:rsidP="005348E4">
      <w:pPr>
        <w:spacing w:line="480" w:lineRule="auto"/>
        <w:rPr>
          <w:rFonts w:ascii="Arial Black" w:hAnsi="Arial Black" w:cs="Arial"/>
        </w:rPr>
      </w:pPr>
      <w:r w:rsidRPr="0092047D">
        <w:rPr>
          <w:rFonts w:ascii="Arial Black" w:hAnsi="Arial Black" w:cs="Arial"/>
        </w:rPr>
        <w:lastRenderedPageBreak/>
        <w:t xml:space="preserve">References </w:t>
      </w:r>
    </w:p>
    <w:p w14:paraId="148E1890" w14:textId="77777777" w:rsidR="0092047D" w:rsidRPr="0092047D" w:rsidRDefault="0092047D" w:rsidP="0092047D">
      <w:pPr>
        <w:spacing w:line="480" w:lineRule="auto"/>
        <w:rPr>
          <w:rFonts w:ascii="Arial" w:hAnsi="Arial" w:cs="Arial"/>
        </w:rPr>
      </w:pPr>
      <w:r w:rsidRPr="0092047D">
        <w:rPr>
          <w:rFonts w:ascii="Arial" w:hAnsi="Arial" w:cs="Arial"/>
        </w:rPr>
        <w:t xml:space="preserve">Attrill, P., &amp; McLaney, E. (2015). </w:t>
      </w:r>
      <w:r w:rsidRPr="0092047D">
        <w:rPr>
          <w:rFonts w:ascii="Arial" w:hAnsi="Arial" w:cs="Arial"/>
          <w:i/>
          <w:iCs/>
        </w:rPr>
        <w:t>Management accounting for decision makers</w:t>
      </w:r>
      <w:r w:rsidRPr="0092047D">
        <w:rPr>
          <w:rFonts w:ascii="Arial" w:hAnsi="Arial" w:cs="Arial"/>
        </w:rPr>
        <w:t xml:space="preserve"> (8th ed.). Cengage Learning.</w:t>
      </w:r>
    </w:p>
    <w:p w14:paraId="03153BAB" w14:textId="77777777" w:rsidR="0092047D" w:rsidRPr="0092047D" w:rsidRDefault="0092047D" w:rsidP="0092047D">
      <w:pPr>
        <w:spacing w:line="480" w:lineRule="auto"/>
        <w:rPr>
          <w:rFonts w:ascii="Arial" w:hAnsi="Arial" w:cs="Arial"/>
        </w:rPr>
      </w:pPr>
      <w:r w:rsidRPr="0092047D">
        <w:rPr>
          <w:rFonts w:ascii="Arial" w:hAnsi="Arial" w:cs="Arial"/>
        </w:rPr>
        <w:t xml:space="preserve">Choi, J., &amp; Wang, H. (2009). Stakeholder relations and the persistence of corporate financial performance. </w:t>
      </w:r>
      <w:r w:rsidRPr="0092047D">
        <w:rPr>
          <w:rFonts w:ascii="Arial" w:hAnsi="Arial" w:cs="Arial"/>
          <w:i/>
          <w:iCs/>
        </w:rPr>
        <w:t>Strategic Management Journal, 30(</w:t>
      </w:r>
      <w:r w:rsidRPr="0092047D">
        <w:rPr>
          <w:rFonts w:ascii="Arial" w:hAnsi="Arial" w:cs="Arial"/>
        </w:rPr>
        <w:t>8), 895–907.</w:t>
      </w:r>
    </w:p>
    <w:p w14:paraId="4423AA33" w14:textId="77777777" w:rsidR="0092047D" w:rsidRPr="0092047D" w:rsidRDefault="0092047D" w:rsidP="0092047D">
      <w:pPr>
        <w:spacing w:line="480" w:lineRule="auto"/>
        <w:rPr>
          <w:rFonts w:ascii="Arial" w:hAnsi="Arial" w:cs="Arial"/>
        </w:rPr>
      </w:pPr>
      <w:r w:rsidRPr="0092047D">
        <w:rPr>
          <w:rFonts w:ascii="Arial" w:hAnsi="Arial" w:cs="Arial"/>
        </w:rPr>
        <w:t xml:space="preserve">Drury, J. (2020). </w:t>
      </w:r>
      <w:r w:rsidRPr="0092047D">
        <w:rPr>
          <w:rFonts w:ascii="Arial" w:hAnsi="Arial" w:cs="Arial"/>
          <w:i/>
          <w:iCs/>
        </w:rPr>
        <w:t>Management and cost accounting</w:t>
      </w:r>
      <w:r w:rsidRPr="0092047D">
        <w:rPr>
          <w:rFonts w:ascii="Arial" w:hAnsi="Arial" w:cs="Arial"/>
        </w:rPr>
        <w:t xml:space="preserve"> (9th ed.). Cengage Learning.</w:t>
      </w:r>
    </w:p>
    <w:p w14:paraId="24CEFE53" w14:textId="77777777" w:rsidR="0092047D" w:rsidRPr="0092047D" w:rsidRDefault="0092047D" w:rsidP="0092047D">
      <w:pPr>
        <w:spacing w:line="480" w:lineRule="auto"/>
        <w:rPr>
          <w:rFonts w:ascii="Arial" w:hAnsi="Arial" w:cs="Arial"/>
        </w:rPr>
      </w:pPr>
      <w:r w:rsidRPr="0092047D">
        <w:rPr>
          <w:rFonts w:ascii="Arial" w:hAnsi="Arial" w:cs="Arial"/>
        </w:rPr>
        <w:t xml:space="preserve">Haddock-Millar, J., &amp; Rigby, C. (2015). Business strategy and the environment: Tesco PLC’s declining financial performance and underlying issues. </w:t>
      </w:r>
      <w:r w:rsidRPr="0092047D">
        <w:rPr>
          <w:rFonts w:ascii="Arial" w:hAnsi="Arial" w:cs="Arial"/>
          <w:i/>
          <w:iCs/>
        </w:rPr>
        <w:t>Review of Business &amp; Finance Studies, 6(</w:t>
      </w:r>
      <w:r w:rsidRPr="0092047D">
        <w:rPr>
          <w:rFonts w:ascii="Arial" w:hAnsi="Arial" w:cs="Arial"/>
        </w:rPr>
        <w:t>3), 91–103.</w:t>
      </w:r>
    </w:p>
    <w:p w14:paraId="6C6C6A27" w14:textId="77777777" w:rsidR="0092047D" w:rsidRPr="0092047D" w:rsidRDefault="0092047D" w:rsidP="0092047D">
      <w:pPr>
        <w:spacing w:line="480" w:lineRule="auto"/>
        <w:rPr>
          <w:rFonts w:ascii="Arial" w:hAnsi="Arial" w:cs="Arial"/>
        </w:rPr>
      </w:pPr>
      <w:r w:rsidRPr="0092047D">
        <w:rPr>
          <w:rFonts w:ascii="Arial" w:hAnsi="Arial" w:cs="Arial"/>
        </w:rPr>
        <w:t xml:space="preserve">Hashim, M., Nazam, M., Abrar, M., Hussain, Z., Nazim, M., &amp; Shabbir, R. (2021). Unlocking the sustainable production indicators: A novel Tesco based fuzzy AHP approach. </w:t>
      </w:r>
      <w:r w:rsidRPr="0092047D">
        <w:rPr>
          <w:rFonts w:ascii="Arial" w:hAnsi="Arial" w:cs="Arial"/>
          <w:i/>
          <w:iCs/>
        </w:rPr>
        <w:t>Cogent Business &amp; Management, 8(</w:t>
      </w:r>
      <w:r w:rsidRPr="0092047D">
        <w:rPr>
          <w:rFonts w:ascii="Arial" w:hAnsi="Arial" w:cs="Arial"/>
        </w:rPr>
        <w:t>1), 1870807.</w:t>
      </w:r>
    </w:p>
    <w:p w14:paraId="7C201A61" w14:textId="77777777" w:rsidR="0092047D" w:rsidRPr="0092047D" w:rsidRDefault="0092047D" w:rsidP="0092047D">
      <w:pPr>
        <w:spacing w:line="480" w:lineRule="auto"/>
        <w:rPr>
          <w:rFonts w:ascii="Arial" w:hAnsi="Arial" w:cs="Arial"/>
        </w:rPr>
      </w:pPr>
      <w:r w:rsidRPr="0092047D">
        <w:rPr>
          <w:rFonts w:ascii="Arial" w:hAnsi="Arial" w:cs="Arial"/>
        </w:rPr>
        <w:t xml:space="preserve">Jones, P. (2023). Corporate social responsibility and the sustainable development goals: The UK’s four largest retailers. In BEYOND THE DARK ARTS: </w:t>
      </w:r>
      <w:r w:rsidRPr="0092047D">
        <w:rPr>
          <w:rFonts w:ascii="Arial" w:hAnsi="Arial" w:cs="Arial"/>
          <w:i/>
          <w:iCs/>
        </w:rPr>
        <w:t xml:space="preserve">Advancing Marketing and Communication Theory and Practice </w:t>
      </w:r>
      <w:r w:rsidRPr="0092047D">
        <w:rPr>
          <w:rFonts w:ascii="Arial" w:hAnsi="Arial" w:cs="Arial"/>
        </w:rPr>
        <w:t>(pp. 97–121).</w:t>
      </w:r>
    </w:p>
    <w:p w14:paraId="181A5864" w14:textId="77777777" w:rsidR="0092047D" w:rsidRPr="0092047D" w:rsidRDefault="0092047D" w:rsidP="0092047D">
      <w:pPr>
        <w:spacing w:line="480" w:lineRule="auto"/>
        <w:rPr>
          <w:rFonts w:ascii="Arial" w:hAnsi="Arial" w:cs="Arial"/>
        </w:rPr>
      </w:pPr>
      <w:r w:rsidRPr="0092047D">
        <w:rPr>
          <w:rFonts w:ascii="Arial" w:hAnsi="Arial" w:cs="Arial"/>
        </w:rPr>
        <w:t xml:space="preserve">Jones, P. (2025). Sustainability and the UK’s leading clothing retailers. </w:t>
      </w:r>
      <w:r w:rsidRPr="0092047D">
        <w:rPr>
          <w:rFonts w:ascii="Arial" w:hAnsi="Arial" w:cs="Arial"/>
          <w:i/>
          <w:iCs/>
        </w:rPr>
        <w:t>Athens Journal of Business and Economics, 11(</w:t>
      </w:r>
      <w:r w:rsidRPr="0092047D">
        <w:rPr>
          <w:rFonts w:ascii="Arial" w:hAnsi="Arial" w:cs="Arial"/>
        </w:rPr>
        <w:t>1), 9–24.</w:t>
      </w:r>
    </w:p>
    <w:p w14:paraId="18EF4F18" w14:textId="77777777" w:rsidR="0092047D" w:rsidRPr="0092047D" w:rsidRDefault="0092047D" w:rsidP="0092047D">
      <w:pPr>
        <w:spacing w:line="480" w:lineRule="auto"/>
        <w:rPr>
          <w:rFonts w:ascii="Arial" w:hAnsi="Arial" w:cs="Arial"/>
        </w:rPr>
      </w:pPr>
      <w:r w:rsidRPr="0092047D">
        <w:rPr>
          <w:rFonts w:ascii="Arial" w:hAnsi="Arial" w:cs="Arial"/>
        </w:rPr>
        <w:t xml:space="preserve">Lucey, T. (2009). </w:t>
      </w:r>
      <w:r w:rsidRPr="0092047D">
        <w:rPr>
          <w:rFonts w:ascii="Arial" w:hAnsi="Arial" w:cs="Arial"/>
          <w:i/>
          <w:iCs/>
        </w:rPr>
        <w:t>Costing</w:t>
      </w:r>
      <w:r w:rsidRPr="0092047D">
        <w:rPr>
          <w:rFonts w:ascii="Arial" w:hAnsi="Arial" w:cs="Arial"/>
        </w:rPr>
        <w:t xml:space="preserve"> (7th ed.). Cengage Learning.</w:t>
      </w:r>
    </w:p>
    <w:p w14:paraId="11628618" w14:textId="77777777" w:rsidR="0092047D" w:rsidRPr="0092047D" w:rsidRDefault="0092047D" w:rsidP="0092047D">
      <w:pPr>
        <w:spacing w:line="480" w:lineRule="auto"/>
        <w:rPr>
          <w:rFonts w:ascii="Arial" w:hAnsi="Arial" w:cs="Arial"/>
        </w:rPr>
      </w:pPr>
      <w:r w:rsidRPr="0092047D">
        <w:rPr>
          <w:rFonts w:ascii="Arial" w:hAnsi="Arial" w:cs="Arial"/>
        </w:rPr>
        <w:t xml:space="preserve">Meng, S. (2024). Operation management of grocery retailer in the UK: A case of Tesco. </w:t>
      </w:r>
      <w:r w:rsidRPr="0092047D">
        <w:rPr>
          <w:rFonts w:ascii="Arial" w:hAnsi="Arial" w:cs="Arial"/>
          <w:i/>
          <w:iCs/>
        </w:rPr>
        <w:t>Pacific International Journal, 7(</w:t>
      </w:r>
      <w:r w:rsidRPr="0092047D">
        <w:rPr>
          <w:rFonts w:ascii="Arial" w:hAnsi="Arial" w:cs="Arial"/>
        </w:rPr>
        <w:t>2), 136–142.</w:t>
      </w:r>
    </w:p>
    <w:p w14:paraId="3788ADBC" w14:textId="77777777" w:rsidR="0092047D" w:rsidRPr="0092047D" w:rsidRDefault="0092047D" w:rsidP="0092047D">
      <w:pPr>
        <w:spacing w:line="480" w:lineRule="auto"/>
        <w:rPr>
          <w:rFonts w:ascii="Arial" w:hAnsi="Arial" w:cs="Arial"/>
        </w:rPr>
      </w:pPr>
      <w:r w:rsidRPr="0092047D">
        <w:rPr>
          <w:rFonts w:ascii="Arial" w:hAnsi="Arial" w:cs="Arial"/>
        </w:rPr>
        <w:t xml:space="preserve">Mohammed, B., Ojo, O. O., &amp; Shah, S. (2024, November). </w:t>
      </w:r>
      <w:r w:rsidRPr="0092047D">
        <w:rPr>
          <w:rFonts w:ascii="Arial" w:hAnsi="Arial" w:cs="Arial"/>
          <w:i/>
          <w:iCs/>
        </w:rPr>
        <w:t>Impact of digital transformation on conventional business models: A review.</w:t>
      </w:r>
      <w:r w:rsidRPr="0092047D">
        <w:rPr>
          <w:rFonts w:ascii="Arial" w:hAnsi="Arial" w:cs="Arial"/>
        </w:rPr>
        <w:t xml:space="preserve"> In 2024 IEEE </w:t>
      </w:r>
      <w:r w:rsidRPr="0092047D">
        <w:rPr>
          <w:rFonts w:ascii="Arial" w:hAnsi="Arial" w:cs="Arial"/>
        </w:rPr>
        <w:lastRenderedPageBreak/>
        <w:t>International Conference on Technology Management, Operations and Decisions (ICTMOD) (pp. 1–6). IEEE.</w:t>
      </w:r>
    </w:p>
    <w:p w14:paraId="24285BED" w14:textId="77777777" w:rsidR="0092047D" w:rsidRPr="0092047D" w:rsidRDefault="0092047D" w:rsidP="0092047D">
      <w:pPr>
        <w:spacing w:line="480" w:lineRule="auto"/>
        <w:rPr>
          <w:rFonts w:ascii="Arial" w:hAnsi="Arial" w:cs="Arial"/>
        </w:rPr>
      </w:pPr>
      <w:r w:rsidRPr="0092047D">
        <w:rPr>
          <w:rFonts w:ascii="Arial" w:hAnsi="Arial" w:cs="Arial"/>
        </w:rPr>
        <w:t xml:space="preserve">Olarewaju, T., Dani, S., Obeng-Fosu, C., Olarewaju, T., &amp; Jabbar, A. (2024). The impact of climate action on the financial performance of food, grocery, and supermarket retailers in the UK. </w:t>
      </w:r>
      <w:r w:rsidRPr="0092047D">
        <w:rPr>
          <w:rFonts w:ascii="Arial" w:hAnsi="Arial" w:cs="Arial"/>
          <w:i/>
          <w:iCs/>
        </w:rPr>
        <w:t>Sustainability, 16(</w:t>
      </w:r>
      <w:r w:rsidRPr="0092047D">
        <w:rPr>
          <w:rFonts w:ascii="Arial" w:hAnsi="Arial" w:cs="Arial"/>
        </w:rPr>
        <w:t>5), 1785.</w:t>
      </w:r>
    </w:p>
    <w:p w14:paraId="612DFC95" w14:textId="77777777" w:rsidR="0092047D" w:rsidRPr="0092047D" w:rsidRDefault="0092047D" w:rsidP="0092047D">
      <w:pPr>
        <w:spacing w:line="480" w:lineRule="auto"/>
        <w:rPr>
          <w:rFonts w:ascii="Arial" w:hAnsi="Arial" w:cs="Arial"/>
        </w:rPr>
      </w:pPr>
      <w:r w:rsidRPr="0092047D">
        <w:rPr>
          <w:rFonts w:ascii="Arial" w:hAnsi="Arial" w:cs="Arial"/>
        </w:rPr>
        <w:t xml:space="preserve">Sheehy, B., </w:t>
      </w:r>
      <w:proofErr w:type="spellStart"/>
      <w:r w:rsidRPr="0092047D">
        <w:rPr>
          <w:rFonts w:ascii="Arial" w:hAnsi="Arial" w:cs="Arial"/>
        </w:rPr>
        <w:t>Tuslian</w:t>
      </w:r>
      <w:proofErr w:type="spellEnd"/>
      <w:r w:rsidRPr="0092047D">
        <w:rPr>
          <w:rFonts w:ascii="Arial" w:hAnsi="Arial" w:cs="Arial"/>
        </w:rPr>
        <w:t xml:space="preserve">, W., &amp; Lie, L. (2021). The use of international soft law for corporate social responsibility reporting in the retail industry: A study of four major retailers in the Asia-Pacific. </w:t>
      </w:r>
      <w:r w:rsidRPr="0092047D">
        <w:rPr>
          <w:rFonts w:ascii="Arial" w:hAnsi="Arial" w:cs="Arial"/>
          <w:i/>
          <w:iCs/>
        </w:rPr>
        <w:t>Canberra Law Review, 18(</w:t>
      </w:r>
      <w:r w:rsidRPr="0092047D">
        <w:rPr>
          <w:rFonts w:ascii="Arial" w:hAnsi="Arial" w:cs="Arial"/>
        </w:rPr>
        <w:t>1), 60–80.</w:t>
      </w:r>
    </w:p>
    <w:p w14:paraId="613D617D" w14:textId="19559586" w:rsidR="0092047D" w:rsidRDefault="0092047D" w:rsidP="0092047D">
      <w:pPr>
        <w:spacing w:line="480" w:lineRule="auto"/>
        <w:rPr>
          <w:rFonts w:ascii="Arial" w:hAnsi="Arial" w:cs="Arial"/>
        </w:rPr>
      </w:pPr>
      <w:r w:rsidRPr="0092047D">
        <w:rPr>
          <w:rFonts w:ascii="Arial" w:hAnsi="Arial" w:cs="Arial"/>
        </w:rPr>
        <w:t xml:space="preserve">Tesco PLC. (2023). </w:t>
      </w:r>
      <w:r w:rsidRPr="0092047D">
        <w:rPr>
          <w:rFonts w:ascii="Arial" w:hAnsi="Arial" w:cs="Arial"/>
          <w:i/>
          <w:iCs/>
        </w:rPr>
        <w:t>Annual report 2023</w:t>
      </w:r>
      <w:r w:rsidRPr="0092047D">
        <w:rPr>
          <w:rFonts w:ascii="Arial" w:hAnsi="Arial" w:cs="Arial"/>
        </w:rPr>
        <w:t xml:space="preserve">. </w:t>
      </w:r>
      <w:hyperlink r:id="rId7" w:history="1">
        <w:r w:rsidRPr="007672A4">
          <w:rPr>
            <w:rStyle w:val="Hyperlink"/>
            <w:rFonts w:ascii="Arial" w:hAnsi="Arial" w:cs="Arial"/>
          </w:rPr>
          <w:t>https://www.tescoplc.com/investors/reports-results-and-presentations/annual-report-2023</w:t>
        </w:r>
      </w:hyperlink>
    </w:p>
    <w:p w14:paraId="6C520AE8" w14:textId="395DAB4A" w:rsidR="0092047D" w:rsidRDefault="0092047D" w:rsidP="0092047D">
      <w:pPr>
        <w:spacing w:line="480" w:lineRule="auto"/>
        <w:rPr>
          <w:rFonts w:ascii="Arial" w:hAnsi="Arial" w:cs="Arial"/>
        </w:rPr>
      </w:pPr>
      <w:r w:rsidRPr="0092047D">
        <w:rPr>
          <w:rFonts w:ascii="Arial" w:hAnsi="Arial" w:cs="Arial"/>
        </w:rPr>
        <w:t xml:space="preserve">Tesco PLC. (2024). </w:t>
      </w:r>
      <w:r w:rsidRPr="0092047D">
        <w:rPr>
          <w:rFonts w:ascii="Arial" w:hAnsi="Arial" w:cs="Arial"/>
          <w:i/>
          <w:iCs/>
        </w:rPr>
        <w:t>Annual report 2024</w:t>
      </w:r>
      <w:r w:rsidRPr="0092047D">
        <w:rPr>
          <w:rFonts w:ascii="Arial" w:hAnsi="Arial" w:cs="Arial"/>
        </w:rPr>
        <w:t xml:space="preserve">. </w:t>
      </w:r>
      <w:hyperlink r:id="rId8" w:history="1">
        <w:r w:rsidRPr="007672A4">
          <w:rPr>
            <w:rStyle w:val="Hyperlink"/>
            <w:rFonts w:ascii="Arial" w:hAnsi="Arial" w:cs="Arial"/>
          </w:rPr>
          <w:t>https://www.tescoplc.com/investors/reports-results-and-presentations/annual-report-2024</w:t>
        </w:r>
      </w:hyperlink>
    </w:p>
    <w:p w14:paraId="15C66F5D" w14:textId="7B364716" w:rsidR="0092047D" w:rsidRPr="0092047D" w:rsidRDefault="0092047D" w:rsidP="0092047D">
      <w:pPr>
        <w:spacing w:line="480" w:lineRule="auto"/>
        <w:rPr>
          <w:rFonts w:ascii="Arial" w:hAnsi="Arial" w:cs="Arial"/>
        </w:rPr>
      </w:pPr>
      <w:r w:rsidRPr="0092047D">
        <w:rPr>
          <w:rFonts w:ascii="Arial" w:hAnsi="Arial" w:cs="Arial"/>
        </w:rPr>
        <w:t xml:space="preserve">Wood, F. (2015). </w:t>
      </w:r>
      <w:r w:rsidRPr="0092047D">
        <w:rPr>
          <w:rFonts w:ascii="Arial" w:hAnsi="Arial" w:cs="Arial"/>
          <w:i/>
          <w:iCs/>
        </w:rPr>
        <w:t>Frank Wood’s business accounting 1</w:t>
      </w:r>
      <w:r w:rsidRPr="0092047D">
        <w:rPr>
          <w:rFonts w:ascii="Arial" w:hAnsi="Arial" w:cs="Arial"/>
        </w:rPr>
        <w:t xml:space="preserve"> (13th ed.). FT Pitman Publications.</w:t>
      </w:r>
    </w:p>
    <w:p w14:paraId="215DDBB1" w14:textId="7B5E870E" w:rsidR="0092047D" w:rsidRDefault="0092047D" w:rsidP="0092047D">
      <w:pPr>
        <w:spacing w:line="480" w:lineRule="auto"/>
        <w:rPr>
          <w:rFonts w:ascii="Arial" w:hAnsi="Arial" w:cs="Arial"/>
        </w:rPr>
      </w:pPr>
      <w:r w:rsidRPr="0092047D">
        <w:rPr>
          <w:rFonts w:ascii="Arial" w:hAnsi="Arial" w:cs="Arial"/>
        </w:rPr>
        <w:t xml:space="preserve">Wood, S., Wrigley, N., &amp; Coe, N. M. (2017). Capital discipline and financial market relations in retail globalization: Insights from the case of Tesco plc. </w:t>
      </w:r>
      <w:r w:rsidRPr="0092047D">
        <w:rPr>
          <w:rFonts w:ascii="Arial" w:hAnsi="Arial" w:cs="Arial"/>
          <w:i/>
          <w:iCs/>
        </w:rPr>
        <w:t>Journal of Economic Geography, 17(</w:t>
      </w:r>
      <w:r w:rsidRPr="0092047D">
        <w:rPr>
          <w:rFonts w:ascii="Arial" w:hAnsi="Arial" w:cs="Arial"/>
        </w:rPr>
        <w:t>1), 31–57.</w:t>
      </w:r>
    </w:p>
    <w:p w14:paraId="6E43C788" w14:textId="3BE034BA" w:rsidR="0092047D" w:rsidRPr="0092047D" w:rsidRDefault="0092047D" w:rsidP="0092047D">
      <w:pPr>
        <w:spacing w:line="480" w:lineRule="auto"/>
        <w:rPr>
          <w:rFonts w:ascii="Arial" w:hAnsi="Arial" w:cs="Arial"/>
        </w:rPr>
      </w:pPr>
      <w:hyperlink r:id="rId9" w:history="1">
        <w:r w:rsidRPr="007672A4">
          <w:rPr>
            <w:rStyle w:val="Hyperlink"/>
            <w:rFonts w:ascii="Arial" w:hAnsi="Arial" w:cs="Arial"/>
          </w:rPr>
          <w:t>https://corporate.tescoinsurance.com/media/n2fjslz2/tpfg-plc-annual-report-and-accounts-29-february-2024.pdf</w:t>
        </w:r>
      </w:hyperlink>
      <w:r>
        <w:rPr>
          <w:rFonts w:ascii="Arial" w:hAnsi="Arial" w:cs="Arial"/>
        </w:rPr>
        <w:t xml:space="preserve"> </w:t>
      </w:r>
      <w:r w:rsidRPr="0092047D">
        <w:rPr>
          <w:rFonts w:ascii="Arial" w:hAnsi="Arial" w:cs="Arial"/>
        </w:rPr>
        <w:t xml:space="preserve"> </w:t>
      </w:r>
      <w:r>
        <w:rPr>
          <w:rFonts w:ascii="Arial" w:hAnsi="Arial" w:cs="Arial"/>
        </w:rPr>
        <w:t xml:space="preserve"> </w:t>
      </w:r>
    </w:p>
    <w:p w14:paraId="394A9D8C" w14:textId="7EF70815" w:rsidR="0092047D" w:rsidRPr="0092047D" w:rsidRDefault="0092047D" w:rsidP="0092047D">
      <w:pPr>
        <w:spacing w:line="480" w:lineRule="auto"/>
        <w:rPr>
          <w:rFonts w:ascii="Arial" w:hAnsi="Arial" w:cs="Arial"/>
        </w:rPr>
      </w:pPr>
      <w:hyperlink r:id="rId10" w:history="1">
        <w:r w:rsidRPr="007672A4">
          <w:rPr>
            <w:rStyle w:val="Hyperlink"/>
            <w:rFonts w:ascii="Arial" w:hAnsi="Arial" w:cs="Arial"/>
          </w:rPr>
          <w:t>https://www.hl.co.uk/shares/shares-search-results/t/tesco-plc-ordinary-6.333p/financial-statements-and-reports</w:t>
        </w:r>
      </w:hyperlink>
      <w:r>
        <w:rPr>
          <w:rFonts w:ascii="Arial" w:hAnsi="Arial" w:cs="Arial"/>
        </w:rPr>
        <w:t xml:space="preserve">  </w:t>
      </w:r>
    </w:p>
    <w:p w14:paraId="7E8AE87C" w14:textId="63207163" w:rsidR="0092047D" w:rsidRPr="0092047D" w:rsidRDefault="0092047D" w:rsidP="0092047D">
      <w:pPr>
        <w:spacing w:line="480" w:lineRule="auto"/>
        <w:rPr>
          <w:rFonts w:ascii="Arial" w:hAnsi="Arial" w:cs="Arial"/>
        </w:rPr>
      </w:pPr>
      <w:hyperlink r:id="rId11" w:history="1">
        <w:r w:rsidRPr="007672A4">
          <w:rPr>
            <w:rStyle w:val="Hyperlink"/>
            <w:rFonts w:ascii="Arial" w:hAnsi="Arial" w:cs="Arial"/>
          </w:rPr>
          <w:t>https://www.fidelity.co.uk/factsheet-data/factsheet/GB00BLGZ9862-tesco/news-key-dates-and-documents</w:t>
        </w:r>
      </w:hyperlink>
      <w:r>
        <w:rPr>
          <w:rFonts w:ascii="Arial" w:hAnsi="Arial" w:cs="Arial"/>
        </w:rPr>
        <w:t xml:space="preserve"> </w:t>
      </w:r>
      <w:r w:rsidRPr="0092047D">
        <w:rPr>
          <w:rFonts w:ascii="Arial" w:hAnsi="Arial" w:cs="Arial"/>
        </w:rPr>
        <w:t xml:space="preserve"> </w:t>
      </w:r>
    </w:p>
    <w:p w14:paraId="5C9079B8" w14:textId="7E0A13DB" w:rsidR="0092047D" w:rsidRPr="005348E4" w:rsidRDefault="0092047D" w:rsidP="0092047D">
      <w:pPr>
        <w:spacing w:line="480" w:lineRule="auto"/>
        <w:rPr>
          <w:rFonts w:ascii="Arial" w:hAnsi="Arial" w:cs="Arial"/>
        </w:rPr>
      </w:pPr>
      <w:hyperlink r:id="rId12" w:history="1">
        <w:r w:rsidRPr="007672A4">
          <w:rPr>
            <w:rStyle w:val="Hyperlink"/>
            <w:rFonts w:ascii="Arial" w:hAnsi="Arial" w:cs="Arial"/>
          </w:rPr>
          <w:t>https://www.fundslibrary.co.uk/FundsLibrary.DataRetrieval/Documents.aspx/?type=sl.ra.full&amp;id=42cd6308-1c87-4912-abd8-9312db9e7c0b&amp;user=EhHyZoyJUiipDt32hzFib%2bV3iJHasgCay1MGSaI6yDrZo1ulhSSB6fnaYawstVya&amp;r=1</w:t>
        </w:r>
      </w:hyperlink>
      <w:r>
        <w:rPr>
          <w:rFonts w:ascii="Arial" w:hAnsi="Arial" w:cs="Arial"/>
        </w:rPr>
        <w:t xml:space="preserve"> </w:t>
      </w:r>
    </w:p>
    <w:sectPr w:rsidR="0092047D" w:rsidRPr="005348E4" w:rsidSect="0092047D">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199E0" w14:textId="77777777" w:rsidR="00FC2883" w:rsidRDefault="00FC2883" w:rsidP="00E505D5">
      <w:pPr>
        <w:spacing w:after="0" w:line="240" w:lineRule="auto"/>
      </w:pPr>
      <w:r>
        <w:separator/>
      </w:r>
    </w:p>
  </w:endnote>
  <w:endnote w:type="continuationSeparator" w:id="0">
    <w:p w14:paraId="2970D28E" w14:textId="77777777" w:rsidR="00FC2883" w:rsidRDefault="00FC2883" w:rsidP="00E50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766C2" w14:textId="77777777" w:rsidR="00FC2883" w:rsidRDefault="00FC2883" w:rsidP="00E505D5">
      <w:pPr>
        <w:spacing w:after="0" w:line="240" w:lineRule="auto"/>
      </w:pPr>
      <w:r>
        <w:separator/>
      </w:r>
    </w:p>
  </w:footnote>
  <w:footnote w:type="continuationSeparator" w:id="0">
    <w:p w14:paraId="28ED2082" w14:textId="77777777" w:rsidR="00FC2883" w:rsidRDefault="00FC2883" w:rsidP="00E505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4165951"/>
      <w:docPartObj>
        <w:docPartGallery w:val="Page Numbers (Top of Page)"/>
        <w:docPartUnique/>
      </w:docPartObj>
    </w:sdtPr>
    <w:sdtEndPr>
      <w:rPr>
        <w:noProof/>
      </w:rPr>
    </w:sdtEndPr>
    <w:sdtContent>
      <w:p w14:paraId="23A3299F" w14:textId="6FC17869" w:rsidR="00E505D5" w:rsidRDefault="00E505D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6C0850D" w14:textId="77777777" w:rsidR="00E505D5" w:rsidRDefault="00E505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D6419"/>
    <w:multiLevelType w:val="hybridMultilevel"/>
    <w:tmpl w:val="142E93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AF1D81"/>
    <w:multiLevelType w:val="hybridMultilevel"/>
    <w:tmpl w:val="47C2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B87920"/>
    <w:multiLevelType w:val="hybridMultilevel"/>
    <w:tmpl w:val="076A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654CBD"/>
    <w:multiLevelType w:val="hybridMultilevel"/>
    <w:tmpl w:val="6D56D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184BEC"/>
    <w:multiLevelType w:val="hybridMultilevel"/>
    <w:tmpl w:val="D5A4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C50AD3"/>
    <w:multiLevelType w:val="hybridMultilevel"/>
    <w:tmpl w:val="FE98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803174">
    <w:abstractNumId w:val="0"/>
  </w:num>
  <w:num w:numId="2" w16cid:durableId="292290647">
    <w:abstractNumId w:val="2"/>
  </w:num>
  <w:num w:numId="3" w16cid:durableId="621543903">
    <w:abstractNumId w:val="5"/>
  </w:num>
  <w:num w:numId="4" w16cid:durableId="2096048285">
    <w:abstractNumId w:val="3"/>
  </w:num>
  <w:num w:numId="5" w16cid:durableId="1292059499">
    <w:abstractNumId w:val="1"/>
  </w:num>
  <w:num w:numId="6" w16cid:durableId="652373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8E4"/>
    <w:rsid w:val="002749F2"/>
    <w:rsid w:val="005348E4"/>
    <w:rsid w:val="008F6BEE"/>
    <w:rsid w:val="0092047D"/>
    <w:rsid w:val="00AC7A39"/>
    <w:rsid w:val="00E505D5"/>
    <w:rsid w:val="00FC2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C954C"/>
  <w15:chartTrackingRefBased/>
  <w15:docId w15:val="{507FBE7D-DC59-409B-BDD3-C2DF9382E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8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48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48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48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8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8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48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48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48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8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8E4"/>
    <w:rPr>
      <w:rFonts w:eastAsiaTheme="majorEastAsia" w:cstheme="majorBidi"/>
      <w:color w:val="272727" w:themeColor="text1" w:themeTint="D8"/>
    </w:rPr>
  </w:style>
  <w:style w:type="paragraph" w:styleId="Title">
    <w:name w:val="Title"/>
    <w:basedOn w:val="Normal"/>
    <w:next w:val="Normal"/>
    <w:link w:val="TitleChar"/>
    <w:uiPriority w:val="10"/>
    <w:qFormat/>
    <w:rsid w:val="00534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8E4"/>
    <w:pPr>
      <w:spacing w:before="160"/>
      <w:jc w:val="center"/>
    </w:pPr>
    <w:rPr>
      <w:i/>
      <w:iCs/>
      <w:color w:val="404040" w:themeColor="text1" w:themeTint="BF"/>
    </w:rPr>
  </w:style>
  <w:style w:type="character" w:customStyle="1" w:styleId="QuoteChar">
    <w:name w:val="Quote Char"/>
    <w:basedOn w:val="DefaultParagraphFont"/>
    <w:link w:val="Quote"/>
    <w:uiPriority w:val="29"/>
    <w:rsid w:val="005348E4"/>
    <w:rPr>
      <w:i/>
      <w:iCs/>
      <w:color w:val="404040" w:themeColor="text1" w:themeTint="BF"/>
    </w:rPr>
  </w:style>
  <w:style w:type="paragraph" w:styleId="ListParagraph">
    <w:name w:val="List Paragraph"/>
    <w:basedOn w:val="Normal"/>
    <w:uiPriority w:val="34"/>
    <w:qFormat/>
    <w:rsid w:val="005348E4"/>
    <w:pPr>
      <w:ind w:left="720"/>
      <w:contextualSpacing/>
    </w:pPr>
  </w:style>
  <w:style w:type="character" w:styleId="IntenseEmphasis">
    <w:name w:val="Intense Emphasis"/>
    <w:basedOn w:val="DefaultParagraphFont"/>
    <w:uiPriority w:val="21"/>
    <w:qFormat/>
    <w:rsid w:val="005348E4"/>
    <w:rPr>
      <w:i/>
      <w:iCs/>
      <w:color w:val="0F4761" w:themeColor="accent1" w:themeShade="BF"/>
    </w:rPr>
  </w:style>
  <w:style w:type="paragraph" w:styleId="IntenseQuote">
    <w:name w:val="Intense Quote"/>
    <w:basedOn w:val="Normal"/>
    <w:next w:val="Normal"/>
    <w:link w:val="IntenseQuoteChar"/>
    <w:uiPriority w:val="30"/>
    <w:qFormat/>
    <w:rsid w:val="005348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8E4"/>
    <w:rPr>
      <w:i/>
      <w:iCs/>
      <w:color w:val="0F4761" w:themeColor="accent1" w:themeShade="BF"/>
    </w:rPr>
  </w:style>
  <w:style w:type="character" w:styleId="IntenseReference">
    <w:name w:val="Intense Reference"/>
    <w:basedOn w:val="DefaultParagraphFont"/>
    <w:uiPriority w:val="32"/>
    <w:qFormat/>
    <w:rsid w:val="005348E4"/>
    <w:rPr>
      <w:b/>
      <w:bCs/>
      <w:smallCaps/>
      <w:color w:val="0F4761" w:themeColor="accent1" w:themeShade="BF"/>
      <w:spacing w:val="5"/>
    </w:rPr>
  </w:style>
  <w:style w:type="paragraph" w:styleId="Header">
    <w:name w:val="header"/>
    <w:basedOn w:val="Normal"/>
    <w:link w:val="HeaderChar"/>
    <w:uiPriority w:val="99"/>
    <w:unhideWhenUsed/>
    <w:rsid w:val="00E50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5D5"/>
  </w:style>
  <w:style w:type="paragraph" w:styleId="Footer">
    <w:name w:val="footer"/>
    <w:basedOn w:val="Normal"/>
    <w:link w:val="FooterChar"/>
    <w:uiPriority w:val="99"/>
    <w:unhideWhenUsed/>
    <w:rsid w:val="00E50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5D5"/>
  </w:style>
  <w:style w:type="character" w:styleId="Hyperlink">
    <w:name w:val="Hyperlink"/>
    <w:basedOn w:val="DefaultParagraphFont"/>
    <w:uiPriority w:val="99"/>
    <w:unhideWhenUsed/>
    <w:rsid w:val="0092047D"/>
    <w:rPr>
      <w:color w:val="467886" w:themeColor="hyperlink"/>
      <w:u w:val="single"/>
    </w:rPr>
  </w:style>
  <w:style w:type="character" w:styleId="UnresolvedMention">
    <w:name w:val="Unresolved Mention"/>
    <w:basedOn w:val="DefaultParagraphFont"/>
    <w:uiPriority w:val="99"/>
    <w:semiHidden/>
    <w:unhideWhenUsed/>
    <w:rsid w:val="0092047D"/>
    <w:rPr>
      <w:color w:val="605E5C"/>
      <w:shd w:val="clear" w:color="auto" w:fill="E1DFDD"/>
    </w:rPr>
  </w:style>
  <w:style w:type="paragraph" w:styleId="NoSpacing">
    <w:name w:val="No Spacing"/>
    <w:link w:val="NoSpacingChar"/>
    <w:uiPriority w:val="1"/>
    <w:qFormat/>
    <w:rsid w:val="0092047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2047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investors/reports-results-and-presentations/annual-report-202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escoplc.com/investors/reports-results-and-presentations/annual-report-2023" TargetMode="External"/><Relationship Id="rId12" Type="http://schemas.openxmlformats.org/officeDocument/2006/relationships/hyperlink" Target="https://www.fundslibrary.co.uk/FundsLibrary.DataRetrieval/Documents.aspx/?type=sl.ra.full&amp;id=42cd6308-1c87-4912-abd8-9312db9e7c0b&amp;user=EhHyZoyJUiipDt32hzFib%2bV3iJHasgCay1MGSaI6yDrZo1ulhSSB6fnaYawstVya&amp;r=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idelity.co.uk/factsheet-data/factsheet/GB00BLGZ9862-tesco/news-key-dates-and-documen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l.co.uk/shares/shares-search-results/t/tesco-plc-ordinary-6.333p/financial-statements-and-reports" TargetMode="External"/><Relationship Id="rId4" Type="http://schemas.openxmlformats.org/officeDocument/2006/relationships/webSettings" Target="webSettings.xml"/><Relationship Id="rId9" Type="http://schemas.openxmlformats.org/officeDocument/2006/relationships/hyperlink" Target="https://corporate.tescoinsurance.com/media/n2fjslz2/tpfg-plc-annual-report-and-accounts-29-february-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12</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Financial Analysis 2023 - 2024</dc:title>
  <dc:subject/>
  <dc:creator>Mirabela Voican (1907947)</dc:creator>
  <cp:keywords/>
  <dc:description/>
  <cp:lastModifiedBy>Mirabela Voican (1907947)</cp:lastModifiedBy>
  <cp:revision>1</cp:revision>
  <dcterms:created xsi:type="dcterms:W3CDTF">2025-07-10T18:08:00Z</dcterms:created>
  <dcterms:modified xsi:type="dcterms:W3CDTF">2025-07-10T19:00:00Z</dcterms:modified>
</cp:coreProperties>
</file>