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6CA7" w:rsidRDefault="005A6CA7" w:rsidP="005A6CA7">
      <w:pPr>
        <w:ind w:left="720"/>
        <w:rPr>
          <w:rFonts w:ascii="Arial" w:hAnsi="Arial" w:cs="Arial"/>
          <w:sz w:val="24"/>
          <w:szCs w:val="24"/>
        </w:rPr>
      </w:pPr>
      <w:r>
        <w:rPr>
          <w:rFonts w:ascii="Arial" w:hAnsi="Arial" w:cs="Arial"/>
          <w:sz w:val="24"/>
          <w:szCs w:val="24"/>
        </w:rPr>
        <w:t>“</w:t>
      </w:r>
      <w:r>
        <w:rPr>
          <w:rFonts w:ascii="Arial" w:hAnsi="Arial" w:cs="Arial"/>
          <w:sz w:val="24"/>
          <w:szCs w:val="24"/>
        </w:rPr>
        <w:t>Judicial Independence is a constitutional principle that suggests judges must be free to exercise their judicial powers, without interference from the State, media, litigants and other powerful bodies.</w:t>
      </w:r>
    </w:p>
    <w:p w:rsidR="005A6CA7" w:rsidRDefault="005A6CA7" w:rsidP="005A6CA7">
      <w:pPr>
        <w:ind w:left="720"/>
        <w:rPr>
          <w:rFonts w:ascii="Arial" w:hAnsi="Arial" w:cs="Arial"/>
          <w:sz w:val="24"/>
          <w:szCs w:val="24"/>
        </w:rPr>
      </w:pPr>
    </w:p>
    <w:p w:rsidR="005A6CA7" w:rsidRDefault="005A6CA7" w:rsidP="005A6CA7">
      <w:pPr>
        <w:ind w:left="720"/>
        <w:rPr>
          <w:rFonts w:ascii="Arial" w:hAnsi="Arial" w:cs="Arial"/>
          <w:sz w:val="24"/>
          <w:szCs w:val="24"/>
        </w:rPr>
      </w:pPr>
      <w:r w:rsidRPr="007E4D66">
        <w:rPr>
          <w:rFonts w:ascii="Arial" w:hAnsi="Arial" w:cs="Arial"/>
          <w:b/>
          <w:sz w:val="24"/>
          <w:szCs w:val="24"/>
        </w:rPr>
        <w:t>With reference to the constitution of the United Kingdom, consider the importance of judicial independence. You will need to discuss the extent to which the United Kingdom’s constitution allows for separation between the judiciary and the other branches of state</w:t>
      </w:r>
      <w:r>
        <w:rPr>
          <w:rFonts w:ascii="Arial" w:hAnsi="Arial" w:cs="Arial"/>
          <w:sz w:val="24"/>
          <w:szCs w:val="24"/>
        </w:rPr>
        <w:t>.</w:t>
      </w:r>
      <w:r>
        <w:rPr>
          <w:rFonts w:ascii="Arial" w:hAnsi="Arial" w:cs="Arial"/>
          <w:sz w:val="24"/>
          <w:szCs w:val="24"/>
        </w:rPr>
        <w:t>”</w:t>
      </w:r>
    </w:p>
    <w:p w:rsidR="00B64C21" w:rsidRDefault="00C4119E"/>
    <w:p w:rsidR="005A6CA7" w:rsidRDefault="005A6CA7"/>
    <w:p w:rsidR="005A6CA7" w:rsidRDefault="005A6CA7" w:rsidP="005A6CA7">
      <w:pPr>
        <w:rPr>
          <w:rFonts w:ascii="Arial" w:hAnsi="Arial" w:cs="Arial"/>
          <w:sz w:val="24"/>
          <w:szCs w:val="24"/>
        </w:rPr>
      </w:pPr>
      <w:r>
        <w:rPr>
          <w:rFonts w:ascii="Arial" w:hAnsi="Arial" w:cs="Arial"/>
          <w:sz w:val="24"/>
          <w:szCs w:val="24"/>
        </w:rPr>
        <w:t xml:space="preserve">Judicial Independence is key to how the United Kingdom’s system of law works as it allows Judges to give a sentence’s without being pressured by State, media and other sources with large amounts of influence. However, in the current media age it is of the utmost importance that we can keep Judicial independence and not pressure judges into making decisions based on previous trials. There is now a greater pressure put on judges these days due to the media reporting on cases but they do not report all of the facts thus creating an imbalance within the reporting of the case as not everything is being seen. The key to keeping judicial independence in the UK is by giving judges an extra power so that although they are not free from consequence they would be free from external pressure thus leaving them free to make the decision they think is correct. </w:t>
      </w:r>
    </w:p>
    <w:p w:rsidR="005A6CA7" w:rsidRPr="005A6CA7" w:rsidRDefault="005A6CA7" w:rsidP="005A6CA7">
      <w:pPr>
        <w:rPr>
          <w:rFonts w:ascii="Arial" w:hAnsi="Arial" w:cs="Arial"/>
          <w:sz w:val="24"/>
          <w:szCs w:val="24"/>
        </w:rPr>
      </w:pPr>
      <w:r>
        <w:rPr>
          <w:rFonts w:ascii="Arial" w:hAnsi="Arial" w:cs="Arial"/>
          <w:sz w:val="24"/>
          <w:szCs w:val="24"/>
        </w:rPr>
        <w:t xml:space="preserve">The separation of powers in the UK is the most efficient way to avoid any one power taking control of the whole system and having a commanding control over the UK, one of the earliest known people to have this idea about the separations of power was a French social commentator Montesquieu and in 1748 he said </w:t>
      </w:r>
      <w:r>
        <w:rPr>
          <w:rFonts w:ascii="Garamond" w:hAnsi="Garamond"/>
          <w:b/>
          <w:bCs/>
        </w:rPr>
        <w:t xml:space="preserve">‘When the legislative and executive powers are united in the same person, or in the same body of magistrates, there can be no liberty... there is no liberty if the powers of judging is not separated from the legislative and executive... there would be an end to everything, if the same man or the same body... were to exercise those three powers.’ </w:t>
      </w:r>
      <w:r w:rsidRPr="005A6CA7">
        <w:rPr>
          <w:rFonts w:ascii="Arial" w:hAnsi="Arial" w:cs="Arial"/>
          <w:bCs/>
          <w:sz w:val="24"/>
          <w:szCs w:val="24"/>
        </w:rPr>
        <w:t>In this he is stating that without this separation of powers there can be no freedom as they are all intertwined and thus not working separately which would lead to a tyrannical government that is still seen in some countries to this day. In order for full judicial independence they need to be working alongside but not in unison with the legislative and executive as they can then work co-efficiently to create a balance and st</w:t>
      </w:r>
      <w:r>
        <w:rPr>
          <w:rFonts w:ascii="Arial" w:hAnsi="Arial" w:cs="Arial"/>
          <w:bCs/>
          <w:sz w:val="24"/>
          <w:szCs w:val="24"/>
        </w:rPr>
        <w:t>op a power grab from each other.</w:t>
      </w:r>
    </w:p>
    <w:p w:rsidR="005A6CA7" w:rsidRDefault="005A6CA7">
      <w:pPr>
        <w:rPr>
          <w:rFonts w:ascii="Arial" w:hAnsi="Arial" w:cs="Arial"/>
          <w:sz w:val="24"/>
          <w:szCs w:val="24"/>
        </w:rPr>
      </w:pPr>
      <w:r>
        <w:rPr>
          <w:rFonts w:ascii="Arial" w:hAnsi="Arial" w:cs="Arial"/>
          <w:sz w:val="24"/>
          <w:szCs w:val="24"/>
        </w:rPr>
        <w:t>An independent an impartial system is how the UKs democracy system functions as no one is above the law, however judges are given immunity from prosecution for the acts that they carry out on behalf of the Judicial system. Judges also cannot be sued for deformation for what they may say about parties and witnesses during a case hearing this has led to many people believing that judges can be above the laws. However, if people believe that judges have performed their duty poorly they can be referred by the Lord Chief Justice or Lord Chancellor to the Judicial Complaints Investigations Office where if they are believed to be in breach of criminal conduct they can be removed from the judicial system.</w:t>
      </w:r>
    </w:p>
    <w:p w:rsidR="005A6CA7" w:rsidRDefault="005A6CA7">
      <w:pPr>
        <w:rPr>
          <w:rFonts w:ascii="Arial" w:hAnsi="Arial" w:cs="Arial"/>
          <w:sz w:val="24"/>
          <w:szCs w:val="24"/>
        </w:rPr>
      </w:pPr>
      <w:r>
        <w:rPr>
          <w:rFonts w:ascii="Arial" w:hAnsi="Arial" w:cs="Arial"/>
          <w:sz w:val="24"/>
          <w:szCs w:val="24"/>
        </w:rPr>
        <w:t>Judicial independence from the executive had not come into the UK until 1701 with the act of settlements. Which removed the ability for judges to be removed just because they had failed to decide a case in which would accord with the King or Queens wishes at the time thus meaning there was no independence within the UKs judicial system before this act was emitted into practice. This act gave judges greater freedoms as they had less fear of being removed from office as they needed to be removed with accordance to this act which was from an address to the monarch agreed upon by both houses of Parliament.</w:t>
      </w:r>
    </w:p>
    <w:p w:rsidR="005A6CA7" w:rsidRDefault="005A6CA7">
      <w:pPr>
        <w:rPr>
          <w:rFonts w:ascii="Arial" w:hAnsi="Arial" w:cs="Arial"/>
          <w:sz w:val="24"/>
          <w:szCs w:val="24"/>
        </w:rPr>
      </w:pPr>
      <w:r>
        <w:rPr>
          <w:rFonts w:ascii="Arial" w:hAnsi="Arial" w:cs="Arial"/>
          <w:sz w:val="24"/>
          <w:szCs w:val="24"/>
        </w:rPr>
        <w:lastRenderedPageBreak/>
        <w:t xml:space="preserve">Judges in recent times have been given more power with the limiting of the house of lords’ influence over Judges who have been nominated. The JAC (Judicial Appointments Commission) have made decisions more, clear for the public to see as there is little to no conflict of interest between the leaders of the JAC with political agendas as has what has happened in the past, as people believed that judges who had been appointed via the House of Lords would commit to serving the political agendas of the lords. The transparency of Judges and the JAC has helped preserve judicial independence and has created a greater trust as they are now under greater scrutiny, however it must be said that this could cause the unfair dismissal of judges in the future due to this. As judges are not to decide on whether people are guilty in the UK judicial system it is just to them to give a fair sentence based on previous cases of similar stature and events. </w:t>
      </w:r>
    </w:p>
    <w:p w:rsidR="005A6CA7" w:rsidRDefault="005A6CA7">
      <w:pPr>
        <w:rPr>
          <w:rFonts w:ascii="Arial" w:hAnsi="Arial" w:cs="Arial"/>
          <w:sz w:val="24"/>
          <w:szCs w:val="24"/>
        </w:rPr>
      </w:pPr>
      <w:r>
        <w:rPr>
          <w:rFonts w:ascii="Arial" w:hAnsi="Arial" w:cs="Arial"/>
          <w:sz w:val="24"/>
          <w:szCs w:val="24"/>
        </w:rPr>
        <w:t>Judges must be able to remain personally independent to avoid being pressured into making decisions for someone thus taking away their freedoms of being a judge, it should ultimately remain their choice for any sentencing or reprimands handed out and not down to the influence of someone else. For judges to be able to do this they must be protected from the executive as to not face pressure from government officials attempting to persuade judges to do work that would benefit the government as this could lead to a tyrannical government as they could influence the Judiciary to work on their behalf therefore creating an imbalance in the system. To avoid a potential tyrannical government judges cannot become MPs which would lead them to be able to act on their party’s behalf and influence decisions to enhance their standings for personal gain.</w:t>
      </w:r>
    </w:p>
    <w:p w:rsidR="005A6CA7" w:rsidRDefault="005A6CA7">
      <w:pPr>
        <w:rPr>
          <w:rFonts w:ascii="Arial" w:hAnsi="Arial" w:cs="Arial"/>
          <w:sz w:val="24"/>
          <w:szCs w:val="24"/>
        </w:rPr>
      </w:pPr>
      <w:r>
        <w:rPr>
          <w:rFonts w:ascii="Arial" w:hAnsi="Arial" w:cs="Arial"/>
          <w:sz w:val="24"/>
          <w:szCs w:val="24"/>
        </w:rPr>
        <w:t xml:space="preserve">The Constitutional reform act 2005 benefited the Judiciary and its independence from the legislative power as it removed the Lord Chancellor from being head of the Judiciary. Whilst before 2005 he had the ability to appoint and dismissing Judges and their pay. The Lord Chancellor also had the ability although sit as a judge during trials if he so wished. This led to a massive loss of judicial independence before the 2005 act as he could directly influence events to suit his own agenda. Whilst this was able to happen there was never true judicial independence. The Constitutional reform act led to the functions of the Lord Chancellor to be handed over to Lord Chief Justice, who then had become head of the Judiciary. </w:t>
      </w:r>
    </w:p>
    <w:p w:rsidR="005A6CA7" w:rsidRDefault="005A6CA7">
      <w:pPr>
        <w:rPr>
          <w:rFonts w:ascii="Arial" w:hAnsi="Arial" w:cs="Arial"/>
          <w:sz w:val="24"/>
          <w:szCs w:val="24"/>
        </w:rPr>
      </w:pPr>
      <w:r>
        <w:rPr>
          <w:rFonts w:ascii="Arial" w:hAnsi="Arial" w:cs="Arial"/>
          <w:sz w:val="24"/>
          <w:szCs w:val="24"/>
        </w:rPr>
        <w:t>Since 1998 the UK Judiciary has had a key role in the involvement of human rights cases as they had previously been dealt with by judges in Strasbourg. However, this increase of “power” led some people to believe that this “role shifts the balance of power too far towards the judiciary and undermines the rule of law” however this is not the case as these powers were allocated to them via Government ruling and not as a grab of power from the judges themselves. A very influential case in the UK in terms of Human Rights was the Pinochet case as he was accused of crimes in Chile by Spanish authorities where they wanted him extradited from the UK where he was receiving medical treatment in 1998. Pinochet however had not been deemed to have committed all of the crimes that the Spanish were claiming as before 1988 torture outside of the UK was not deemed as a crime thus creating a confliction as he in the eyes of UK law at the time had no jurisdiction to criminally charge him. Whereas the Spanish courts claimed to have jurisdiction over all the alleged crimes whether or not it happened before 1988, thus the Spanish wanted him to be extradited. On 16</w:t>
      </w:r>
      <w:r w:rsidRPr="005A6CA7">
        <w:rPr>
          <w:rFonts w:ascii="Arial" w:hAnsi="Arial" w:cs="Arial"/>
          <w:sz w:val="24"/>
          <w:szCs w:val="24"/>
          <w:vertAlign w:val="superscript"/>
        </w:rPr>
        <w:t>th</w:t>
      </w:r>
      <w:r>
        <w:rPr>
          <w:rFonts w:ascii="Arial" w:hAnsi="Arial" w:cs="Arial"/>
          <w:sz w:val="24"/>
          <w:szCs w:val="24"/>
        </w:rPr>
        <w:t xml:space="preserve"> October 1998 an international warrant was listed for Senator Pinochet and he was subsequently arrested in a hospital in London on the 17</w:t>
      </w:r>
      <w:r w:rsidRPr="005A6CA7">
        <w:rPr>
          <w:rFonts w:ascii="Arial" w:hAnsi="Arial" w:cs="Arial"/>
          <w:sz w:val="24"/>
          <w:szCs w:val="24"/>
          <w:vertAlign w:val="superscript"/>
        </w:rPr>
        <w:t>th</w:t>
      </w:r>
      <w:r>
        <w:rPr>
          <w:rFonts w:ascii="Arial" w:hAnsi="Arial" w:cs="Arial"/>
          <w:sz w:val="24"/>
          <w:szCs w:val="24"/>
        </w:rPr>
        <w:t xml:space="preserve"> of October. This case itself shows the pressures held by judges whilst dealing with </w:t>
      </w:r>
      <w:r>
        <w:rPr>
          <w:rFonts w:ascii="Arial" w:hAnsi="Arial" w:cs="Arial"/>
          <w:sz w:val="24"/>
          <w:szCs w:val="24"/>
        </w:rPr>
        <w:lastRenderedPageBreak/>
        <w:t>international cases as the Spanish authorities wanted him extradited although many of the crimes which would’ve allowed for an extradition had happened prior to 1988.</w:t>
      </w:r>
    </w:p>
    <w:p w:rsidR="005A6CA7" w:rsidRDefault="005A6CA7">
      <w:pPr>
        <w:rPr>
          <w:rFonts w:ascii="Arial" w:hAnsi="Arial" w:cs="Arial"/>
          <w:sz w:val="24"/>
          <w:szCs w:val="24"/>
        </w:rPr>
      </w:pPr>
      <w:r>
        <w:rPr>
          <w:rFonts w:ascii="Arial" w:hAnsi="Arial" w:cs="Arial"/>
          <w:sz w:val="24"/>
          <w:szCs w:val="24"/>
        </w:rPr>
        <w:t xml:space="preserve">Independence within the judiciary is important regardless of whether the judge is dealing with a civil case or a criminal case as the individuals in which the case is regarding need to be assured that personal bias and external pressures do not influence the judges’ decision and repercussions for said individuals who are involved in the case. However, judges do not decide the guilt or innocence of a defendant that is left to the jury which is often built up of resident citizens and registered electors selected randomly, the judge only decides the appropriate sentencing or punishment, such as a fine, community service or other methods. Judges must follow sentencing guidelines which has been but into legislation by the government. These guidelines have been agreed and published by the sentencing guidelines council of which they set out a list of key considerations to be taken account by judges whilst making their decisions. The courts of appeal do have the ability to challenge any sentence a judge gives as they could believe it to be too lenient or harsh, via an appeal by the convicted party or by the Attorney general. </w:t>
      </w:r>
    </w:p>
    <w:p w:rsidR="005A6CA7" w:rsidRDefault="005A6CA7">
      <w:pPr>
        <w:rPr>
          <w:rFonts w:ascii="Arial" w:hAnsi="Arial" w:cs="Arial"/>
          <w:sz w:val="24"/>
          <w:szCs w:val="24"/>
        </w:rPr>
      </w:pPr>
      <w:r>
        <w:rPr>
          <w:rFonts w:ascii="Arial" w:hAnsi="Arial" w:cs="Arial"/>
          <w:sz w:val="24"/>
          <w:szCs w:val="24"/>
        </w:rPr>
        <w:t xml:space="preserve">The United Kingdom’s constitution has in the past effected judicial independence as it is unwritten and not compiled into one large piece of writing thus creating a challenge for members of the executive, legislative and judiciary, especially before the creation of the internet and computers as it was much harder to find the information. This led to many inconsistencies with Judges being able to be MPs and on rare occasion becoming cabinet members. This essentially led to a lack of separation of powers although it was already in legislation. This was seen foremost with the Lord Chancellor as the Lord Chancellor could be a member of the executive as he was a senior cabinet minister, he was also head of the Judiciary in England and Wales thus being a part of the judiciary and of course as a Lord he was part of the legislate. This shows a lack of separation of powers from the United Kingdom’s Constitution however since the 1970’s there has been more legislation to attempt to further separate the 3 powers. Such as the Courts act 1971, in 2003 the then government proposed the abolition of the office of the Lord Chancellor which led to the Constitutional reform Act 2005 which removed some of the Lord Chancellors powers such as he was no longer head of the judiciary in England and Wales, and he lost his position as Speaker for the House of Lords. This piece of legislation was to insure and guarantee the independence of the judiciary. </w:t>
      </w:r>
    </w:p>
    <w:p w:rsidR="005A6CA7" w:rsidRDefault="005A6CA7">
      <w:pPr>
        <w:rPr>
          <w:rFonts w:ascii="Arial" w:hAnsi="Arial" w:cs="Arial"/>
          <w:sz w:val="24"/>
          <w:szCs w:val="24"/>
        </w:rPr>
      </w:pPr>
      <w:r>
        <w:rPr>
          <w:rFonts w:ascii="Arial" w:hAnsi="Arial" w:cs="Arial"/>
          <w:sz w:val="24"/>
          <w:szCs w:val="24"/>
        </w:rPr>
        <w:t>In conclusion judicial independence remains key to the United Kingdom’s way of dealing with ‘criminal’ and ‘legal’ disputes as without an independent Judiciary there is constant pressure from outside sources which can lead to unfair and unjust outcomes to events as people are working for self-gain, this should not be the case under any circumstance within a judicial system as everyone is entitled to fair trial within the United Kingdom. With the current media pressures on judges and the judicial system under consistent scrutiny it is essential that judges remain impartial in the key aspects of their job such as not to create an imbalance and give harsher or fairer sentencing or punishment as to appease the media and public, the final outcome must solely be the judge’s choice and should not take influence from other sources.</w:t>
      </w:r>
    </w:p>
    <w:p w:rsidR="005A6CA7" w:rsidRDefault="005A6CA7">
      <w:pPr>
        <w:rPr>
          <w:rFonts w:ascii="Arial" w:hAnsi="Arial" w:cs="Arial"/>
          <w:sz w:val="24"/>
          <w:szCs w:val="24"/>
        </w:rPr>
      </w:pPr>
    </w:p>
    <w:p w:rsidR="005A6CA7" w:rsidRDefault="005A6CA7">
      <w:pPr>
        <w:rPr>
          <w:rFonts w:ascii="Arial" w:hAnsi="Arial" w:cs="Arial"/>
          <w:sz w:val="24"/>
          <w:szCs w:val="24"/>
        </w:rPr>
      </w:pPr>
    </w:p>
    <w:p w:rsidR="005A6CA7" w:rsidRDefault="005A6CA7">
      <w:pPr>
        <w:rPr>
          <w:rFonts w:ascii="Arial" w:hAnsi="Arial" w:cs="Arial"/>
          <w:sz w:val="24"/>
          <w:szCs w:val="24"/>
        </w:rPr>
      </w:pPr>
    </w:p>
    <w:p w:rsidR="005A6CA7" w:rsidRDefault="005A6CA7">
      <w:pPr>
        <w:rPr>
          <w:rFonts w:ascii="Arial" w:hAnsi="Arial" w:cs="Arial"/>
          <w:sz w:val="24"/>
          <w:szCs w:val="24"/>
        </w:rPr>
      </w:pPr>
    </w:p>
    <w:p w:rsidR="005A6CA7" w:rsidRDefault="005A6CA7">
      <w:pPr>
        <w:rPr>
          <w:rFonts w:ascii="Arial" w:hAnsi="Arial" w:cs="Arial"/>
          <w:sz w:val="24"/>
          <w:szCs w:val="24"/>
        </w:rPr>
      </w:pPr>
    </w:p>
    <w:p w:rsidR="005A6CA7" w:rsidRDefault="005A6CA7">
      <w:pPr>
        <w:rPr>
          <w:rFonts w:ascii="Arial" w:hAnsi="Arial" w:cs="Arial"/>
          <w:sz w:val="24"/>
          <w:szCs w:val="24"/>
        </w:rPr>
      </w:pPr>
    </w:p>
    <w:p w:rsidR="005A6CA7" w:rsidRDefault="005A6CA7">
      <w:pPr>
        <w:rPr>
          <w:rFonts w:ascii="Arial" w:hAnsi="Arial" w:cs="Arial"/>
          <w:sz w:val="24"/>
          <w:szCs w:val="24"/>
        </w:rPr>
      </w:pPr>
    </w:p>
    <w:p w:rsidR="005A6CA7" w:rsidRDefault="00C4119E">
      <w:pPr>
        <w:rPr>
          <w:rFonts w:ascii="Arial" w:hAnsi="Arial" w:cs="Arial"/>
          <w:sz w:val="24"/>
          <w:szCs w:val="24"/>
        </w:rPr>
      </w:pPr>
      <w:r>
        <w:rPr>
          <w:rFonts w:ascii="Arial" w:hAnsi="Arial" w:cs="Arial"/>
          <w:sz w:val="24"/>
          <w:szCs w:val="24"/>
        </w:rPr>
        <w:t>Courts and Tribunals Judiciary(2020)</w:t>
      </w:r>
      <w:hyperlink r:id="rId4" w:history="1">
        <w:r w:rsidR="005A6CA7" w:rsidRPr="00292161">
          <w:rPr>
            <w:rStyle w:val="Hyperlink"/>
            <w:rFonts w:ascii="Arial" w:hAnsi="Arial" w:cs="Arial"/>
            <w:sz w:val="24"/>
            <w:szCs w:val="24"/>
          </w:rPr>
          <w:t>https://www.judiciary.uk/about-the-judiciary/the-judiciary-the-government-and-the-constitution/jud-acc-ind/justice-sys-and-constitution/</w:t>
        </w:r>
      </w:hyperlink>
      <w:r w:rsidR="005A6CA7">
        <w:rPr>
          <w:rFonts w:ascii="Arial" w:hAnsi="Arial" w:cs="Arial"/>
          <w:sz w:val="24"/>
          <w:szCs w:val="24"/>
        </w:rPr>
        <w:t xml:space="preserve"> </w:t>
      </w:r>
      <w:r>
        <w:rPr>
          <w:rFonts w:ascii="Arial" w:hAnsi="Arial" w:cs="Arial"/>
          <w:sz w:val="24"/>
          <w:szCs w:val="24"/>
        </w:rPr>
        <w:t>Accessed October 25</w:t>
      </w:r>
      <w:r w:rsidRPr="00C4119E">
        <w:rPr>
          <w:rFonts w:ascii="Arial" w:hAnsi="Arial" w:cs="Arial"/>
          <w:sz w:val="24"/>
          <w:szCs w:val="24"/>
          <w:vertAlign w:val="superscript"/>
        </w:rPr>
        <w:t>th</w:t>
      </w:r>
      <w:r>
        <w:rPr>
          <w:rFonts w:ascii="Arial" w:hAnsi="Arial" w:cs="Arial"/>
          <w:sz w:val="24"/>
          <w:szCs w:val="24"/>
        </w:rPr>
        <w:t xml:space="preserve"> </w:t>
      </w:r>
    </w:p>
    <w:p w:rsidR="005A6CA7" w:rsidRDefault="005A6CA7">
      <w:pPr>
        <w:rPr>
          <w:rFonts w:ascii="Arial" w:hAnsi="Arial" w:cs="Arial"/>
          <w:sz w:val="24"/>
          <w:szCs w:val="24"/>
        </w:rPr>
      </w:pPr>
    </w:p>
    <w:p w:rsidR="005A6CA7" w:rsidRDefault="00C4119E">
      <w:pPr>
        <w:rPr>
          <w:rFonts w:ascii="Arial" w:hAnsi="Arial" w:cs="Arial"/>
          <w:sz w:val="24"/>
          <w:szCs w:val="24"/>
        </w:rPr>
      </w:pPr>
      <w:r>
        <w:rPr>
          <w:rFonts w:ascii="Arial" w:hAnsi="Arial" w:cs="Arial"/>
          <w:sz w:val="24"/>
          <w:szCs w:val="24"/>
        </w:rPr>
        <w:t xml:space="preserve">Supreme Court </w:t>
      </w:r>
      <w:hyperlink r:id="rId5" w:history="1">
        <w:r w:rsidR="005A6CA7" w:rsidRPr="00292161">
          <w:rPr>
            <w:rStyle w:val="Hyperlink"/>
            <w:rFonts w:ascii="Arial" w:hAnsi="Arial" w:cs="Arial"/>
            <w:sz w:val="24"/>
            <w:szCs w:val="24"/>
          </w:rPr>
          <w:t>https:/</w:t>
        </w:r>
        <w:r w:rsidR="005A6CA7" w:rsidRPr="00292161">
          <w:rPr>
            <w:rStyle w:val="Hyperlink"/>
            <w:rFonts w:ascii="Arial" w:hAnsi="Arial" w:cs="Arial"/>
            <w:sz w:val="24"/>
            <w:szCs w:val="24"/>
          </w:rPr>
          <w:t>/</w:t>
        </w:r>
        <w:r w:rsidR="005A6CA7" w:rsidRPr="00292161">
          <w:rPr>
            <w:rStyle w:val="Hyperlink"/>
            <w:rFonts w:ascii="Arial" w:hAnsi="Arial" w:cs="Arial"/>
            <w:sz w:val="24"/>
            <w:szCs w:val="24"/>
          </w:rPr>
          <w:t>www.supremecourt.uk/docs/separation-of-powers-worksheets-for-teachers.pdf</w:t>
        </w:r>
      </w:hyperlink>
      <w:r>
        <w:rPr>
          <w:rFonts w:ascii="Arial" w:hAnsi="Arial" w:cs="Arial"/>
          <w:sz w:val="24"/>
          <w:szCs w:val="24"/>
        </w:rPr>
        <w:t xml:space="preserve"> Accessed October 29th </w:t>
      </w:r>
    </w:p>
    <w:p w:rsidR="005A6CA7" w:rsidRDefault="005A6CA7">
      <w:pPr>
        <w:rPr>
          <w:rFonts w:ascii="Arial" w:hAnsi="Arial" w:cs="Arial"/>
          <w:sz w:val="24"/>
          <w:szCs w:val="24"/>
        </w:rPr>
      </w:pPr>
    </w:p>
    <w:p w:rsidR="005A6CA7" w:rsidRDefault="00C4119E">
      <w:pPr>
        <w:rPr>
          <w:rFonts w:ascii="Arial" w:hAnsi="Arial" w:cs="Arial"/>
          <w:sz w:val="24"/>
          <w:szCs w:val="24"/>
        </w:rPr>
      </w:pPr>
      <w:r>
        <w:rPr>
          <w:rFonts w:ascii="Arial" w:hAnsi="Arial" w:cs="Arial"/>
          <w:sz w:val="24"/>
          <w:szCs w:val="24"/>
        </w:rPr>
        <w:t xml:space="preserve">UK Parliament (2020) </w:t>
      </w:r>
      <w:hyperlink r:id="rId6" w:history="1">
        <w:r w:rsidR="005A6CA7" w:rsidRPr="00292161">
          <w:rPr>
            <w:rStyle w:val="Hyperlink"/>
            <w:rFonts w:ascii="Arial" w:hAnsi="Arial" w:cs="Arial"/>
            <w:sz w:val="24"/>
            <w:szCs w:val="24"/>
          </w:rPr>
          <w:t>https://www.parliament.uk/about/living-heritage/evolutionofparliament/houseoflords/judicialrole/</w:t>
        </w:r>
      </w:hyperlink>
      <w:r>
        <w:rPr>
          <w:rFonts w:ascii="Arial" w:hAnsi="Arial" w:cs="Arial"/>
          <w:sz w:val="24"/>
          <w:szCs w:val="24"/>
        </w:rPr>
        <w:t xml:space="preserve"> Accessed October 27</w:t>
      </w:r>
      <w:r w:rsidRPr="00C4119E">
        <w:rPr>
          <w:rFonts w:ascii="Arial" w:hAnsi="Arial" w:cs="Arial"/>
          <w:sz w:val="24"/>
          <w:szCs w:val="24"/>
          <w:vertAlign w:val="superscript"/>
        </w:rPr>
        <w:t>th</w:t>
      </w:r>
      <w:r>
        <w:rPr>
          <w:rFonts w:ascii="Arial" w:hAnsi="Arial" w:cs="Arial"/>
          <w:sz w:val="24"/>
          <w:szCs w:val="24"/>
        </w:rPr>
        <w:t xml:space="preserve"> </w:t>
      </w:r>
    </w:p>
    <w:p w:rsidR="005A6CA7" w:rsidRDefault="005A6CA7">
      <w:pPr>
        <w:rPr>
          <w:rFonts w:ascii="Arial" w:hAnsi="Arial" w:cs="Arial"/>
          <w:sz w:val="24"/>
          <w:szCs w:val="24"/>
        </w:rPr>
      </w:pPr>
    </w:p>
    <w:p w:rsidR="005A6CA7" w:rsidRDefault="00C4119E">
      <w:pPr>
        <w:rPr>
          <w:rFonts w:ascii="Arial" w:hAnsi="Arial" w:cs="Arial"/>
          <w:sz w:val="24"/>
          <w:szCs w:val="24"/>
        </w:rPr>
      </w:pPr>
      <w:r>
        <w:rPr>
          <w:rFonts w:ascii="Arial" w:hAnsi="Arial" w:cs="Arial"/>
          <w:sz w:val="24"/>
          <w:szCs w:val="24"/>
        </w:rPr>
        <w:t xml:space="preserve">Courts and Tribunals Judiciary (2020) </w:t>
      </w:r>
      <w:hyperlink r:id="rId7" w:history="1">
        <w:r w:rsidR="005A6CA7" w:rsidRPr="00292161">
          <w:rPr>
            <w:rStyle w:val="Hyperlink"/>
            <w:rFonts w:ascii="Arial" w:hAnsi="Arial" w:cs="Arial"/>
            <w:sz w:val="24"/>
            <w:szCs w:val="24"/>
          </w:rPr>
          <w:t>https://www.judiciary.uk/about-t</w:t>
        </w:r>
        <w:r w:rsidR="005A6CA7" w:rsidRPr="00292161">
          <w:rPr>
            <w:rStyle w:val="Hyperlink"/>
            <w:rFonts w:ascii="Arial" w:hAnsi="Arial" w:cs="Arial"/>
            <w:sz w:val="24"/>
            <w:szCs w:val="24"/>
          </w:rPr>
          <w:t>h</w:t>
        </w:r>
        <w:r w:rsidR="005A6CA7" w:rsidRPr="00292161">
          <w:rPr>
            <w:rStyle w:val="Hyperlink"/>
            <w:rFonts w:ascii="Arial" w:hAnsi="Arial" w:cs="Arial"/>
            <w:sz w:val="24"/>
            <w:szCs w:val="24"/>
          </w:rPr>
          <w:t>e-judiciary/the-judiciary-the-government-and-the-constitution/jud-acc-ind/independence/</w:t>
        </w:r>
      </w:hyperlink>
      <w:r w:rsidR="005A6CA7">
        <w:rPr>
          <w:rFonts w:ascii="Arial" w:hAnsi="Arial" w:cs="Arial"/>
          <w:sz w:val="24"/>
          <w:szCs w:val="24"/>
        </w:rPr>
        <w:t xml:space="preserve"> </w:t>
      </w:r>
      <w:r>
        <w:rPr>
          <w:rFonts w:ascii="Arial" w:hAnsi="Arial" w:cs="Arial"/>
          <w:sz w:val="24"/>
          <w:szCs w:val="24"/>
        </w:rPr>
        <w:t>Accessed November 1</w:t>
      </w:r>
      <w:r w:rsidRPr="00C4119E">
        <w:rPr>
          <w:rFonts w:ascii="Arial" w:hAnsi="Arial" w:cs="Arial"/>
          <w:sz w:val="24"/>
          <w:szCs w:val="24"/>
          <w:vertAlign w:val="superscript"/>
        </w:rPr>
        <w:t>st</w:t>
      </w:r>
      <w:r>
        <w:rPr>
          <w:rFonts w:ascii="Arial" w:hAnsi="Arial" w:cs="Arial"/>
          <w:sz w:val="24"/>
          <w:szCs w:val="24"/>
        </w:rPr>
        <w:t xml:space="preserve"> </w:t>
      </w:r>
    </w:p>
    <w:p w:rsidR="005A6CA7" w:rsidRDefault="005A6CA7">
      <w:pPr>
        <w:rPr>
          <w:rFonts w:ascii="Arial" w:hAnsi="Arial" w:cs="Arial"/>
          <w:sz w:val="24"/>
          <w:szCs w:val="24"/>
        </w:rPr>
      </w:pPr>
    </w:p>
    <w:p w:rsidR="005A6CA7" w:rsidRDefault="00C4119E">
      <w:pPr>
        <w:rPr>
          <w:rFonts w:ascii="Arial" w:hAnsi="Arial" w:cs="Arial"/>
          <w:sz w:val="24"/>
          <w:szCs w:val="24"/>
        </w:rPr>
      </w:pPr>
      <w:r>
        <w:rPr>
          <w:rFonts w:ascii="Arial" w:hAnsi="Arial" w:cs="Arial"/>
          <w:sz w:val="24"/>
          <w:szCs w:val="24"/>
        </w:rPr>
        <w:t xml:space="preserve">Parliament House of lords (1998-1999) </w:t>
      </w:r>
      <w:hyperlink r:id="rId8" w:history="1">
        <w:r w:rsidR="005A6CA7" w:rsidRPr="00292161">
          <w:rPr>
            <w:rStyle w:val="Hyperlink"/>
            <w:rFonts w:ascii="Arial" w:hAnsi="Arial" w:cs="Arial"/>
            <w:sz w:val="24"/>
            <w:szCs w:val="24"/>
          </w:rPr>
          <w:t>https:/</w:t>
        </w:r>
        <w:r w:rsidR="005A6CA7" w:rsidRPr="00292161">
          <w:rPr>
            <w:rStyle w:val="Hyperlink"/>
            <w:rFonts w:ascii="Arial" w:hAnsi="Arial" w:cs="Arial"/>
            <w:sz w:val="24"/>
            <w:szCs w:val="24"/>
          </w:rPr>
          <w:t>/</w:t>
        </w:r>
        <w:r w:rsidR="005A6CA7" w:rsidRPr="00292161">
          <w:rPr>
            <w:rStyle w:val="Hyperlink"/>
            <w:rFonts w:ascii="Arial" w:hAnsi="Arial" w:cs="Arial"/>
            <w:sz w:val="24"/>
            <w:szCs w:val="24"/>
          </w:rPr>
          <w:t>publications.parliament.uk/pa/ld199899/ldjudgmt/jd990324/pino1.htm</w:t>
        </w:r>
      </w:hyperlink>
      <w:r>
        <w:rPr>
          <w:rFonts w:ascii="Arial" w:hAnsi="Arial" w:cs="Arial"/>
          <w:sz w:val="24"/>
          <w:szCs w:val="24"/>
        </w:rPr>
        <w:t xml:space="preserve"> Accessed October 31st </w:t>
      </w:r>
    </w:p>
    <w:p w:rsidR="005A6CA7" w:rsidRDefault="005A6CA7">
      <w:pPr>
        <w:rPr>
          <w:rFonts w:ascii="Arial" w:hAnsi="Arial" w:cs="Arial"/>
          <w:sz w:val="24"/>
          <w:szCs w:val="24"/>
        </w:rPr>
      </w:pPr>
    </w:p>
    <w:p w:rsidR="005A6CA7" w:rsidRDefault="00C4119E">
      <w:pPr>
        <w:rPr>
          <w:rFonts w:ascii="Arial" w:hAnsi="Arial" w:cs="Arial"/>
          <w:sz w:val="24"/>
          <w:szCs w:val="24"/>
        </w:rPr>
      </w:pPr>
      <w:r>
        <w:rPr>
          <w:rFonts w:ascii="Arial" w:hAnsi="Arial" w:cs="Arial"/>
          <w:sz w:val="24"/>
          <w:szCs w:val="24"/>
        </w:rPr>
        <w:t xml:space="preserve">UK Parliament </w:t>
      </w:r>
      <w:hyperlink r:id="rId9" w:history="1">
        <w:r w:rsidR="005A6CA7" w:rsidRPr="00292161">
          <w:rPr>
            <w:rStyle w:val="Hyperlink"/>
            <w:rFonts w:ascii="Arial" w:hAnsi="Arial" w:cs="Arial"/>
            <w:sz w:val="24"/>
            <w:szCs w:val="24"/>
          </w:rPr>
          <w:t>https://publications.parli</w:t>
        </w:r>
        <w:r w:rsidR="005A6CA7" w:rsidRPr="00292161">
          <w:rPr>
            <w:rStyle w:val="Hyperlink"/>
            <w:rFonts w:ascii="Arial" w:hAnsi="Arial" w:cs="Arial"/>
            <w:sz w:val="24"/>
            <w:szCs w:val="24"/>
          </w:rPr>
          <w:t>a</w:t>
        </w:r>
        <w:r w:rsidR="005A6CA7" w:rsidRPr="00292161">
          <w:rPr>
            <w:rStyle w:val="Hyperlink"/>
            <w:rFonts w:ascii="Arial" w:hAnsi="Arial" w:cs="Arial"/>
            <w:sz w:val="24"/>
            <w:szCs w:val="24"/>
          </w:rPr>
          <w:t>ment.uk/pa/jt201719/jtselect/jtrights/669/66907.htm</w:t>
        </w:r>
      </w:hyperlink>
      <w:r>
        <w:rPr>
          <w:rFonts w:ascii="Arial" w:hAnsi="Arial" w:cs="Arial"/>
          <w:sz w:val="24"/>
          <w:szCs w:val="24"/>
        </w:rPr>
        <w:t xml:space="preserve"> Accessed October 27th </w:t>
      </w:r>
    </w:p>
    <w:p w:rsidR="005A6CA7" w:rsidRDefault="005A6CA7">
      <w:pPr>
        <w:rPr>
          <w:rFonts w:ascii="Arial" w:hAnsi="Arial" w:cs="Arial"/>
          <w:sz w:val="24"/>
          <w:szCs w:val="24"/>
        </w:rPr>
      </w:pPr>
    </w:p>
    <w:p w:rsidR="005A6CA7" w:rsidRDefault="00C4119E">
      <w:pPr>
        <w:rPr>
          <w:rFonts w:ascii="Arial" w:hAnsi="Arial" w:cs="Arial"/>
          <w:sz w:val="24"/>
          <w:szCs w:val="24"/>
        </w:rPr>
      </w:pPr>
      <w:r>
        <w:rPr>
          <w:rFonts w:ascii="Arial" w:hAnsi="Arial" w:cs="Arial"/>
          <w:sz w:val="24"/>
          <w:szCs w:val="24"/>
        </w:rPr>
        <w:t>UK Parliament (2002)</w:t>
      </w:r>
      <w:hyperlink r:id="rId10" w:history="1">
        <w:r w:rsidR="005A6CA7" w:rsidRPr="00292161">
          <w:rPr>
            <w:rStyle w:val="Hyperlink"/>
            <w:rFonts w:ascii="Arial" w:hAnsi="Arial" w:cs="Arial"/>
            <w:sz w:val="24"/>
            <w:szCs w:val="24"/>
          </w:rPr>
          <w:t>https://publications.parliament.uk/pa/ld200203/ldjudgmt/jd0211</w:t>
        </w:r>
        <w:r w:rsidR="005A6CA7" w:rsidRPr="00292161">
          <w:rPr>
            <w:rStyle w:val="Hyperlink"/>
            <w:rFonts w:ascii="Arial" w:hAnsi="Arial" w:cs="Arial"/>
            <w:sz w:val="24"/>
            <w:szCs w:val="24"/>
          </w:rPr>
          <w:t>2</w:t>
        </w:r>
        <w:r w:rsidR="005A6CA7" w:rsidRPr="00292161">
          <w:rPr>
            <w:rStyle w:val="Hyperlink"/>
            <w:rFonts w:ascii="Arial" w:hAnsi="Arial" w:cs="Arial"/>
            <w:sz w:val="24"/>
            <w:szCs w:val="24"/>
          </w:rPr>
          <w:t>5/ander-3.htm</w:t>
        </w:r>
      </w:hyperlink>
      <w:r>
        <w:rPr>
          <w:rFonts w:ascii="Arial" w:hAnsi="Arial" w:cs="Arial"/>
          <w:sz w:val="24"/>
          <w:szCs w:val="24"/>
        </w:rPr>
        <w:t xml:space="preserve"> Accessed October 31st </w:t>
      </w:r>
    </w:p>
    <w:p w:rsidR="005A6CA7" w:rsidRDefault="005A6CA7">
      <w:pPr>
        <w:rPr>
          <w:rFonts w:ascii="Arial" w:hAnsi="Arial" w:cs="Arial"/>
          <w:sz w:val="24"/>
          <w:szCs w:val="24"/>
        </w:rPr>
      </w:pPr>
    </w:p>
    <w:p w:rsidR="005A6CA7" w:rsidRDefault="00C4119E">
      <w:pPr>
        <w:rPr>
          <w:rFonts w:ascii="Arial" w:hAnsi="Arial" w:cs="Arial"/>
          <w:sz w:val="24"/>
          <w:szCs w:val="24"/>
        </w:rPr>
      </w:pPr>
      <w:r>
        <w:rPr>
          <w:rFonts w:ascii="Arial" w:hAnsi="Arial" w:cs="Arial"/>
          <w:sz w:val="24"/>
          <w:szCs w:val="24"/>
        </w:rPr>
        <w:t xml:space="preserve">UK Government (2005) </w:t>
      </w:r>
      <w:hyperlink r:id="rId11" w:history="1">
        <w:r w:rsidR="005A6CA7" w:rsidRPr="00292161">
          <w:rPr>
            <w:rStyle w:val="Hyperlink"/>
            <w:rFonts w:ascii="Arial" w:hAnsi="Arial" w:cs="Arial"/>
            <w:sz w:val="24"/>
            <w:szCs w:val="24"/>
          </w:rPr>
          <w:t>https://www.legislation.gov.uk/ukpg</w:t>
        </w:r>
        <w:r w:rsidR="005A6CA7" w:rsidRPr="00292161">
          <w:rPr>
            <w:rStyle w:val="Hyperlink"/>
            <w:rFonts w:ascii="Arial" w:hAnsi="Arial" w:cs="Arial"/>
            <w:sz w:val="24"/>
            <w:szCs w:val="24"/>
          </w:rPr>
          <w:t>a</w:t>
        </w:r>
        <w:r w:rsidR="005A6CA7" w:rsidRPr="00292161">
          <w:rPr>
            <w:rStyle w:val="Hyperlink"/>
            <w:rFonts w:ascii="Arial" w:hAnsi="Arial" w:cs="Arial"/>
            <w:sz w:val="24"/>
            <w:szCs w:val="24"/>
          </w:rPr>
          <w:t>/2005/4/part/2/crossheading/continued-judicial-independence</w:t>
        </w:r>
      </w:hyperlink>
      <w:r>
        <w:rPr>
          <w:rFonts w:ascii="Arial" w:hAnsi="Arial" w:cs="Arial"/>
          <w:sz w:val="24"/>
          <w:szCs w:val="24"/>
        </w:rPr>
        <w:t xml:space="preserve"> Accessed November 2nd </w:t>
      </w:r>
    </w:p>
    <w:p w:rsidR="005A6CA7" w:rsidRDefault="005A6CA7">
      <w:pPr>
        <w:rPr>
          <w:rFonts w:ascii="Arial" w:hAnsi="Arial" w:cs="Arial"/>
          <w:sz w:val="24"/>
          <w:szCs w:val="24"/>
        </w:rPr>
      </w:pPr>
    </w:p>
    <w:p w:rsidR="005A6CA7" w:rsidRDefault="00C4119E">
      <w:pPr>
        <w:rPr>
          <w:rFonts w:ascii="Arial" w:hAnsi="Arial" w:cs="Arial"/>
          <w:sz w:val="24"/>
          <w:szCs w:val="24"/>
        </w:rPr>
      </w:pPr>
      <w:r>
        <w:rPr>
          <w:rFonts w:ascii="Arial" w:hAnsi="Arial" w:cs="Arial"/>
          <w:sz w:val="24"/>
          <w:szCs w:val="24"/>
        </w:rPr>
        <w:t xml:space="preserve">Judicial Appointments Commission (2020) </w:t>
      </w:r>
      <w:hyperlink r:id="rId12" w:history="1">
        <w:r w:rsidR="005A6CA7" w:rsidRPr="00292161">
          <w:rPr>
            <w:rStyle w:val="Hyperlink"/>
            <w:rFonts w:ascii="Arial" w:hAnsi="Arial" w:cs="Arial"/>
            <w:sz w:val="24"/>
            <w:szCs w:val="24"/>
          </w:rPr>
          <w:t>https://www.judicia</w:t>
        </w:r>
        <w:r w:rsidR="005A6CA7" w:rsidRPr="00292161">
          <w:rPr>
            <w:rStyle w:val="Hyperlink"/>
            <w:rFonts w:ascii="Arial" w:hAnsi="Arial" w:cs="Arial"/>
            <w:sz w:val="24"/>
            <w:szCs w:val="24"/>
          </w:rPr>
          <w:t>l</w:t>
        </w:r>
        <w:r w:rsidR="005A6CA7" w:rsidRPr="00292161">
          <w:rPr>
            <w:rStyle w:val="Hyperlink"/>
            <w:rFonts w:ascii="Arial" w:hAnsi="Arial" w:cs="Arial"/>
            <w:sz w:val="24"/>
            <w:szCs w:val="24"/>
          </w:rPr>
          <w:t>appointments.gov.uk/about-us</w:t>
        </w:r>
      </w:hyperlink>
      <w:r w:rsidR="005A6CA7" w:rsidRPr="005A6CA7">
        <w:t xml:space="preserve"> </w:t>
      </w:r>
      <w:r>
        <w:t xml:space="preserve">Accessed October 30th </w:t>
      </w:r>
    </w:p>
    <w:p w:rsidR="005A6CA7" w:rsidRDefault="005A6CA7">
      <w:pPr>
        <w:rPr>
          <w:rFonts w:ascii="Arial" w:hAnsi="Arial" w:cs="Arial"/>
          <w:sz w:val="24"/>
          <w:szCs w:val="24"/>
        </w:rPr>
      </w:pPr>
    </w:p>
    <w:p w:rsidR="005A6CA7" w:rsidRDefault="00C4119E">
      <w:pPr>
        <w:rPr>
          <w:rFonts w:ascii="Arial" w:hAnsi="Arial" w:cs="Arial"/>
          <w:sz w:val="24"/>
          <w:szCs w:val="24"/>
        </w:rPr>
      </w:pPr>
      <w:r>
        <w:rPr>
          <w:rFonts w:ascii="Arial" w:hAnsi="Arial" w:cs="Arial"/>
          <w:sz w:val="24"/>
          <w:szCs w:val="24"/>
        </w:rPr>
        <w:t xml:space="preserve">Courts and tribunals Judiciary </w:t>
      </w:r>
      <w:hyperlink r:id="rId13" w:history="1">
        <w:r w:rsidR="005A6CA7" w:rsidRPr="00292161">
          <w:rPr>
            <w:rStyle w:val="Hyperlink"/>
            <w:rFonts w:ascii="Arial" w:hAnsi="Arial" w:cs="Arial"/>
            <w:sz w:val="24"/>
            <w:szCs w:val="24"/>
          </w:rPr>
          <w:t>https://www.judiciary.uk/about-the-judiciary/</w:t>
        </w:r>
        <w:r w:rsidR="005A6CA7" w:rsidRPr="00292161">
          <w:rPr>
            <w:rStyle w:val="Hyperlink"/>
            <w:rFonts w:ascii="Arial" w:hAnsi="Arial" w:cs="Arial"/>
            <w:sz w:val="24"/>
            <w:szCs w:val="24"/>
          </w:rPr>
          <w:t>t</w:t>
        </w:r>
        <w:r w:rsidR="005A6CA7" w:rsidRPr="00292161">
          <w:rPr>
            <w:rStyle w:val="Hyperlink"/>
            <w:rFonts w:ascii="Arial" w:hAnsi="Arial" w:cs="Arial"/>
            <w:sz w:val="24"/>
            <w:szCs w:val="24"/>
          </w:rPr>
          <w:t>he-judiciary-the-government-and-the-constitution/jud-acc-ind/independence/</w:t>
        </w:r>
      </w:hyperlink>
      <w:r>
        <w:rPr>
          <w:rFonts w:ascii="Arial" w:hAnsi="Arial" w:cs="Arial"/>
          <w:sz w:val="24"/>
          <w:szCs w:val="24"/>
        </w:rPr>
        <w:t xml:space="preserve"> Accessed November 1</w:t>
      </w:r>
      <w:r w:rsidRPr="00C4119E">
        <w:rPr>
          <w:rFonts w:ascii="Arial" w:hAnsi="Arial" w:cs="Arial"/>
          <w:sz w:val="24"/>
          <w:szCs w:val="24"/>
          <w:vertAlign w:val="superscript"/>
        </w:rPr>
        <w:t>st</w:t>
      </w:r>
      <w:r>
        <w:rPr>
          <w:rFonts w:ascii="Arial" w:hAnsi="Arial" w:cs="Arial"/>
          <w:sz w:val="24"/>
          <w:szCs w:val="24"/>
        </w:rPr>
        <w:t xml:space="preserve"> </w:t>
      </w:r>
      <w:bookmarkStart w:id="0" w:name="_GoBack"/>
      <w:bookmarkEnd w:id="0"/>
    </w:p>
    <w:p w:rsidR="005A6CA7" w:rsidRDefault="005A6CA7">
      <w:pPr>
        <w:rPr>
          <w:rFonts w:ascii="Arial" w:hAnsi="Arial" w:cs="Arial"/>
          <w:sz w:val="24"/>
          <w:szCs w:val="24"/>
        </w:rPr>
      </w:pPr>
    </w:p>
    <w:p w:rsidR="005A6CA7" w:rsidRDefault="005A6CA7">
      <w:pPr>
        <w:rPr>
          <w:rFonts w:ascii="Arial" w:hAnsi="Arial" w:cs="Arial"/>
          <w:sz w:val="24"/>
          <w:szCs w:val="24"/>
        </w:rPr>
      </w:pPr>
    </w:p>
    <w:p w:rsidR="005A6CA7" w:rsidRPr="005A6CA7" w:rsidRDefault="005A6CA7">
      <w:pPr>
        <w:rPr>
          <w:rFonts w:ascii="Arial" w:hAnsi="Arial" w:cs="Arial"/>
          <w:sz w:val="24"/>
          <w:szCs w:val="24"/>
        </w:rPr>
      </w:pPr>
    </w:p>
    <w:sectPr w:rsidR="005A6CA7" w:rsidRPr="005A6CA7" w:rsidSect="00815EF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Garamond">
    <w:panose1 w:val="020204040303010108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CA7"/>
    <w:rsid w:val="005A6CA7"/>
    <w:rsid w:val="00815EF0"/>
    <w:rsid w:val="00C41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E7B3F"/>
  <w15:chartTrackingRefBased/>
  <w15:docId w15:val="{7F1DE694-32F9-C84B-AD32-D56D42ADD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6CA7"/>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5A6CA7"/>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5A6CA7"/>
    <w:pPr>
      <w:spacing w:before="100" w:beforeAutospacing="1" w:after="100" w:afterAutospacing="1"/>
    </w:pPr>
    <w:rPr>
      <w:sz w:val="24"/>
      <w:szCs w:val="24"/>
      <w:lang w:eastAsia="en-US"/>
    </w:rPr>
  </w:style>
  <w:style w:type="character" w:styleId="Hyperlink">
    <w:name w:val="Hyperlink"/>
    <w:basedOn w:val="DefaultParagraphFont"/>
    <w:uiPriority w:val="99"/>
    <w:unhideWhenUsed/>
    <w:rsid w:val="005A6CA7"/>
    <w:rPr>
      <w:color w:val="0563C1" w:themeColor="hyperlink"/>
      <w:u w:val="single"/>
    </w:rPr>
  </w:style>
  <w:style w:type="character" w:styleId="UnresolvedMention">
    <w:name w:val="Unresolved Mention"/>
    <w:basedOn w:val="DefaultParagraphFont"/>
    <w:uiPriority w:val="99"/>
    <w:semiHidden/>
    <w:unhideWhenUsed/>
    <w:rsid w:val="005A6CA7"/>
    <w:rPr>
      <w:color w:val="605E5C"/>
      <w:shd w:val="clear" w:color="auto" w:fill="E1DFDD"/>
    </w:rPr>
  </w:style>
  <w:style w:type="character" w:styleId="FollowedHyperlink">
    <w:name w:val="FollowedHyperlink"/>
    <w:basedOn w:val="DefaultParagraphFont"/>
    <w:uiPriority w:val="99"/>
    <w:semiHidden/>
    <w:unhideWhenUsed/>
    <w:rsid w:val="005A6C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936462">
      <w:bodyDiv w:val="1"/>
      <w:marLeft w:val="0"/>
      <w:marRight w:val="0"/>
      <w:marTop w:val="0"/>
      <w:marBottom w:val="0"/>
      <w:divBdr>
        <w:top w:val="none" w:sz="0" w:space="0" w:color="auto"/>
        <w:left w:val="none" w:sz="0" w:space="0" w:color="auto"/>
        <w:bottom w:val="none" w:sz="0" w:space="0" w:color="auto"/>
        <w:right w:val="none" w:sz="0" w:space="0" w:color="auto"/>
      </w:divBdr>
      <w:divsChild>
        <w:div w:id="561410174">
          <w:marLeft w:val="0"/>
          <w:marRight w:val="0"/>
          <w:marTop w:val="0"/>
          <w:marBottom w:val="0"/>
          <w:divBdr>
            <w:top w:val="none" w:sz="0" w:space="0" w:color="auto"/>
            <w:left w:val="none" w:sz="0" w:space="0" w:color="auto"/>
            <w:bottom w:val="none" w:sz="0" w:space="0" w:color="auto"/>
            <w:right w:val="none" w:sz="0" w:space="0" w:color="auto"/>
          </w:divBdr>
          <w:divsChild>
            <w:div w:id="1428848496">
              <w:marLeft w:val="0"/>
              <w:marRight w:val="0"/>
              <w:marTop w:val="0"/>
              <w:marBottom w:val="0"/>
              <w:divBdr>
                <w:top w:val="none" w:sz="0" w:space="0" w:color="auto"/>
                <w:left w:val="none" w:sz="0" w:space="0" w:color="auto"/>
                <w:bottom w:val="none" w:sz="0" w:space="0" w:color="auto"/>
                <w:right w:val="none" w:sz="0" w:space="0" w:color="auto"/>
              </w:divBdr>
              <w:divsChild>
                <w:div w:id="30343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199899/ldjudgmt/jd990324/pino1.htm" TargetMode="External"/><Relationship Id="rId13" Type="http://schemas.openxmlformats.org/officeDocument/2006/relationships/hyperlink" Target="https://www.judiciary.uk/about-the-judiciary/the-judiciary-the-government-and-the-constitution/jud-acc-ind/independence/" TargetMode="External"/><Relationship Id="rId3" Type="http://schemas.openxmlformats.org/officeDocument/2006/relationships/webSettings" Target="webSettings.xml"/><Relationship Id="rId7" Type="http://schemas.openxmlformats.org/officeDocument/2006/relationships/hyperlink" Target="https://www.judiciary.uk/about-the-judiciary/the-judiciary-the-government-and-the-constitution/jud-acc-ind/independence/" TargetMode="External"/><Relationship Id="rId12" Type="http://schemas.openxmlformats.org/officeDocument/2006/relationships/hyperlink" Target="https://www.judicialappointments.gov.uk/about-u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arliament.uk/about/living-heritage/evolutionofparliament/houseoflords/judicialrole/" TargetMode="External"/><Relationship Id="rId11" Type="http://schemas.openxmlformats.org/officeDocument/2006/relationships/hyperlink" Target="https://www.legislation.gov.uk/ukpga/2005/4/part/2/crossheading/continued-judicial-independence" TargetMode="External"/><Relationship Id="rId5" Type="http://schemas.openxmlformats.org/officeDocument/2006/relationships/hyperlink" Target="https://www.supremecourt.uk/docs/separation-of-powers-worksheets-for-teachers.pdf" TargetMode="External"/><Relationship Id="rId15" Type="http://schemas.openxmlformats.org/officeDocument/2006/relationships/theme" Target="theme/theme1.xml"/><Relationship Id="rId10" Type="http://schemas.openxmlformats.org/officeDocument/2006/relationships/hyperlink" Target="https://publications.parliament.uk/pa/ld200203/ldjudgmt/jd021125/ander-3.htm" TargetMode="External"/><Relationship Id="rId4" Type="http://schemas.openxmlformats.org/officeDocument/2006/relationships/hyperlink" Target="https://www.judiciary.uk/about-the-judiciary/the-judiciary-the-government-and-the-constitution/jud-acc-ind/justice-sys-and-constitution/" TargetMode="External"/><Relationship Id="rId9" Type="http://schemas.openxmlformats.org/officeDocument/2006/relationships/hyperlink" Target="https://publications.parliament.uk/pa/jt201719/jtselect/jtrights/669/66907.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351</TotalTime>
  <Pages>4</Pages>
  <Words>2062</Words>
  <Characters>11757</Characters>
  <Application>Microsoft Office Word</Application>
  <DocSecurity>0</DocSecurity>
  <Lines>97</Lines>
  <Paragraphs>27</Paragraphs>
  <ScaleCrop>false</ScaleCrop>
  <Company/>
  <LinksUpToDate>false</LinksUpToDate>
  <CharactersWithSpaces>13792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2020-10-28T12:28:00Z</dcterms:created>
  <dcterms:modified xsi:type="dcterms:W3CDTF">2020-11-06T13:28:00Z</dcterms:modified>
</cp:coreProperties>
</file>