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9BD36" w14:textId="77777777" w:rsidR="00007E26" w:rsidRDefault="00007E26" w:rsidP="00007E26">
      <w:pPr>
        <w:jc w:val="center"/>
      </w:pPr>
    </w:p>
    <w:p w14:paraId="52FC8507" w14:textId="77777777" w:rsidR="00007E26" w:rsidRDefault="00007E26" w:rsidP="00007E26">
      <w:pPr>
        <w:jc w:val="center"/>
      </w:pPr>
    </w:p>
    <w:p w14:paraId="3C88312A" w14:textId="77777777" w:rsidR="00007E26" w:rsidRDefault="00007E26" w:rsidP="00007E26">
      <w:pPr>
        <w:jc w:val="center"/>
      </w:pPr>
    </w:p>
    <w:p w14:paraId="4FD2E702" w14:textId="77777777" w:rsidR="00007E26" w:rsidRDefault="00007E26" w:rsidP="00007E26">
      <w:pPr>
        <w:jc w:val="center"/>
      </w:pPr>
    </w:p>
    <w:p w14:paraId="68F50DE4" w14:textId="77777777" w:rsidR="00007E26" w:rsidRDefault="00007E26" w:rsidP="00007E26">
      <w:pPr>
        <w:jc w:val="center"/>
      </w:pPr>
    </w:p>
    <w:p w14:paraId="1C22DFB0" w14:textId="77777777" w:rsidR="00007E26" w:rsidRDefault="00007E26" w:rsidP="00007E26">
      <w:pPr>
        <w:jc w:val="center"/>
      </w:pPr>
    </w:p>
    <w:p w14:paraId="00EC2015" w14:textId="4C4300B4" w:rsidR="003D3180" w:rsidRDefault="00221EAC" w:rsidP="00007E26">
      <w:pPr>
        <w:jc w:val="center"/>
      </w:pPr>
      <w:r>
        <w:t>ACCOUNTING FUNDAMENTALS</w:t>
      </w:r>
    </w:p>
    <w:p w14:paraId="7D97817E" w14:textId="6CDD3E47" w:rsidR="00007E26" w:rsidRDefault="00007E26" w:rsidP="00007E26">
      <w:pPr>
        <w:jc w:val="center"/>
      </w:pPr>
      <w:r>
        <w:t>Name of the student:</w:t>
      </w:r>
      <w:r w:rsidR="008103F8">
        <w:t xml:space="preserve"> Nikolinka Nedelcheva</w:t>
      </w:r>
    </w:p>
    <w:p w14:paraId="7EAB2A11" w14:textId="1AA48123" w:rsidR="008103F8" w:rsidRDefault="008103F8" w:rsidP="00007E26">
      <w:pPr>
        <w:jc w:val="center"/>
      </w:pPr>
      <w:r>
        <w:t xml:space="preserve">Student ID: </w:t>
      </w:r>
      <w:r w:rsidR="003B0396" w:rsidRPr="003B0396">
        <w:t>2115610</w:t>
      </w:r>
    </w:p>
    <w:p w14:paraId="21ECACA5" w14:textId="549D3D79" w:rsidR="003B0396" w:rsidRDefault="003B0396" w:rsidP="00007E26">
      <w:pPr>
        <w:jc w:val="center"/>
      </w:pPr>
      <w:r>
        <w:t xml:space="preserve">Module Leader: </w:t>
      </w:r>
      <w:r w:rsidRPr="003B0396">
        <w:t>Dr. Emad Elkhashen</w:t>
      </w:r>
    </w:p>
    <w:p w14:paraId="291E73EC" w14:textId="77777777" w:rsidR="00007E26" w:rsidRDefault="00007E26">
      <w:pPr>
        <w:spacing w:line="259" w:lineRule="auto"/>
        <w:jc w:val="left"/>
      </w:pPr>
      <w:r>
        <w:br w:type="page"/>
      </w:r>
    </w:p>
    <w:sdt>
      <w:sdtPr>
        <w:rPr>
          <w:rFonts w:ascii="Times New Roman" w:eastAsiaTheme="minorHAnsi" w:hAnsi="Times New Roman" w:cstheme="minorBidi"/>
          <w:color w:val="auto"/>
          <w:sz w:val="24"/>
          <w:szCs w:val="22"/>
        </w:rPr>
        <w:id w:val="-1027404987"/>
        <w:docPartObj>
          <w:docPartGallery w:val="Table of Contents"/>
          <w:docPartUnique/>
        </w:docPartObj>
      </w:sdtPr>
      <w:sdtEndPr>
        <w:rPr>
          <w:b/>
          <w:bCs/>
          <w:noProof/>
        </w:rPr>
      </w:sdtEndPr>
      <w:sdtContent>
        <w:p w14:paraId="46E06C02" w14:textId="77777777" w:rsidR="00F6019B" w:rsidRPr="00F6019B" w:rsidRDefault="00F6019B">
          <w:pPr>
            <w:pStyle w:val="TOCHeading"/>
            <w:rPr>
              <w:rFonts w:ascii="Times New Roman" w:hAnsi="Times New Roman" w:cs="Times New Roman"/>
              <w:b/>
              <w:color w:val="auto"/>
              <w:sz w:val="28"/>
              <w:szCs w:val="28"/>
            </w:rPr>
          </w:pPr>
          <w:r w:rsidRPr="00F6019B">
            <w:rPr>
              <w:rFonts w:ascii="Times New Roman" w:hAnsi="Times New Roman" w:cs="Times New Roman"/>
              <w:b/>
              <w:color w:val="auto"/>
              <w:sz w:val="28"/>
              <w:szCs w:val="28"/>
            </w:rPr>
            <w:t>Table of Contents</w:t>
          </w:r>
        </w:p>
        <w:p w14:paraId="61312AB8" w14:textId="168E4E32" w:rsidR="008154E6" w:rsidRDefault="00F6019B">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98158469" w:history="1">
            <w:r w:rsidR="008154E6" w:rsidRPr="00BE7B15">
              <w:rPr>
                <w:rStyle w:val="Hyperlink"/>
                <w:noProof/>
              </w:rPr>
              <w:t>Answer 1.b.</w:t>
            </w:r>
            <w:r w:rsidR="008154E6">
              <w:rPr>
                <w:noProof/>
                <w:webHidden/>
              </w:rPr>
              <w:tab/>
            </w:r>
            <w:r w:rsidR="008154E6">
              <w:rPr>
                <w:noProof/>
                <w:webHidden/>
              </w:rPr>
              <w:fldChar w:fldCharType="begin"/>
            </w:r>
            <w:r w:rsidR="008154E6">
              <w:rPr>
                <w:noProof/>
                <w:webHidden/>
              </w:rPr>
              <w:instrText xml:space="preserve"> PAGEREF _Toc98158469 \h </w:instrText>
            </w:r>
            <w:r w:rsidR="008154E6">
              <w:rPr>
                <w:noProof/>
                <w:webHidden/>
              </w:rPr>
            </w:r>
            <w:r w:rsidR="008154E6">
              <w:rPr>
                <w:noProof/>
                <w:webHidden/>
              </w:rPr>
              <w:fldChar w:fldCharType="separate"/>
            </w:r>
            <w:r w:rsidR="008154E6">
              <w:rPr>
                <w:noProof/>
                <w:webHidden/>
              </w:rPr>
              <w:t>3</w:t>
            </w:r>
            <w:r w:rsidR="008154E6">
              <w:rPr>
                <w:noProof/>
                <w:webHidden/>
              </w:rPr>
              <w:fldChar w:fldCharType="end"/>
            </w:r>
          </w:hyperlink>
        </w:p>
        <w:p w14:paraId="3640CEAE" w14:textId="33C4108E" w:rsidR="008154E6" w:rsidRDefault="007B37D6">
          <w:pPr>
            <w:pStyle w:val="TOC1"/>
            <w:tabs>
              <w:tab w:val="right" w:leader="dot" w:pos="9350"/>
            </w:tabs>
            <w:rPr>
              <w:rFonts w:asciiTheme="minorHAnsi" w:eastAsiaTheme="minorEastAsia" w:hAnsiTheme="minorHAnsi"/>
              <w:noProof/>
              <w:sz w:val="22"/>
              <w:lang w:val="en-GB" w:eastAsia="en-GB"/>
            </w:rPr>
          </w:pPr>
          <w:hyperlink w:anchor="_Toc98158470" w:history="1">
            <w:r w:rsidR="008154E6" w:rsidRPr="00BE7B15">
              <w:rPr>
                <w:rStyle w:val="Hyperlink"/>
                <w:noProof/>
              </w:rPr>
              <w:t>Answer 2.b.</w:t>
            </w:r>
            <w:r w:rsidR="008154E6">
              <w:rPr>
                <w:noProof/>
                <w:webHidden/>
              </w:rPr>
              <w:tab/>
            </w:r>
            <w:r w:rsidR="008154E6">
              <w:rPr>
                <w:noProof/>
                <w:webHidden/>
              </w:rPr>
              <w:fldChar w:fldCharType="begin"/>
            </w:r>
            <w:r w:rsidR="008154E6">
              <w:rPr>
                <w:noProof/>
                <w:webHidden/>
              </w:rPr>
              <w:instrText xml:space="preserve"> PAGEREF _Toc98158470 \h </w:instrText>
            </w:r>
            <w:r w:rsidR="008154E6">
              <w:rPr>
                <w:noProof/>
                <w:webHidden/>
              </w:rPr>
            </w:r>
            <w:r w:rsidR="008154E6">
              <w:rPr>
                <w:noProof/>
                <w:webHidden/>
              </w:rPr>
              <w:fldChar w:fldCharType="separate"/>
            </w:r>
            <w:r w:rsidR="008154E6">
              <w:rPr>
                <w:noProof/>
                <w:webHidden/>
              </w:rPr>
              <w:t>3</w:t>
            </w:r>
            <w:r w:rsidR="008154E6">
              <w:rPr>
                <w:noProof/>
                <w:webHidden/>
              </w:rPr>
              <w:fldChar w:fldCharType="end"/>
            </w:r>
          </w:hyperlink>
        </w:p>
        <w:p w14:paraId="6F45AA05" w14:textId="6A45B502"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1" w:history="1">
            <w:r w:rsidR="008154E6" w:rsidRPr="00BE7B15">
              <w:rPr>
                <w:rStyle w:val="Hyperlink"/>
                <w:noProof/>
              </w:rPr>
              <w:t>ROCE</w:t>
            </w:r>
            <w:r w:rsidR="008154E6">
              <w:rPr>
                <w:noProof/>
                <w:webHidden/>
              </w:rPr>
              <w:tab/>
            </w:r>
            <w:r w:rsidR="008154E6">
              <w:rPr>
                <w:noProof/>
                <w:webHidden/>
              </w:rPr>
              <w:fldChar w:fldCharType="begin"/>
            </w:r>
            <w:r w:rsidR="008154E6">
              <w:rPr>
                <w:noProof/>
                <w:webHidden/>
              </w:rPr>
              <w:instrText xml:space="preserve"> PAGEREF _Toc98158471 \h </w:instrText>
            </w:r>
            <w:r w:rsidR="008154E6">
              <w:rPr>
                <w:noProof/>
                <w:webHidden/>
              </w:rPr>
            </w:r>
            <w:r w:rsidR="008154E6">
              <w:rPr>
                <w:noProof/>
                <w:webHidden/>
              </w:rPr>
              <w:fldChar w:fldCharType="separate"/>
            </w:r>
            <w:r w:rsidR="008154E6">
              <w:rPr>
                <w:noProof/>
                <w:webHidden/>
              </w:rPr>
              <w:t>3</w:t>
            </w:r>
            <w:r w:rsidR="008154E6">
              <w:rPr>
                <w:noProof/>
                <w:webHidden/>
              </w:rPr>
              <w:fldChar w:fldCharType="end"/>
            </w:r>
          </w:hyperlink>
        </w:p>
        <w:p w14:paraId="5E988696" w14:textId="4D3E737F"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2" w:history="1">
            <w:r w:rsidR="008154E6" w:rsidRPr="00BE7B15">
              <w:rPr>
                <w:rStyle w:val="Hyperlink"/>
                <w:noProof/>
              </w:rPr>
              <w:t>ROE</w:t>
            </w:r>
            <w:r w:rsidR="008154E6">
              <w:rPr>
                <w:noProof/>
                <w:webHidden/>
              </w:rPr>
              <w:tab/>
            </w:r>
            <w:r w:rsidR="008154E6">
              <w:rPr>
                <w:noProof/>
                <w:webHidden/>
              </w:rPr>
              <w:fldChar w:fldCharType="begin"/>
            </w:r>
            <w:r w:rsidR="008154E6">
              <w:rPr>
                <w:noProof/>
                <w:webHidden/>
              </w:rPr>
              <w:instrText xml:space="preserve"> PAGEREF _Toc98158472 \h </w:instrText>
            </w:r>
            <w:r w:rsidR="008154E6">
              <w:rPr>
                <w:noProof/>
                <w:webHidden/>
              </w:rPr>
            </w:r>
            <w:r w:rsidR="008154E6">
              <w:rPr>
                <w:noProof/>
                <w:webHidden/>
              </w:rPr>
              <w:fldChar w:fldCharType="separate"/>
            </w:r>
            <w:r w:rsidR="008154E6">
              <w:rPr>
                <w:noProof/>
                <w:webHidden/>
              </w:rPr>
              <w:t>4</w:t>
            </w:r>
            <w:r w:rsidR="008154E6">
              <w:rPr>
                <w:noProof/>
                <w:webHidden/>
              </w:rPr>
              <w:fldChar w:fldCharType="end"/>
            </w:r>
          </w:hyperlink>
        </w:p>
        <w:p w14:paraId="1C70239A" w14:textId="31EBA0F4"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3" w:history="1">
            <w:r w:rsidR="008154E6" w:rsidRPr="00BE7B15">
              <w:rPr>
                <w:rStyle w:val="Hyperlink"/>
                <w:noProof/>
              </w:rPr>
              <w:t>Earnings per share</w:t>
            </w:r>
            <w:r w:rsidR="008154E6">
              <w:rPr>
                <w:noProof/>
                <w:webHidden/>
              </w:rPr>
              <w:tab/>
            </w:r>
            <w:r w:rsidR="008154E6">
              <w:rPr>
                <w:noProof/>
                <w:webHidden/>
              </w:rPr>
              <w:fldChar w:fldCharType="begin"/>
            </w:r>
            <w:r w:rsidR="008154E6">
              <w:rPr>
                <w:noProof/>
                <w:webHidden/>
              </w:rPr>
              <w:instrText xml:space="preserve"> PAGEREF _Toc98158473 \h </w:instrText>
            </w:r>
            <w:r w:rsidR="008154E6">
              <w:rPr>
                <w:noProof/>
                <w:webHidden/>
              </w:rPr>
            </w:r>
            <w:r w:rsidR="008154E6">
              <w:rPr>
                <w:noProof/>
                <w:webHidden/>
              </w:rPr>
              <w:fldChar w:fldCharType="separate"/>
            </w:r>
            <w:r w:rsidR="008154E6">
              <w:rPr>
                <w:noProof/>
                <w:webHidden/>
              </w:rPr>
              <w:t>4</w:t>
            </w:r>
            <w:r w:rsidR="008154E6">
              <w:rPr>
                <w:noProof/>
                <w:webHidden/>
              </w:rPr>
              <w:fldChar w:fldCharType="end"/>
            </w:r>
          </w:hyperlink>
        </w:p>
        <w:p w14:paraId="15128F22" w14:textId="3642BD35"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4" w:history="1">
            <w:r w:rsidR="008154E6" w:rsidRPr="00BE7B15">
              <w:rPr>
                <w:rStyle w:val="Hyperlink"/>
                <w:noProof/>
              </w:rPr>
              <w:t>Net profit margin</w:t>
            </w:r>
            <w:r w:rsidR="008154E6">
              <w:rPr>
                <w:noProof/>
                <w:webHidden/>
              </w:rPr>
              <w:tab/>
            </w:r>
            <w:r w:rsidR="008154E6">
              <w:rPr>
                <w:noProof/>
                <w:webHidden/>
              </w:rPr>
              <w:fldChar w:fldCharType="begin"/>
            </w:r>
            <w:r w:rsidR="008154E6">
              <w:rPr>
                <w:noProof/>
                <w:webHidden/>
              </w:rPr>
              <w:instrText xml:space="preserve"> PAGEREF _Toc98158474 \h </w:instrText>
            </w:r>
            <w:r w:rsidR="008154E6">
              <w:rPr>
                <w:noProof/>
                <w:webHidden/>
              </w:rPr>
            </w:r>
            <w:r w:rsidR="008154E6">
              <w:rPr>
                <w:noProof/>
                <w:webHidden/>
              </w:rPr>
              <w:fldChar w:fldCharType="separate"/>
            </w:r>
            <w:r w:rsidR="008154E6">
              <w:rPr>
                <w:noProof/>
                <w:webHidden/>
              </w:rPr>
              <w:t>4</w:t>
            </w:r>
            <w:r w:rsidR="008154E6">
              <w:rPr>
                <w:noProof/>
                <w:webHidden/>
              </w:rPr>
              <w:fldChar w:fldCharType="end"/>
            </w:r>
          </w:hyperlink>
        </w:p>
        <w:p w14:paraId="0409CA12" w14:textId="1659EE2A"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5" w:history="1">
            <w:r w:rsidR="008154E6" w:rsidRPr="00BE7B15">
              <w:rPr>
                <w:rStyle w:val="Hyperlink"/>
                <w:noProof/>
              </w:rPr>
              <w:t>Asset turnover</w:t>
            </w:r>
            <w:r w:rsidR="008154E6">
              <w:rPr>
                <w:noProof/>
                <w:webHidden/>
              </w:rPr>
              <w:tab/>
            </w:r>
            <w:r w:rsidR="008154E6">
              <w:rPr>
                <w:noProof/>
                <w:webHidden/>
              </w:rPr>
              <w:fldChar w:fldCharType="begin"/>
            </w:r>
            <w:r w:rsidR="008154E6">
              <w:rPr>
                <w:noProof/>
                <w:webHidden/>
              </w:rPr>
              <w:instrText xml:space="preserve"> PAGEREF _Toc98158475 \h </w:instrText>
            </w:r>
            <w:r w:rsidR="008154E6">
              <w:rPr>
                <w:noProof/>
                <w:webHidden/>
              </w:rPr>
            </w:r>
            <w:r w:rsidR="008154E6">
              <w:rPr>
                <w:noProof/>
                <w:webHidden/>
              </w:rPr>
              <w:fldChar w:fldCharType="separate"/>
            </w:r>
            <w:r w:rsidR="008154E6">
              <w:rPr>
                <w:noProof/>
                <w:webHidden/>
              </w:rPr>
              <w:t>4</w:t>
            </w:r>
            <w:r w:rsidR="008154E6">
              <w:rPr>
                <w:noProof/>
                <w:webHidden/>
              </w:rPr>
              <w:fldChar w:fldCharType="end"/>
            </w:r>
          </w:hyperlink>
        </w:p>
        <w:p w14:paraId="0699C94B" w14:textId="0D88FF60"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6" w:history="1">
            <w:r w:rsidR="008154E6" w:rsidRPr="00BE7B15">
              <w:rPr>
                <w:rStyle w:val="Hyperlink"/>
                <w:noProof/>
              </w:rPr>
              <w:t>Stock holding days</w:t>
            </w:r>
            <w:r w:rsidR="008154E6">
              <w:rPr>
                <w:noProof/>
                <w:webHidden/>
              </w:rPr>
              <w:tab/>
            </w:r>
            <w:r w:rsidR="008154E6">
              <w:rPr>
                <w:noProof/>
                <w:webHidden/>
              </w:rPr>
              <w:fldChar w:fldCharType="begin"/>
            </w:r>
            <w:r w:rsidR="008154E6">
              <w:rPr>
                <w:noProof/>
                <w:webHidden/>
              </w:rPr>
              <w:instrText xml:space="preserve"> PAGEREF _Toc98158476 \h </w:instrText>
            </w:r>
            <w:r w:rsidR="008154E6">
              <w:rPr>
                <w:noProof/>
                <w:webHidden/>
              </w:rPr>
            </w:r>
            <w:r w:rsidR="008154E6">
              <w:rPr>
                <w:noProof/>
                <w:webHidden/>
              </w:rPr>
              <w:fldChar w:fldCharType="separate"/>
            </w:r>
            <w:r w:rsidR="008154E6">
              <w:rPr>
                <w:noProof/>
                <w:webHidden/>
              </w:rPr>
              <w:t>4</w:t>
            </w:r>
            <w:r w:rsidR="008154E6">
              <w:rPr>
                <w:noProof/>
                <w:webHidden/>
              </w:rPr>
              <w:fldChar w:fldCharType="end"/>
            </w:r>
          </w:hyperlink>
        </w:p>
        <w:p w14:paraId="54CBF0ED" w14:textId="292A7D32"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7" w:history="1">
            <w:r w:rsidR="008154E6" w:rsidRPr="00BE7B15">
              <w:rPr>
                <w:rStyle w:val="Hyperlink"/>
                <w:noProof/>
              </w:rPr>
              <w:t>Debtors’ collection period</w:t>
            </w:r>
            <w:r w:rsidR="008154E6">
              <w:rPr>
                <w:noProof/>
                <w:webHidden/>
              </w:rPr>
              <w:tab/>
            </w:r>
            <w:r w:rsidR="008154E6">
              <w:rPr>
                <w:noProof/>
                <w:webHidden/>
              </w:rPr>
              <w:fldChar w:fldCharType="begin"/>
            </w:r>
            <w:r w:rsidR="008154E6">
              <w:rPr>
                <w:noProof/>
                <w:webHidden/>
              </w:rPr>
              <w:instrText xml:space="preserve"> PAGEREF _Toc98158477 \h </w:instrText>
            </w:r>
            <w:r w:rsidR="008154E6">
              <w:rPr>
                <w:noProof/>
                <w:webHidden/>
              </w:rPr>
            </w:r>
            <w:r w:rsidR="008154E6">
              <w:rPr>
                <w:noProof/>
                <w:webHidden/>
              </w:rPr>
              <w:fldChar w:fldCharType="separate"/>
            </w:r>
            <w:r w:rsidR="008154E6">
              <w:rPr>
                <w:noProof/>
                <w:webHidden/>
              </w:rPr>
              <w:t>5</w:t>
            </w:r>
            <w:r w:rsidR="008154E6">
              <w:rPr>
                <w:noProof/>
                <w:webHidden/>
              </w:rPr>
              <w:fldChar w:fldCharType="end"/>
            </w:r>
          </w:hyperlink>
        </w:p>
        <w:p w14:paraId="2EE69428" w14:textId="634B42C8"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8" w:history="1">
            <w:r w:rsidR="008154E6" w:rsidRPr="00BE7B15">
              <w:rPr>
                <w:rStyle w:val="Hyperlink"/>
                <w:noProof/>
              </w:rPr>
              <w:t>Current ratio</w:t>
            </w:r>
            <w:r w:rsidR="008154E6">
              <w:rPr>
                <w:noProof/>
                <w:webHidden/>
              </w:rPr>
              <w:tab/>
            </w:r>
            <w:r w:rsidR="008154E6">
              <w:rPr>
                <w:noProof/>
                <w:webHidden/>
              </w:rPr>
              <w:fldChar w:fldCharType="begin"/>
            </w:r>
            <w:r w:rsidR="008154E6">
              <w:rPr>
                <w:noProof/>
                <w:webHidden/>
              </w:rPr>
              <w:instrText xml:space="preserve"> PAGEREF _Toc98158478 \h </w:instrText>
            </w:r>
            <w:r w:rsidR="008154E6">
              <w:rPr>
                <w:noProof/>
                <w:webHidden/>
              </w:rPr>
            </w:r>
            <w:r w:rsidR="008154E6">
              <w:rPr>
                <w:noProof/>
                <w:webHidden/>
              </w:rPr>
              <w:fldChar w:fldCharType="separate"/>
            </w:r>
            <w:r w:rsidR="008154E6">
              <w:rPr>
                <w:noProof/>
                <w:webHidden/>
              </w:rPr>
              <w:t>5</w:t>
            </w:r>
            <w:r w:rsidR="008154E6">
              <w:rPr>
                <w:noProof/>
                <w:webHidden/>
              </w:rPr>
              <w:fldChar w:fldCharType="end"/>
            </w:r>
          </w:hyperlink>
        </w:p>
        <w:p w14:paraId="5ECE9720" w14:textId="22D838B7" w:rsidR="008154E6" w:rsidRDefault="007B37D6">
          <w:pPr>
            <w:pStyle w:val="TOC2"/>
            <w:tabs>
              <w:tab w:val="right" w:leader="dot" w:pos="9350"/>
            </w:tabs>
            <w:rPr>
              <w:rFonts w:asciiTheme="minorHAnsi" w:eastAsiaTheme="minorEastAsia" w:hAnsiTheme="minorHAnsi"/>
              <w:noProof/>
              <w:sz w:val="22"/>
              <w:lang w:val="en-GB" w:eastAsia="en-GB"/>
            </w:rPr>
          </w:pPr>
          <w:hyperlink w:anchor="_Toc98158479" w:history="1">
            <w:r w:rsidR="008154E6" w:rsidRPr="00BE7B15">
              <w:rPr>
                <w:rStyle w:val="Hyperlink"/>
                <w:noProof/>
              </w:rPr>
              <w:t>Gearing ratio</w:t>
            </w:r>
            <w:r w:rsidR="008154E6">
              <w:rPr>
                <w:noProof/>
                <w:webHidden/>
              </w:rPr>
              <w:tab/>
            </w:r>
            <w:r w:rsidR="008154E6">
              <w:rPr>
                <w:noProof/>
                <w:webHidden/>
              </w:rPr>
              <w:fldChar w:fldCharType="begin"/>
            </w:r>
            <w:r w:rsidR="008154E6">
              <w:rPr>
                <w:noProof/>
                <w:webHidden/>
              </w:rPr>
              <w:instrText xml:space="preserve"> PAGEREF _Toc98158479 \h </w:instrText>
            </w:r>
            <w:r w:rsidR="008154E6">
              <w:rPr>
                <w:noProof/>
                <w:webHidden/>
              </w:rPr>
            </w:r>
            <w:r w:rsidR="008154E6">
              <w:rPr>
                <w:noProof/>
                <w:webHidden/>
              </w:rPr>
              <w:fldChar w:fldCharType="separate"/>
            </w:r>
            <w:r w:rsidR="008154E6">
              <w:rPr>
                <w:noProof/>
                <w:webHidden/>
              </w:rPr>
              <w:t>5</w:t>
            </w:r>
            <w:r w:rsidR="008154E6">
              <w:rPr>
                <w:noProof/>
                <w:webHidden/>
              </w:rPr>
              <w:fldChar w:fldCharType="end"/>
            </w:r>
          </w:hyperlink>
        </w:p>
        <w:p w14:paraId="3688833D" w14:textId="7D81C5BC" w:rsidR="008154E6" w:rsidRDefault="007B37D6">
          <w:pPr>
            <w:pStyle w:val="TOC2"/>
            <w:tabs>
              <w:tab w:val="right" w:leader="dot" w:pos="9350"/>
            </w:tabs>
            <w:rPr>
              <w:rFonts w:asciiTheme="minorHAnsi" w:eastAsiaTheme="minorEastAsia" w:hAnsiTheme="minorHAnsi"/>
              <w:noProof/>
              <w:sz w:val="22"/>
              <w:lang w:val="en-GB" w:eastAsia="en-GB"/>
            </w:rPr>
          </w:pPr>
          <w:hyperlink w:anchor="_Toc98158480" w:history="1">
            <w:r w:rsidR="008154E6" w:rsidRPr="00BE7B15">
              <w:rPr>
                <w:rStyle w:val="Hyperlink"/>
                <w:noProof/>
              </w:rPr>
              <w:t>Interest cover</w:t>
            </w:r>
            <w:r w:rsidR="008154E6">
              <w:rPr>
                <w:noProof/>
                <w:webHidden/>
              </w:rPr>
              <w:tab/>
            </w:r>
            <w:r w:rsidR="008154E6">
              <w:rPr>
                <w:noProof/>
                <w:webHidden/>
              </w:rPr>
              <w:fldChar w:fldCharType="begin"/>
            </w:r>
            <w:r w:rsidR="008154E6">
              <w:rPr>
                <w:noProof/>
                <w:webHidden/>
              </w:rPr>
              <w:instrText xml:space="preserve"> PAGEREF _Toc98158480 \h </w:instrText>
            </w:r>
            <w:r w:rsidR="008154E6">
              <w:rPr>
                <w:noProof/>
                <w:webHidden/>
              </w:rPr>
            </w:r>
            <w:r w:rsidR="008154E6">
              <w:rPr>
                <w:noProof/>
                <w:webHidden/>
              </w:rPr>
              <w:fldChar w:fldCharType="separate"/>
            </w:r>
            <w:r w:rsidR="008154E6">
              <w:rPr>
                <w:noProof/>
                <w:webHidden/>
              </w:rPr>
              <w:t>5</w:t>
            </w:r>
            <w:r w:rsidR="008154E6">
              <w:rPr>
                <w:noProof/>
                <w:webHidden/>
              </w:rPr>
              <w:fldChar w:fldCharType="end"/>
            </w:r>
          </w:hyperlink>
        </w:p>
        <w:p w14:paraId="2E1F821E" w14:textId="29ADE84D" w:rsidR="008154E6" w:rsidRDefault="007B37D6">
          <w:pPr>
            <w:pStyle w:val="TOC1"/>
            <w:tabs>
              <w:tab w:val="right" w:leader="dot" w:pos="9350"/>
            </w:tabs>
            <w:rPr>
              <w:rFonts w:asciiTheme="minorHAnsi" w:eastAsiaTheme="minorEastAsia" w:hAnsiTheme="minorHAnsi"/>
              <w:noProof/>
              <w:sz w:val="22"/>
              <w:lang w:val="en-GB" w:eastAsia="en-GB"/>
            </w:rPr>
          </w:pPr>
          <w:hyperlink w:anchor="_Toc98158481" w:history="1">
            <w:r w:rsidR="008154E6" w:rsidRPr="00BE7B15">
              <w:rPr>
                <w:rStyle w:val="Hyperlink"/>
                <w:noProof/>
              </w:rPr>
              <w:t>References</w:t>
            </w:r>
            <w:r w:rsidR="008154E6">
              <w:rPr>
                <w:noProof/>
                <w:webHidden/>
              </w:rPr>
              <w:tab/>
            </w:r>
            <w:r w:rsidR="008154E6">
              <w:rPr>
                <w:noProof/>
                <w:webHidden/>
              </w:rPr>
              <w:fldChar w:fldCharType="begin"/>
            </w:r>
            <w:r w:rsidR="008154E6">
              <w:rPr>
                <w:noProof/>
                <w:webHidden/>
              </w:rPr>
              <w:instrText xml:space="preserve"> PAGEREF _Toc98158481 \h </w:instrText>
            </w:r>
            <w:r w:rsidR="008154E6">
              <w:rPr>
                <w:noProof/>
                <w:webHidden/>
              </w:rPr>
            </w:r>
            <w:r w:rsidR="008154E6">
              <w:rPr>
                <w:noProof/>
                <w:webHidden/>
              </w:rPr>
              <w:fldChar w:fldCharType="separate"/>
            </w:r>
            <w:r w:rsidR="008154E6">
              <w:rPr>
                <w:noProof/>
                <w:webHidden/>
              </w:rPr>
              <w:t>6</w:t>
            </w:r>
            <w:r w:rsidR="008154E6">
              <w:rPr>
                <w:noProof/>
                <w:webHidden/>
              </w:rPr>
              <w:fldChar w:fldCharType="end"/>
            </w:r>
          </w:hyperlink>
        </w:p>
        <w:p w14:paraId="45788A1F" w14:textId="09CF9344" w:rsidR="00F6019B" w:rsidRDefault="00F6019B">
          <w:r>
            <w:rPr>
              <w:b/>
              <w:bCs/>
              <w:noProof/>
            </w:rPr>
            <w:fldChar w:fldCharType="end"/>
          </w:r>
        </w:p>
      </w:sdtContent>
    </w:sdt>
    <w:p w14:paraId="3C579AF5" w14:textId="77777777" w:rsidR="00007E26" w:rsidRDefault="00007E26" w:rsidP="00007E26"/>
    <w:p w14:paraId="07E07EBA" w14:textId="77777777" w:rsidR="00007E26" w:rsidRDefault="00007E26">
      <w:pPr>
        <w:spacing w:line="259" w:lineRule="auto"/>
        <w:jc w:val="left"/>
      </w:pPr>
      <w:r>
        <w:br w:type="page"/>
      </w:r>
    </w:p>
    <w:p w14:paraId="4A6A5141" w14:textId="61087FC6" w:rsidR="00007E26" w:rsidRDefault="00221EAC" w:rsidP="00007E26">
      <w:pPr>
        <w:pStyle w:val="Heading1"/>
      </w:pPr>
      <w:bookmarkStart w:id="0" w:name="_Toc98158469"/>
      <w:r>
        <w:lastRenderedPageBreak/>
        <w:t>Answer 1.b.</w:t>
      </w:r>
      <w:bookmarkEnd w:id="0"/>
    </w:p>
    <w:p w14:paraId="78029D77" w14:textId="71B794BE" w:rsidR="002A6A64" w:rsidRDefault="00221EAC" w:rsidP="00221EAC">
      <w:r>
        <w:tab/>
        <w:t>The primary reason for balancing of financial position statement is the double entry system of accounting. Under double entry system of accounting</w:t>
      </w:r>
      <w:r w:rsidR="00DF35F8">
        <w:t>,</w:t>
      </w:r>
      <w:r>
        <w:t xml:space="preserve"> </w:t>
      </w:r>
      <w:r w:rsidR="00DF35F8">
        <w:t>each financial transaction gets recorded with equal amount of debit and credit effect in at least two different accounts</w:t>
      </w:r>
      <w:r w:rsidR="002F6109">
        <w:t xml:space="preserve"> (</w:t>
      </w:r>
      <w:r w:rsidR="002F6109">
        <w:rPr>
          <w:shd w:val="clear" w:color="auto" w:fill="FFFFFF"/>
        </w:rPr>
        <w:t>Sandip 2018)</w:t>
      </w:r>
      <w:r w:rsidR="00DF35F8">
        <w:t>. To elaborate the same with an example, a financial transaction of cash purchase of inventories will reduce the cash balance and increase the inventory balance. Hence, the net current asset position of the financial position statement will remain same. Further, where the inventory got purchased in credit</w:t>
      </w:r>
      <w:r w:rsidR="009F6B5C">
        <w:t>,</w:t>
      </w:r>
      <w:r w:rsidR="00DF35F8">
        <w:t xml:space="preserve"> the trade payables amount </w:t>
      </w:r>
      <w:r w:rsidR="009F6B5C">
        <w:t xml:space="preserve">and inventory amount </w:t>
      </w:r>
      <w:r w:rsidR="00DF35F8">
        <w:t xml:space="preserve">will rise by </w:t>
      </w:r>
      <w:r w:rsidR="009F6B5C">
        <w:t xml:space="preserve">same amount. Hence, the current asset position and current liability position reported in the financial position statement will remain same. </w:t>
      </w:r>
    </w:p>
    <w:tbl>
      <w:tblPr>
        <w:tblW w:w="9220" w:type="dxa"/>
        <w:tblLook w:val="04A0" w:firstRow="1" w:lastRow="0" w:firstColumn="1" w:lastColumn="0" w:noHBand="0" w:noVBand="1"/>
      </w:tblPr>
      <w:tblGrid>
        <w:gridCol w:w="857"/>
        <w:gridCol w:w="852"/>
        <w:gridCol w:w="852"/>
        <w:gridCol w:w="852"/>
        <w:gridCol w:w="2690"/>
        <w:gridCol w:w="3117"/>
      </w:tblGrid>
      <w:tr w:rsidR="008103F8" w:rsidRPr="008103F8" w14:paraId="5E107489" w14:textId="77777777" w:rsidTr="008103F8">
        <w:trPr>
          <w:trHeight w:val="300"/>
        </w:trPr>
        <w:tc>
          <w:tcPr>
            <w:tcW w:w="9220" w:type="dxa"/>
            <w:gridSpan w:val="6"/>
            <w:tcBorders>
              <w:top w:val="nil"/>
              <w:left w:val="nil"/>
              <w:bottom w:val="nil"/>
              <w:right w:val="nil"/>
            </w:tcBorders>
            <w:shd w:val="clear" w:color="auto" w:fill="auto"/>
            <w:noWrap/>
            <w:vAlign w:val="bottom"/>
            <w:hideMark/>
          </w:tcPr>
          <w:p w14:paraId="7648B338"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xml:space="preserve">Wales Plc. </w:t>
            </w:r>
          </w:p>
        </w:tc>
      </w:tr>
      <w:tr w:rsidR="008103F8" w:rsidRPr="008103F8" w14:paraId="7A97DC8B"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539C16"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Statement of income for the year ended 31 December 2021</w:t>
            </w:r>
          </w:p>
        </w:tc>
      </w:tr>
      <w:tr w:rsidR="008103F8" w:rsidRPr="008103F8" w14:paraId="0AF20841"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F4B78F"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Details</w:t>
            </w:r>
          </w:p>
        </w:tc>
        <w:tc>
          <w:tcPr>
            <w:tcW w:w="2690" w:type="dxa"/>
            <w:tcBorders>
              <w:top w:val="nil"/>
              <w:left w:val="nil"/>
              <w:bottom w:val="single" w:sz="4" w:space="0" w:color="auto"/>
              <w:right w:val="single" w:sz="4" w:space="0" w:color="auto"/>
            </w:tcBorders>
            <w:shd w:val="clear" w:color="auto" w:fill="auto"/>
            <w:noWrap/>
            <w:vAlign w:val="bottom"/>
            <w:hideMark/>
          </w:tcPr>
          <w:p w14:paraId="7D32B48C"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c>
          <w:tcPr>
            <w:tcW w:w="3117" w:type="dxa"/>
            <w:tcBorders>
              <w:top w:val="nil"/>
              <w:left w:val="nil"/>
              <w:bottom w:val="single" w:sz="4" w:space="0" w:color="auto"/>
              <w:right w:val="single" w:sz="4" w:space="0" w:color="auto"/>
            </w:tcBorders>
            <w:shd w:val="clear" w:color="auto" w:fill="auto"/>
            <w:noWrap/>
            <w:vAlign w:val="bottom"/>
            <w:hideMark/>
          </w:tcPr>
          <w:p w14:paraId="1D4569A1"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r>
      <w:tr w:rsidR="008103F8" w:rsidRPr="008103F8" w14:paraId="7597A79E"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33530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Sales</w:t>
            </w:r>
          </w:p>
        </w:tc>
        <w:tc>
          <w:tcPr>
            <w:tcW w:w="2690" w:type="dxa"/>
            <w:tcBorders>
              <w:top w:val="nil"/>
              <w:left w:val="nil"/>
              <w:bottom w:val="single" w:sz="4" w:space="0" w:color="auto"/>
              <w:right w:val="single" w:sz="4" w:space="0" w:color="auto"/>
            </w:tcBorders>
            <w:shd w:val="clear" w:color="auto" w:fill="auto"/>
            <w:noWrap/>
            <w:vAlign w:val="bottom"/>
            <w:hideMark/>
          </w:tcPr>
          <w:p w14:paraId="0604C382"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800980</w:t>
            </w:r>
          </w:p>
        </w:tc>
        <w:tc>
          <w:tcPr>
            <w:tcW w:w="3117" w:type="dxa"/>
            <w:tcBorders>
              <w:top w:val="nil"/>
              <w:left w:val="nil"/>
              <w:bottom w:val="single" w:sz="4" w:space="0" w:color="auto"/>
              <w:right w:val="single" w:sz="4" w:space="0" w:color="auto"/>
            </w:tcBorders>
            <w:shd w:val="clear" w:color="auto" w:fill="auto"/>
            <w:noWrap/>
            <w:vAlign w:val="bottom"/>
            <w:hideMark/>
          </w:tcPr>
          <w:p w14:paraId="7FCCF9CA"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70DF7619"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064305"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Less, Cost of sales</w:t>
            </w:r>
          </w:p>
        </w:tc>
        <w:tc>
          <w:tcPr>
            <w:tcW w:w="2690" w:type="dxa"/>
            <w:tcBorders>
              <w:top w:val="nil"/>
              <w:left w:val="nil"/>
              <w:bottom w:val="single" w:sz="4" w:space="0" w:color="auto"/>
              <w:right w:val="single" w:sz="4" w:space="0" w:color="auto"/>
            </w:tcBorders>
            <w:shd w:val="clear" w:color="auto" w:fill="auto"/>
            <w:noWrap/>
            <w:vAlign w:val="bottom"/>
            <w:hideMark/>
          </w:tcPr>
          <w:p w14:paraId="494602F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579630</w:t>
            </w:r>
          </w:p>
        </w:tc>
        <w:tc>
          <w:tcPr>
            <w:tcW w:w="3117" w:type="dxa"/>
            <w:tcBorders>
              <w:top w:val="nil"/>
              <w:left w:val="nil"/>
              <w:bottom w:val="single" w:sz="4" w:space="0" w:color="auto"/>
              <w:right w:val="single" w:sz="4" w:space="0" w:color="auto"/>
            </w:tcBorders>
            <w:shd w:val="clear" w:color="auto" w:fill="auto"/>
            <w:noWrap/>
            <w:vAlign w:val="bottom"/>
            <w:hideMark/>
          </w:tcPr>
          <w:p w14:paraId="1DEB8F2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5E3F2E56"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C2A05B"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Gross profit</w:t>
            </w:r>
          </w:p>
        </w:tc>
        <w:tc>
          <w:tcPr>
            <w:tcW w:w="2690" w:type="dxa"/>
            <w:tcBorders>
              <w:top w:val="nil"/>
              <w:left w:val="nil"/>
              <w:bottom w:val="single" w:sz="4" w:space="0" w:color="auto"/>
              <w:right w:val="single" w:sz="4" w:space="0" w:color="auto"/>
            </w:tcBorders>
            <w:shd w:val="clear" w:color="auto" w:fill="auto"/>
            <w:noWrap/>
            <w:vAlign w:val="bottom"/>
            <w:hideMark/>
          </w:tcPr>
          <w:p w14:paraId="108EA5E4"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c>
          <w:tcPr>
            <w:tcW w:w="3117" w:type="dxa"/>
            <w:tcBorders>
              <w:top w:val="nil"/>
              <w:left w:val="nil"/>
              <w:bottom w:val="single" w:sz="4" w:space="0" w:color="auto"/>
              <w:right w:val="single" w:sz="4" w:space="0" w:color="auto"/>
            </w:tcBorders>
            <w:shd w:val="clear" w:color="auto" w:fill="auto"/>
            <w:noWrap/>
            <w:vAlign w:val="bottom"/>
            <w:hideMark/>
          </w:tcPr>
          <w:p w14:paraId="4B7EE5B5"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221350</w:t>
            </w:r>
          </w:p>
        </w:tc>
      </w:tr>
      <w:tr w:rsidR="008103F8" w:rsidRPr="008103F8" w14:paraId="26734D3E"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E1946D"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Less, Operating and interest expenses</w:t>
            </w:r>
          </w:p>
        </w:tc>
        <w:tc>
          <w:tcPr>
            <w:tcW w:w="2690" w:type="dxa"/>
            <w:tcBorders>
              <w:top w:val="nil"/>
              <w:left w:val="nil"/>
              <w:bottom w:val="single" w:sz="4" w:space="0" w:color="auto"/>
              <w:right w:val="single" w:sz="4" w:space="0" w:color="auto"/>
            </w:tcBorders>
            <w:shd w:val="clear" w:color="auto" w:fill="auto"/>
            <w:noWrap/>
            <w:vAlign w:val="bottom"/>
            <w:hideMark/>
          </w:tcPr>
          <w:p w14:paraId="4107E4C0"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c>
          <w:tcPr>
            <w:tcW w:w="3117" w:type="dxa"/>
            <w:tcBorders>
              <w:top w:val="nil"/>
              <w:left w:val="nil"/>
              <w:bottom w:val="single" w:sz="4" w:space="0" w:color="auto"/>
              <w:right w:val="single" w:sz="4" w:space="0" w:color="auto"/>
            </w:tcBorders>
            <w:shd w:val="clear" w:color="auto" w:fill="auto"/>
            <w:noWrap/>
            <w:vAlign w:val="bottom"/>
            <w:hideMark/>
          </w:tcPr>
          <w:p w14:paraId="66DF7AB5"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78B1B00E"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67150C"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Ordinery dividend paid</w:t>
            </w:r>
          </w:p>
        </w:tc>
        <w:tc>
          <w:tcPr>
            <w:tcW w:w="2690" w:type="dxa"/>
            <w:tcBorders>
              <w:top w:val="nil"/>
              <w:left w:val="nil"/>
              <w:bottom w:val="single" w:sz="4" w:space="0" w:color="auto"/>
              <w:right w:val="single" w:sz="4" w:space="0" w:color="auto"/>
            </w:tcBorders>
            <w:shd w:val="clear" w:color="auto" w:fill="auto"/>
            <w:noWrap/>
            <w:vAlign w:val="bottom"/>
            <w:hideMark/>
          </w:tcPr>
          <w:p w14:paraId="7D9F38CF"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20000</w:t>
            </w:r>
          </w:p>
        </w:tc>
        <w:tc>
          <w:tcPr>
            <w:tcW w:w="3117" w:type="dxa"/>
            <w:tcBorders>
              <w:top w:val="nil"/>
              <w:left w:val="nil"/>
              <w:bottom w:val="single" w:sz="4" w:space="0" w:color="auto"/>
              <w:right w:val="single" w:sz="4" w:space="0" w:color="auto"/>
            </w:tcBorders>
            <w:shd w:val="clear" w:color="auto" w:fill="auto"/>
            <w:noWrap/>
            <w:vAlign w:val="bottom"/>
            <w:hideMark/>
          </w:tcPr>
          <w:p w14:paraId="60535A07"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15F7D13E"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BC106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Preference dividend paid</w:t>
            </w:r>
          </w:p>
        </w:tc>
        <w:tc>
          <w:tcPr>
            <w:tcW w:w="2690" w:type="dxa"/>
            <w:tcBorders>
              <w:top w:val="nil"/>
              <w:left w:val="nil"/>
              <w:bottom w:val="single" w:sz="4" w:space="0" w:color="auto"/>
              <w:right w:val="single" w:sz="4" w:space="0" w:color="auto"/>
            </w:tcBorders>
            <w:shd w:val="clear" w:color="auto" w:fill="auto"/>
            <w:noWrap/>
            <w:vAlign w:val="bottom"/>
            <w:hideMark/>
          </w:tcPr>
          <w:p w14:paraId="70CE416A"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30000</w:t>
            </w:r>
          </w:p>
        </w:tc>
        <w:tc>
          <w:tcPr>
            <w:tcW w:w="3117" w:type="dxa"/>
            <w:tcBorders>
              <w:top w:val="nil"/>
              <w:left w:val="nil"/>
              <w:bottom w:val="single" w:sz="4" w:space="0" w:color="auto"/>
              <w:right w:val="single" w:sz="4" w:space="0" w:color="auto"/>
            </w:tcBorders>
            <w:shd w:val="clear" w:color="auto" w:fill="auto"/>
            <w:noWrap/>
            <w:vAlign w:val="bottom"/>
            <w:hideMark/>
          </w:tcPr>
          <w:p w14:paraId="33B08555"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1C772138"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22F650"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Administrative expenses</w:t>
            </w:r>
          </w:p>
        </w:tc>
        <w:tc>
          <w:tcPr>
            <w:tcW w:w="2690" w:type="dxa"/>
            <w:tcBorders>
              <w:top w:val="nil"/>
              <w:left w:val="nil"/>
              <w:bottom w:val="single" w:sz="4" w:space="0" w:color="auto"/>
              <w:right w:val="single" w:sz="4" w:space="0" w:color="auto"/>
            </w:tcBorders>
            <w:shd w:val="clear" w:color="auto" w:fill="auto"/>
            <w:noWrap/>
            <w:vAlign w:val="bottom"/>
            <w:hideMark/>
          </w:tcPr>
          <w:p w14:paraId="5B503D24"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30000</w:t>
            </w:r>
          </w:p>
        </w:tc>
        <w:tc>
          <w:tcPr>
            <w:tcW w:w="3117" w:type="dxa"/>
            <w:tcBorders>
              <w:top w:val="nil"/>
              <w:left w:val="nil"/>
              <w:bottom w:val="single" w:sz="4" w:space="0" w:color="auto"/>
              <w:right w:val="single" w:sz="4" w:space="0" w:color="auto"/>
            </w:tcBorders>
            <w:shd w:val="clear" w:color="auto" w:fill="auto"/>
            <w:noWrap/>
            <w:vAlign w:val="bottom"/>
            <w:hideMark/>
          </w:tcPr>
          <w:p w14:paraId="3046855E"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349173CC"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42326B"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Interest paid</w:t>
            </w:r>
          </w:p>
        </w:tc>
        <w:tc>
          <w:tcPr>
            <w:tcW w:w="2690" w:type="dxa"/>
            <w:tcBorders>
              <w:top w:val="nil"/>
              <w:left w:val="nil"/>
              <w:bottom w:val="single" w:sz="4" w:space="0" w:color="auto"/>
              <w:right w:val="single" w:sz="4" w:space="0" w:color="auto"/>
            </w:tcBorders>
            <w:shd w:val="clear" w:color="auto" w:fill="auto"/>
            <w:noWrap/>
            <w:vAlign w:val="bottom"/>
            <w:hideMark/>
          </w:tcPr>
          <w:p w14:paraId="0394FAE2"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4000</w:t>
            </w:r>
          </w:p>
        </w:tc>
        <w:tc>
          <w:tcPr>
            <w:tcW w:w="3117" w:type="dxa"/>
            <w:tcBorders>
              <w:top w:val="nil"/>
              <w:left w:val="nil"/>
              <w:bottom w:val="single" w:sz="4" w:space="0" w:color="auto"/>
              <w:right w:val="single" w:sz="4" w:space="0" w:color="auto"/>
            </w:tcBorders>
            <w:shd w:val="clear" w:color="auto" w:fill="auto"/>
            <w:noWrap/>
            <w:vAlign w:val="bottom"/>
            <w:hideMark/>
          </w:tcPr>
          <w:p w14:paraId="05695293"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54F88142"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41AE5"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Director remuneration</w:t>
            </w:r>
          </w:p>
        </w:tc>
        <w:tc>
          <w:tcPr>
            <w:tcW w:w="2690" w:type="dxa"/>
            <w:tcBorders>
              <w:top w:val="nil"/>
              <w:left w:val="nil"/>
              <w:bottom w:val="single" w:sz="4" w:space="0" w:color="auto"/>
              <w:right w:val="single" w:sz="4" w:space="0" w:color="auto"/>
            </w:tcBorders>
            <w:shd w:val="clear" w:color="auto" w:fill="auto"/>
            <w:noWrap/>
            <w:vAlign w:val="bottom"/>
            <w:hideMark/>
          </w:tcPr>
          <w:p w14:paraId="5D58AF76"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5000</w:t>
            </w:r>
          </w:p>
        </w:tc>
        <w:tc>
          <w:tcPr>
            <w:tcW w:w="3117" w:type="dxa"/>
            <w:tcBorders>
              <w:top w:val="nil"/>
              <w:left w:val="nil"/>
              <w:bottom w:val="single" w:sz="4" w:space="0" w:color="auto"/>
              <w:right w:val="single" w:sz="4" w:space="0" w:color="auto"/>
            </w:tcBorders>
            <w:shd w:val="clear" w:color="auto" w:fill="auto"/>
            <w:noWrap/>
            <w:vAlign w:val="bottom"/>
            <w:hideMark/>
          </w:tcPr>
          <w:p w14:paraId="2E502DC4"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04298407"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39EA3"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Distribution cost</w:t>
            </w:r>
          </w:p>
        </w:tc>
        <w:tc>
          <w:tcPr>
            <w:tcW w:w="2690" w:type="dxa"/>
            <w:tcBorders>
              <w:top w:val="nil"/>
              <w:left w:val="nil"/>
              <w:bottom w:val="single" w:sz="4" w:space="0" w:color="auto"/>
              <w:right w:val="single" w:sz="4" w:space="0" w:color="auto"/>
            </w:tcBorders>
            <w:shd w:val="clear" w:color="auto" w:fill="auto"/>
            <w:noWrap/>
            <w:vAlign w:val="bottom"/>
            <w:hideMark/>
          </w:tcPr>
          <w:p w14:paraId="4069AF01"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28000</w:t>
            </w:r>
          </w:p>
        </w:tc>
        <w:tc>
          <w:tcPr>
            <w:tcW w:w="3117" w:type="dxa"/>
            <w:tcBorders>
              <w:top w:val="nil"/>
              <w:left w:val="nil"/>
              <w:bottom w:val="single" w:sz="4" w:space="0" w:color="auto"/>
              <w:right w:val="single" w:sz="4" w:space="0" w:color="auto"/>
            </w:tcBorders>
            <w:shd w:val="clear" w:color="auto" w:fill="auto"/>
            <w:noWrap/>
            <w:vAlign w:val="bottom"/>
            <w:hideMark/>
          </w:tcPr>
          <w:p w14:paraId="316B806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6321D2A0"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AB225"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Unrecorded sales commission</w:t>
            </w:r>
          </w:p>
        </w:tc>
        <w:tc>
          <w:tcPr>
            <w:tcW w:w="2690" w:type="dxa"/>
            <w:tcBorders>
              <w:top w:val="nil"/>
              <w:left w:val="nil"/>
              <w:bottom w:val="single" w:sz="4" w:space="0" w:color="auto"/>
              <w:right w:val="single" w:sz="4" w:space="0" w:color="auto"/>
            </w:tcBorders>
            <w:shd w:val="clear" w:color="auto" w:fill="auto"/>
            <w:noWrap/>
            <w:vAlign w:val="bottom"/>
            <w:hideMark/>
          </w:tcPr>
          <w:p w14:paraId="605118B8"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3000</w:t>
            </w:r>
          </w:p>
        </w:tc>
        <w:tc>
          <w:tcPr>
            <w:tcW w:w="3117" w:type="dxa"/>
            <w:tcBorders>
              <w:top w:val="nil"/>
              <w:left w:val="nil"/>
              <w:bottom w:val="single" w:sz="4" w:space="0" w:color="auto"/>
              <w:right w:val="single" w:sz="4" w:space="0" w:color="auto"/>
            </w:tcBorders>
            <w:shd w:val="clear" w:color="auto" w:fill="auto"/>
            <w:noWrap/>
            <w:vAlign w:val="bottom"/>
            <w:hideMark/>
          </w:tcPr>
          <w:p w14:paraId="222E3E89"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5CE4E8DF"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9A418F"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operting and interest expenses</w:t>
            </w:r>
          </w:p>
        </w:tc>
        <w:tc>
          <w:tcPr>
            <w:tcW w:w="3117" w:type="dxa"/>
            <w:tcBorders>
              <w:top w:val="nil"/>
              <w:left w:val="nil"/>
              <w:bottom w:val="single" w:sz="4" w:space="0" w:color="auto"/>
              <w:right w:val="single" w:sz="4" w:space="0" w:color="auto"/>
            </w:tcBorders>
            <w:shd w:val="clear" w:color="auto" w:fill="auto"/>
            <w:noWrap/>
            <w:vAlign w:val="bottom"/>
            <w:hideMark/>
          </w:tcPr>
          <w:p w14:paraId="6FD1C0F8"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120000</w:t>
            </w:r>
          </w:p>
        </w:tc>
      </w:tr>
      <w:tr w:rsidR="008103F8" w:rsidRPr="008103F8" w14:paraId="6BAB3B3B"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C699BD"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Profit before tax</w:t>
            </w:r>
          </w:p>
        </w:tc>
        <w:tc>
          <w:tcPr>
            <w:tcW w:w="3117" w:type="dxa"/>
            <w:tcBorders>
              <w:top w:val="nil"/>
              <w:left w:val="nil"/>
              <w:bottom w:val="single" w:sz="4" w:space="0" w:color="auto"/>
              <w:right w:val="single" w:sz="4" w:space="0" w:color="auto"/>
            </w:tcBorders>
            <w:shd w:val="clear" w:color="auto" w:fill="auto"/>
            <w:noWrap/>
            <w:vAlign w:val="bottom"/>
            <w:hideMark/>
          </w:tcPr>
          <w:p w14:paraId="6204C29F"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101350</w:t>
            </w:r>
          </w:p>
        </w:tc>
      </w:tr>
      <w:tr w:rsidR="008103F8" w:rsidRPr="008103F8" w14:paraId="637D66BB"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0C2EBC"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Corporation taxes</w:t>
            </w:r>
          </w:p>
        </w:tc>
        <w:tc>
          <w:tcPr>
            <w:tcW w:w="3117" w:type="dxa"/>
            <w:tcBorders>
              <w:top w:val="nil"/>
              <w:left w:val="nil"/>
              <w:bottom w:val="single" w:sz="4" w:space="0" w:color="auto"/>
              <w:right w:val="single" w:sz="4" w:space="0" w:color="auto"/>
            </w:tcBorders>
            <w:shd w:val="clear" w:color="auto" w:fill="auto"/>
            <w:noWrap/>
            <w:vAlign w:val="bottom"/>
            <w:hideMark/>
          </w:tcPr>
          <w:p w14:paraId="2569B625"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100000</w:t>
            </w:r>
          </w:p>
        </w:tc>
      </w:tr>
      <w:tr w:rsidR="008103F8" w:rsidRPr="008103F8" w14:paraId="01F5AEC2"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B041A"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Retained profit</w:t>
            </w:r>
          </w:p>
        </w:tc>
        <w:tc>
          <w:tcPr>
            <w:tcW w:w="3117" w:type="dxa"/>
            <w:tcBorders>
              <w:top w:val="nil"/>
              <w:left w:val="nil"/>
              <w:bottom w:val="single" w:sz="4" w:space="0" w:color="auto"/>
              <w:right w:val="single" w:sz="4" w:space="0" w:color="auto"/>
            </w:tcBorders>
            <w:shd w:val="clear" w:color="auto" w:fill="auto"/>
            <w:noWrap/>
            <w:vAlign w:val="bottom"/>
            <w:hideMark/>
          </w:tcPr>
          <w:p w14:paraId="5939301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1350</w:t>
            </w:r>
          </w:p>
        </w:tc>
      </w:tr>
      <w:tr w:rsidR="008103F8" w:rsidRPr="008103F8" w14:paraId="54F24A4F" w14:textId="77777777" w:rsidTr="008103F8">
        <w:trPr>
          <w:trHeight w:val="300"/>
        </w:trPr>
        <w:tc>
          <w:tcPr>
            <w:tcW w:w="857" w:type="dxa"/>
            <w:tcBorders>
              <w:top w:val="nil"/>
              <w:left w:val="nil"/>
              <w:bottom w:val="nil"/>
              <w:right w:val="nil"/>
            </w:tcBorders>
            <w:shd w:val="clear" w:color="auto" w:fill="auto"/>
            <w:noWrap/>
            <w:vAlign w:val="bottom"/>
            <w:hideMark/>
          </w:tcPr>
          <w:p w14:paraId="493DECE4"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p>
        </w:tc>
        <w:tc>
          <w:tcPr>
            <w:tcW w:w="852" w:type="dxa"/>
            <w:tcBorders>
              <w:top w:val="nil"/>
              <w:left w:val="nil"/>
              <w:bottom w:val="nil"/>
              <w:right w:val="nil"/>
            </w:tcBorders>
            <w:shd w:val="clear" w:color="auto" w:fill="auto"/>
            <w:noWrap/>
            <w:vAlign w:val="bottom"/>
            <w:hideMark/>
          </w:tcPr>
          <w:p w14:paraId="67B5CB4F"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52" w:type="dxa"/>
            <w:tcBorders>
              <w:top w:val="nil"/>
              <w:left w:val="nil"/>
              <w:bottom w:val="nil"/>
              <w:right w:val="nil"/>
            </w:tcBorders>
            <w:shd w:val="clear" w:color="auto" w:fill="auto"/>
            <w:noWrap/>
            <w:vAlign w:val="bottom"/>
            <w:hideMark/>
          </w:tcPr>
          <w:p w14:paraId="4445766F"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52" w:type="dxa"/>
            <w:tcBorders>
              <w:top w:val="nil"/>
              <w:left w:val="nil"/>
              <w:bottom w:val="nil"/>
              <w:right w:val="nil"/>
            </w:tcBorders>
            <w:shd w:val="clear" w:color="auto" w:fill="auto"/>
            <w:noWrap/>
            <w:vAlign w:val="bottom"/>
            <w:hideMark/>
          </w:tcPr>
          <w:p w14:paraId="37DD46E8"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2690" w:type="dxa"/>
            <w:tcBorders>
              <w:top w:val="nil"/>
              <w:left w:val="nil"/>
              <w:bottom w:val="nil"/>
              <w:right w:val="nil"/>
            </w:tcBorders>
            <w:shd w:val="clear" w:color="auto" w:fill="auto"/>
            <w:noWrap/>
            <w:vAlign w:val="bottom"/>
            <w:hideMark/>
          </w:tcPr>
          <w:p w14:paraId="3EF6102B"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3117" w:type="dxa"/>
            <w:tcBorders>
              <w:top w:val="nil"/>
              <w:left w:val="nil"/>
              <w:bottom w:val="nil"/>
              <w:right w:val="nil"/>
            </w:tcBorders>
            <w:shd w:val="clear" w:color="auto" w:fill="auto"/>
            <w:noWrap/>
            <w:vAlign w:val="bottom"/>
            <w:hideMark/>
          </w:tcPr>
          <w:p w14:paraId="00D70BF4" w14:textId="77777777" w:rsidR="008103F8" w:rsidRPr="008103F8" w:rsidRDefault="008103F8" w:rsidP="008103F8">
            <w:pPr>
              <w:spacing w:after="0" w:line="240" w:lineRule="auto"/>
              <w:jc w:val="left"/>
              <w:rPr>
                <w:rFonts w:eastAsia="Times New Roman" w:cs="Times New Roman"/>
                <w:sz w:val="20"/>
                <w:szCs w:val="20"/>
                <w:lang w:val="en-GB" w:eastAsia="en-GB"/>
              </w:rPr>
            </w:pPr>
          </w:p>
        </w:tc>
      </w:tr>
      <w:tr w:rsidR="008103F8" w:rsidRPr="008103F8" w14:paraId="67622665"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199B27"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Statement of financial position as on 31 December 2021</w:t>
            </w:r>
          </w:p>
        </w:tc>
      </w:tr>
      <w:tr w:rsidR="008103F8" w:rsidRPr="008103F8" w14:paraId="391B5CDE"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67DB04"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Details</w:t>
            </w:r>
          </w:p>
        </w:tc>
        <w:tc>
          <w:tcPr>
            <w:tcW w:w="2690" w:type="dxa"/>
            <w:tcBorders>
              <w:top w:val="nil"/>
              <w:left w:val="nil"/>
              <w:bottom w:val="single" w:sz="4" w:space="0" w:color="auto"/>
              <w:right w:val="single" w:sz="4" w:space="0" w:color="auto"/>
            </w:tcBorders>
            <w:shd w:val="clear" w:color="auto" w:fill="auto"/>
            <w:noWrap/>
            <w:vAlign w:val="bottom"/>
            <w:hideMark/>
          </w:tcPr>
          <w:p w14:paraId="1A49F8A1"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c>
          <w:tcPr>
            <w:tcW w:w="3117" w:type="dxa"/>
            <w:tcBorders>
              <w:top w:val="nil"/>
              <w:left w:val="nil"/>
              <w:bottom w:val="single" w:sz="4" w:space="0" w:color="auto"/>
              <w:right w:val="single" w:sz="4" w:space="0" w:color="auto"/>
            </w:tcBorders>
            <w:shd w:val="clear" w:color="auto" w:fill="auto"/>
            <w:noWrap/>
            <w:vAlign w:val="bottom"/>
            <w:hideMark/>
          </w:tcPr>
          <w:p w14:paraId="22D3F99A"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r>
      <w:tr w:rsidR="008103F8" w:rsidRPr="008103F8" w14:paraId="7D7FD453"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C674E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Assets</w:t>
            </w:r>
          </w:p>
        </w:tc>
      </w:tr>
      <w:tr w:rsidR="008103F8" w:rsidRPr="008103F8" w14:paraId="4E6C5DB8"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017182"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lastRenderedPageBreak/>
              <w:t>Non-current assets</w:t>
            </w:r>
          </w:p>
        </w:tc>
      </w:tr>
      <w:tr w:rsidR="008103F8" w:rsidRPr="008103F8" w14:paraId="24746A54"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543F5A"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Plant and equipment</w:t>
            </w:r>
          </w:p>
        </w:tc>
        <w:tc>
          <w:tcPr>
            <w:tcW w:w="2690" w:type="dxa"/>
            <w:tcBorders>
              <w:top w:val="nil"/>
              <w:left w:val="nil"/>
              <w:bottom w:val="single" w:sz="4" w:space="0" w:color="auto"/>
              <w:right w:val="single" w:sz="4" w:space="0" w:color="auto"/>
            </w:tcBorders>
            <w:shd w:val="clear" w:color="auto" w:fill="auto"/>
            <w:noWrap/>
            <w:vAlign w:val="bottom"/>
            <w:hideMark/>
          </w:tcPr>
          <w:p w14:paraId="710F1B8F"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c>
          <w:tcPr>
            <w:tcW w:w="3117" w:type="dxa"/>
            <w:tcBorders>
              <w:top w:val="nil"/>
              <w:left w:val="nil"/>
              <w:bottom w:val="single" w:sz="4" w:space="0" w:color="auto"/>
              <w:right w:val="single" w:sz="4" w:space="0" w:color="auto"/>
            </w:tcBorders>
            <w:shd w:val="clear" w:color="auto" w:fill="auto"/>
            <w:noWrap/>
            <w:vAlign w:val="bottom"/>
            <w:hideMark/>
          </w:tcPr>
          <w:p w14:paraId="6BA1422B"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632730</w:t>
            </w:r>
          </w:p>
        </w:tc>
      </w:tr>
      <w:tr w:rsidR="008103F8" w:rsidRPr="008103F8" w14:paraId="655DB7C8"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1FD1FD"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Current assets</w:t>
            </w:r>
          </w:p>
        </w:tc>
        <w:tc>
          <w:tcPr>
            <w:tcW w:w="2690" w:type="dxa"/>
            <w:tcBorders>
              <w:top w:val="nil"/>
              <w:left w:val="nil"/>
              <w:bottom w:val="single" w:sz="4" w:space="0" w:color="auto"/>
              <w:right w:val="single" w:sz="4" w:space="0" w:color="auto"/>
            </w:tcBorders>
            <w:shd w:val="clear" w:color="auto" w:fill="auto"/>
            <w:noWrap/>
            <w:vAlign w:val="bottom"/>
            <w:hideMark/>
          </w:tcPr>
          <w:p w14:paraId="5CC79699"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c>
          <w:tcPr>
            <w:tcW w:w="3117" w:type="dxa"/>
            <w:tcBorders>
              <w:top w:val="nil"/>
              <w:left w:val="nil"/>
              <w:bottom w:val="single" w:sz="4" w:space="0" w:color="auto"/>
              <w:right w:val="single" w:sz="4" w:space="0" w:color="auto"/>
            </w:tcBorders>
            <w:shd w:val="clear" w:color="auto" w:fill="auto"/>
            <w:noWrap/>
            <w:vAlign w:val="bottom"/>
            <w:hideMark/>
          </w:tcPr>
          <w:p w14:paraId="6FE9548E"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03655518"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605895"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Stock as on 31 December 2021</w:t>
            </w:r>
          </w:p>
        </w:tc>
        <w:tc>
          <w:tcPr>
            <w:tcW w:w="2690" w:type="dxa"/>
            <w:tcBorders>
              <w:top w:val="nil"/>
              <w:left w:val="nil"/>
              <w:bottom w:val="single" w:sz="4" w:space="0" w:color="auto"/>
              <w:right w:val="single" w:sz="4" w:space="0" w:color="auto"/>
            </w:tcBorders>
            <w:shd w:val="clear" w:color="auto" w:fill="auto"/>
            <w:noWrap/>
            <w:vAlign w:val="bottom"/>
            <w:hideMark/>
          </w:tcPr>
          <w:p w14:paraId="26333FAC"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329620</w:t>
            </w:r>
          </w:p>
        </w:tc>
        <w:tc>
          <w:tcPr>
            <w:tcW w:w="3117" w:type="dxa"/>
            <w:tcBorders>
              <w:top w:val="nil"/>
              <w:left w:val="nil"/>
              <w:bottom w:val="single" w:sz="4" w:space="0" w:color="auto"/>
              <w:right w:val="single" w:sz="4" w:space="0" w:color="auto"/>
            </w:tcBorders>
            <w:shd w:val="clear" w:color="auto" w:fill="auto"/>
            <w:noWrap/>
            <w:vAlign w:val="bottom"/>
            <w:hideMark/>
          </w:tcPr>
          <w:p w14:paraId="171E6069"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3850B272"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7E2EFE"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xml:space="preserve">Trade recivables </w:t>
            </w:r>
          </w:p>
        </w:tc>
        <w:tc>
          <w:tcPr>
            <w:tcW w:w="2690" w:type="dxa"/>
            <w:tcBorders>
              <w:top w:val="nil"/>
              <w:left w:val="nil"/>
              <w:bottom w:val="single" w:sz="4" w:space="0" w:color="auto"/>
              <w:right w:val="single" w:sz="4" w:space="0" w:color="auto"/>
            </w:tcBorders>
            <w:shd w:val="clear" w:color="auto" w:fill="auto"/>
            <w:noWrap/>
            <w:vAlign w:val="bottom"/>
            <w:hideMark/>
          </w:tcPr>
          <w:p w14:paraId="40DDA5BB"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171105</w:t>
            </w:r>
          </w:p>
        </w:tc>
        <w:tc>
          <w:tcPr>
            <w:tcW w:w="3117" w:type="dxa"/>
            <w:tcBorders>
              <w:top w:val="nil"/>
              <w:left w:val="nil"/>
              <w:bottom w:val="single" w:sz="4" w:space="0" w:color="auto"/>
              <w:right w:val="single" w:sz="4" w:space="0" w:color="auto"/>
            </w:tcBorders>
            <w:shd w:val="clear" w:color="auto" w:fill="auto"/>
            <w:noWrap/>
            <w:vAlign w:val="bottom"/>
            <w:hideMark/>
          </w:tcPr>
          <w:p w14:paraId="122BE083"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6DB486BC"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DA8361"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Cash and bank</w:t>
            </w:r>
          </w:p>
        </w:tc>
        <w:tc>
          <w:tcPr>
            <w:tcW w:w="2690" w:type="dxa"/>
            <w:tcBorders>
              <w:top w:val="nil"/>
              <w:left w:val="nil"/>
              <w:bottom w:val="single" w:sz="4" w:space="0" w:color="auto"/>
              <w:right w:val="single" w:sz="4" w:space="0" w:color="auto"/>
            </w:tcBorders>
            <w:shd w:val="clear" w:color="auto" w:fill="auto"/>
            <w:noWrap/>
            <w:vAlign w:val="bottom"/>
            <w:hideMark/>
          </w:tcPr>
          <w:p w14:paraId="7BEECA0C"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76250</w:t>
            </w:r>
          </w:p>
        </w:tc>
        <w:tc>
          <w:tcPr>
            <w:tcW w:w="3117" w:type="dxa"/>
            <w:tcBorders>
              <w:top w:val="nil"/>
              <w:left w:val="nil"/>
              <w:bottom w:val="single" w:sz="4" w:space="0" w:color="auto"/>
              <w:right w:val="single" w:sz="4" w:space="0" w:color="auto"/>
            </w:tcBorders>
            <w:shd w:val="clear" w:color="auto" w:fill="auto"/>
            <w:noWrap/>
            <w:vAlign w:val="bottom"/>
            <w:hideMark/>
          </w:tcPr>
          <w:p w14:paraId="12CA15D7"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6216F2B1"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A1CBE3"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current assets</w:t>
            </w:r>
          </w:p>
        </w:tc>
        <w:tc>
          <w:tcPr>
            <w:tcW w:w="3117" w:type="dxa"/>
            <w:tcBorders>
              <w:top w:val="nil"/>
              <w:left w:val="nil"/>
              <w:bottom w:val="single" w:sz="4" w:space="0" w:color="auto"/>
              <w:right w:val="single" w:sz="4" w:space="0" w:color="auto"/>
            </w:tcBorders>
            <w:shd w:val="clear" w:color="auto" w:fill="auto"/>
            <w:noWrap/>
            <w:vAlign w:val="bottom"/>
            <w:hideMark/>
          </w:tcPr>
          <w:p w14:paraId="7717AB63"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576975</w:t>
            </w:r>
          </w:p>
        </w:tc>
      </w:tr>
      <w:tr w:rsidR="008103F8" w:rsidRPr="008103F8" w14:paraId="36511A88"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6968B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assets</w:t>
            </w:r>
          </w:p>
        </w:tc>
        <w:tc>
          <w:tcPr>
            <w:tcW w:w="3117" w:type="dxa"/>
            <w:tcBorders>
              <w:top w:val="nil"/>
              <w:left w:val="nil"/>
              <w:bottom w:val="single" w:sz="4" w:space="0" w:color="auto"/>
              <w:right w:val="single" w:sz="4" w:space="0" w:color="auto"/>
            </w:tcBorders>
            <w:shd w:val="clear" w:color="auto" w:fill="auto"/>
            <w:noWrap/>
            <w:vAlign w:val="bottom"/>
            <w:hideMark/>
          </w:tcPr>
          <w:p w14:paraId="57E2E3FC"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1209705</w:t>
            </w:r>
          </w:p>
        </w:tc>
      </w:tr>
      <w:tr w:rsidR="008103F8" w:rsidRPr="008103F8" w14:paraId="4EF590A3"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73A10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Equity and liability</w:t>
            </w:r>
          </w:p>
        </w:tc>
      </w:tr>
      <w:tr w:rsidR="008103F8" w:rsidRPr="008103F8" w14:paraId="3D1EC4C8"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BAAA29"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Current liability</w:t>
            </w:r>
          </w:p>
        </w:tc>
      </w:tr>
      <w:tr w:rsidR="008103F8" w:rsidRPr="008103F8" w14:paraId="6168BA1B"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6FF6FC"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Trade payables</w:t>
            </w:r>
          </w:p>
        </w:tc>
        <w:tc>
          <w:tcPr>
            <w:tcW w:w="2690" w:type="dxa"/>
            <w:tcBorders>
              <w:top w:val="nil"/>
              <w:left w:val="nil"/>
              <w:bottom w:val="single" w:sz="4" w:space="0" w:color="auto"/>
              <w:right w:val="single" w:sz="4" w:space="0" w:color="auto"/>
            </w:tcBorders>
            <w:shd w:val="clear" w:color="auto" w:fill="auto"/>
            <w:noWrap/>
            <w:vAlign w:val="bottom"/>
            <w:hideMark/>
          </w:tcPr>
          <w:p w14:paraId="42630294"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171355</w:t>
            </w:r>
          </w:p>
        </w:tc>
        <w:tc>
          <w:tcPr>
            <w:tcW w:w="3117" w:type="dxa"/>
            <w:tcBorders>
              <w:top w:val="nil"/>
              <w:left w:val="nil"/>
              <w:bottom w:val="single" w:sz="4" w:space="0" w:color="auto"/>
              <w:right w:val="single" w:sz="4" w:space="0" w:color="auto"/>
            </w:tcBorders>
            <w:shd w:val="clear" w:color="auto" w:fill="auto"/>
            <w:noWrap/>
            <w:vAlign w:val="bottom"/>
            <w:hideMark/>
          </w:tcPr>
          <w:p w14:paraId="6B66CA3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3D4163F2"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B89014"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Interest payable</w:t>
            </w:r>
          </w:p>
        </w:tc>
        <w:tc>
          <w:tcPr>
            <w:tcW w:w="2690" w:type="dxa"/>
            <w:tcBorders>
              <w:top w:val="nil"/>
              <w:left w:val="nil"/>
              <w:bottom w:val="single" w:sz="4" w:space="0" w:color="auto"/>
              <w:right w:val="single" w:sz="4" w:space="0" w:color="auto"/>
            </w:tcBorders>
            <w:shd w:val="clear" w:color="auto" w:fill="auto"/>
            <w:noWrap/>
            <w:vAlign w:val="bottom"/>
            <w:hideMark/>
          </w:tcPr>
          <w:p w14:paraId="087C02D2"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2000</w:t>
            </w:r>
          </w:p>
        </w:tc>
        <w:tc>
          <w:tcPr>
            <w:tcW w:w="3117" w:type="dxa"/>
            <w:tcBorders>
              <w:top w:val="nil"/>
              <w:left w:val="nil"/>
              <w:bottom w:val="single" w:sz="4" w:space="0" w:color="auto"/>
              <w:right w:val="single" w:sz="4" w:space="0" w:color="auto"/>
            </w:tcBorders>
            <w:shd w:val="clear" w:color="auto" w:fill="auto"/>
            <w:noWrap/>
            <w:vAlign w:val="bottom"/>
            <w:hideMark/>
          </w:tcPr>
          <w:p w14:paraId="1884E492"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11F46CF6"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A40984"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Corporation tax payables</w:t>
            </w:r>
          </w:p>
        </w:tc>
        <w:tc>
          <w:tcPr>
            <w:tcW w:w="2690" w:type="dxa"/>
            <w:tcBorders>
              <w:top w:val="nil"/>
              <w:left w:val="nil"/>
              <w:bottom w:val="single" w:sz="4" w:space="0" w:color="auto"/>
              <w:right w:val="single" w:sz="4" w:space="0" w:color="auto"/>
            </w:tcBorders>
            <w:shd w:val="clear" w:color="auto" w:fill="auto"/>
            <w:noWrap/>
            <w:vAlign w:val="bottom"/>
            <w:hideMark/>
          </w:tcPr>
          <w:p w14:paraId="000DD53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100000</w:t>
            </w:r>
          </w:p>
        </w:tc>
        <w:tc>
          <w:tcPr>
            <w:tcW w:w="3117" w:type="dxa"/>
            <w:tcBorders>
              <w:top w:val="nil"/>
              <w:left w:val="nil"/>
              <w:bottom w:val="single" w:sz="4" w:space="0" w:color="auto"/>
              <w:right w:val="single" w:sz="4" w:space="0" w:color="auto"/>
            </w:tcBorders>
            <w:shd w:val="clear" w:color="auto" w:fill="auto"/>
            <w:noWrap/>
            <w:vAlign w:val="bottom"/>
            <w:hideMark/>
          </w:tcPr>
          <w:p w14:paraId="2DB849D0"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005F22C1"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04C38D"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Sales commission payable</w:t>
            </w:r>
          </w:p>
        </w:tc>
        <w:tc>
          <w:tcPr>
            <w:tcW w:w="2690" w:type="dxa"/>
            <w:tcBorders>
              <w:top w:val="nil"/>
              <w:left w:val="nil"/>
              <w:bottom w:val="single" w:sz="4" w:space="0" w:color="auto"/>
              <w:right w:val="single" w:sz="4" w:space="0" w:color="auto"/>
            </w:tcBorders>
            <w:shd w:val="clear" w:color="auto" w:fill="auto"/>
            <w:noWrap/>
            <w:vAlign w:val="bottom"/>
            <w:hideMark/>
          </w:tcPr>
          <w:p w14:paraId="76CEDC2D"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3000</w:t>
            </w:r>
          </w:p>
        </w:tc>
        <w:tc>
          <w:tcPr>
            <w:tcW w:w="3117" w:type="dxa"/>
            <w:tcBorders>
              <w:top w:val="nil"/>
              <w:left w:val="nil"/>
              <w:bottom w:val="single" w:sz="4" w:space="0" w:color="auto"/>
              <w:right w:val="single" w:sz="4" w:space="0" w:color="auto"/>
            </w:tcBorders>
            <w:shd w:val="clear" w:color="auto" w:fill="auto"/>
            <w:noWrap/>
            <w:vAlign w:val="bottom"/>
            <w:hideMark/>
          </w:tcPr>
          <w:p w14:paraId="78E1900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33783EAB"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C5013B"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current liability</w:t>
            </w:r>
          </w:p>
        </w:tc>
        <w:tc>
          <w:tcPr>
            <w:tcW w:w="3117" w:type="dxa"/>
            <w:tcBorders>
              <w:top w:val="nil"/>
              <w:left w:val="nil"/>
              <w:bottom w:val="single" w:sz="4" w:space="0" w:color="auto"/>
              <w:right w:val="single" w:sz="4" w:space="0" w:color="auto"/>
            </w:tcBorders>
            <w:shd w:val="clear" w:color="auto" w:fill="auto"/>
            <w:noWrap/>
            <w:vAlign w:val="bottom"/>
            <w:hideMark/>
          </w:tcPr>
          <w:p w14:paraId="0CCD1A57"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276355</w:t>
            </w:r>
          </w:p>
        </w:tc>
      </w:tr>
      <w:tr w:rsidR="008103F8" w:rsidRPr="008103F8" w14:paraId="1CD50E9F"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08EF67"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Non-current liability</w:t>
            </w:r>
          </w:p>
        </w:tc>
      </w:tr>
      <w:tr w:rsidR="008103F8" w:rsidRPr="008103F8" w14:paraId="6E8F53FC"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9EB930"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4% debentures</w:t>
            </w:r>
          </w:p>
        </w:tc>
        <w:tc>
          <w:tcPr>
            <w:tcW w:w="3117" w:type="dxa"/>
            <w:tcBorders>
              <w:top w:val="nil"/>
              <w:left w:val="nil"/>
              <w:bottom w:val="single" w:sz="4" w:space="0" w:color="auto"/>
              <w:right w:val="single" w:sz="4" w:space="0" w:color="auto"/>
            </w:tcBorders>
            <w:shd w:val="clear" w:color="auto" w:fill="auto"/>
            <w:noWrap/>
            <w:vAlign w:val="bottom"/>
            <w:hideMark/>
          </w:tcPr>
          <w:p w14:paraId="48332E98"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100000</w:t>
            </w:r>
          </w:p>
        </w:tc>
      </w:tr>
      <w:tr w:rsidR="008103F8" w:rsidRPr="008103F8" w14:paraId="0D900536" w14:textId="77777777" w:rsidTr="008103F8">
        <w:trPr>
          <w:trHeight w:val="300"/>
        </w:trPr>
        <w:tc>
          <w:tcPr>
            <w:tcW w:w="92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95D16D"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Equity</w:t>
            </w:r>
          </w:p>
        </w:tc>
      </w:tr>
      <w:tr w:rsidR="008103F8" w:rsidRPr="008103F8" w14:paraId="6DA7C9BF"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24AE73" w14:textId="16B67778"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Ordinary shares</w:t>
            </w:r>
          </w:p>
        </w:tc>
        <w:tc>
          <w:tcPr>
            <w:tcW w:w="2690" w:type="dxa"/>
            <w:tcBorders>
              <w:top w:val="nil"/>
              <w:left w:val="nil"/>
              <w:bottom w:val="single" w:sz="4" w:space="0" w:color="auto"/>
              <w:right w:val="single" w:sz="4" w:space="0" w:color="auto"/>
            </w:tcBorders>
            <w:shd w:val="clear" w:color="auto" w:fill="auto"/>
            <w:noWrap/>
            <w:vAlign w:val="bottom"/>
            <w:hideMark/>
          </w:tcPr>
          <w:p w14:paraId="3F4556B5"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400000</w:t>
            </w:r>
          </w:p>
        </w:tc>
        <w:tc>
          <w:tcPr>
            <w:tcW w:w="3117" w:type="dxa"/>
            <w:tcBorders>
              <w:top w:val="nil"/>
              <w:left w:val="nil"/>
              <w:bottom w:val="single" w:sz="4" w:space="0" w:color="auto"/>
              <w:right w:val="single" w:sz="4" w:space="0" w:color="auto"/>
            </w:tcBorders>
            <w:shd w:val="clear" w:color="auto" w:fill="auto"/>
            <w:noWrap/>
            <w:vAlign w:val="bottom"/>
            <w:hideMark/>
          </w:tcPr>
          <w:p w14:paraId="621C2AEE"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001CE18A"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F383B2"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10% Preferences shares</w:t>
            </w:r>
          </w:p>
        </w:tc>
        <w:tc>
          <w:tcPr>
            <w:tcW w:w="2690" w:type="dxa"/>
            <w:tcBorders>
              <w:top w:val="nil"/>
              <w:left w:val="nil"/>
              <w:bottom w:val="single" w:sz="4" w:space="0" w:color="auto"/>
              <w:right w:val="single" w:sz="4" w:space="0" w:color="auto"/>
            </w:tcBorders>
            <w:shd w:val="clear" w:color="auto" w:fill="auto"/>
            <w:noWrap/>
            <w:vAlign w:val="bottom"/>
            <w:hideMark/>
          </w:tcPr>
          <w:p w14:paraId="11101F4E"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300000</w:t>
            </w:r>
          </w:p>
        </w:tc>
        <w:tc>
          <w:tcPr>
            <w:tcW w:w="3117" w:type="dxa"/>
            <w:tcBorders>
              <w:top w:val="nil"/>
              <w:left w:val="nil"/>
              <w:bottom w:val="single" w:sz="4" w:space="0" w:color="auto"/>
              <w:right w:val="single" w:sz="4" w:space="0" w:color="auto"/>
            </w:tcBorders>
            <w:shd w:val="clear" w:color="auto" w:fill="auto"/>
            <w:noWrap/>
            <w:vAlign w:val="bottom"/>
            <w:hideMark/>
          </w:tcPr>
          <w:p w14:paraId="328DAC6F"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1A808498" w14:textId="77777777" w:rsidTr="008103F8">
        <w:trPr>
          <w:trHeight w:val="300"/>
        </w:trPr>
        <w:tc>
          <w:tcPr>
            <w:tcW w:w="341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051BFC"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Retained profit</w:t>
            </w:r>
          </w:p>
        </w:tc>
        <w:tc>
          <w:tcPr>
            <w:tcW w:w="2690" w:type="dxa"/>
            <w:tcBorders>
              <w:top w:val="nil"/>
              <w:left w:val="nil"/>
              <w:bottom w:val="single" w:sz="4" w:space="0" w:color="auto"/>
              <w:right w:val="single" w:sz="4" w:space="0" w:color="auto"/>
            </w:tcBorders>
            <w:shd w:val="clear" w:color="auto" w:fill="auto"/>
            <w:noWrap/>
            <w:vAlign w:val="bottom"/>
            <w:hideMark/>
          </w:tcPr>
          <w:p w14:paraId="320F7CDF"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133350</w:t>
            </w:r>
          </w:p>
        </w:tc>
        <w:tc>
          <w:tcPr>
            <w:tcW w:w="3117" w:type="dxa"/>
            <w:tcBorders>
              <w:top w:val="nil"/>
              <w:left w:val="nil"/>
              <w:bottom w:val="single" w:sz="4" w:space="0" w:color="auto"/>
              <w:right w:val="single" w:sz="4" w:space="0" w:color="auto"/>
            </w:tcBorders>
            <w:shd w:val="clear" w:color="auto" w:fill="auto"/>
            <w:noWrap/>
            <w:vAlign w:val="bottom"/>
            <w:hideMark/>
          </w:tcPr>
          <w:p w14:paraId="173655A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w:t>
            </w:r>
          </w:p>
        </w:tc>
      </w:tr>
      <w:tr w:rsidR="008103F8" w:rsidRPr="008103F8" w14:paraId="0EA9DE4B"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B730A"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equity</w:t>
            </w:r>
          </w:p>
        </w:tc>
        <w:tc>
          <w:tcPr>
            <w:tcW w:w="3117" w:type="dxa"/>
            <w:tcBorders>
              <w:top w:val="nil"/>
              <w:left w:val="nil"/>
              <w:bottom w:val="single" w:sz="4" w:space="0" w:color="auto"/>
              <w:right w:val="single" w:sz="4" w:space="0" w:color="auto"/>
            </w:tcBorders>
            <w:shd w:val="clear" w:color="auto" w:fill="auto"/>
            <w:noWrap/>
            <w:vAlign w:val="bottom"/>
            <w:hideMark/>
          </w:tcPr>
          <w:p w14:paraId="68292CD5"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833350</w:t>
            </w:r>
          </w:p>
        </w:tc>
      </w:tr>
      <w:tr w:rsidR="008103F8" w:rsidRPr="008103F8" w14:paraId="1F43505F" w14:textId="77777777" w:rsidTr="008103F8">
        <w:trPr>
          <w:trHeight w:val="300"/>
        </w:trPr>
        <w:tc>
          <w:tcPr>
            <w:tcW w:w="610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C1A0D7"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equity and liability</w:t>
            </w:r>
          </w:p>
        </w:tc>
        <w:tc>
          <w:tcPr>
            <w:tcW w:w="3117" w:type="dxa"/>
            <w:tcBorders>
              <w:top w:val="nil"/>
              <w:left w:val="nil"/>
              <w:bottom w:val="single" w:sz="4" w:space="0" w:color="auto"/>
              <w:right w:val="single" w:sz="4" w:space="0" w:color="auto"/>
            </w:tcBorders>
            <w:shd w:val="clear" w:color="auto" w:fill="auto"/>
            <w:noWrap/>
            <w:vAlign w:val="bottom"/>
            <w:hideMark/>
          </w:tcPr>
          <w:p w14:paraId="1044176C"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1209705</w:t>
            </w:r>
          </w:p>
        </w:tc>
      </w:tr>
    </w:tbl>
    <w:p w14:paraId="2AD23FED" w14:textId="7112062A" w:rsidR="008103F8" w:rsidRDefault="008103F8" w:rsidP="00221EAC"/>
    <w:tbl>
      <w:tblPr>
        <w:tblW w:w="9360" w:type="dxa"/>
        <w:tblLook w:val="04A0" w:firstRow="1" w:lastRow="0" w:firstColumn="1" w:lastColumn="0" w:noHBand="0" w:noVBand="1"/>
      </w:tblPr>
      <w:tblGrid>
        <w:gridCol w:w="902"/>
        <w:gridCol w:w="896"/>
        <w:gridCol w:w="895"/>
        <w:gridCol w:w="895"/>
        <w:gridCol w:w="895"/>
        <w:gridCol w:w="4877"/>
      </w:tblGrid>
      <w:tr w:rsidR="008103F8" w:rsidRPr="008103F8" w14:paraId="722B6975" w14:textId="77777777" w:rsidTr="008103F8">
        <w:trPr>
          <w:trHeight w:val="300"/>
        </w:trPr>
        <w:tc>
          <w:tcPr>
            <w:tcW w:w="9360" w:type="dxa"/>
            <w:gridSpan w:val="6"/>
            <w:tcBorders>
              <w:top w:val="nil"/>
              <w:left w:val="nil"/>
              <w:bottom w:val="nil"/>
              <w:right w:val="nil"/>
            </w:tcBorders>
            <w:shd w:val="clear" w:color="auto" w:fill="auto"/>
            <w:noWrap/>
            <w:vAlign w:val="bottom"/>
            <w:hideMark/>
          </w:tcPr>
          <w:p w14:paraId="458DF637"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xml:space="preserve">Wales Plc. </w:t>
            </w:r>
          </w:p>
        </w:tc>
      </w:tr>
      <w:tr w:rsidR="008103F8" w:rsidRPr="008103F8" w14:paraId="01AE5119" w14:textId="77777777" w:rsidTr="008103F8">
        <w:trPr>
          <w:trHeight w:val="300"/>
        </w:trPr>
        <w:tc>
          <w:tcPr>
            <w:tcW w:w="93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79974E"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Sales for the year ended 31 December 2021</w:t>
            </w:r>
          </w:p>
        </w:tc>
      </w:tr>
      <w:tr w:rsidR="008103F8" w:rsidRPr="008103F8" w14:paraId="29D37E24"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9E3AE"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Details</w:t>
            </w:r>
          </w:p>
        </w:tc>
        <w:tc>
          <w:tcPr>
            <w:tcW w:w="4877" w:type="dxa"/>
            <w:tcBorders>
              <w:top w:val="nil"/>
              <w:left w:val="nil"/>
              <w:bottom w:val="single" w:sz="4" w:space="0" w:color="auto"/>
              <w:right w:val="single" w:sz="4" w:space="0" w:color="auto"/>
            </w:tcBorders>
            <w:shd w:val="clear" w:color="auto" w:fill="auto"/>
            <w:noWrap/>
            <w:vAlign w:val="bottom"/>
            <w:hideMark/>
          </w:tcPr>
          <w:p w14:paraId="54505B82"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r>
      <w:tr w:rsidR="008103F8" w:rsidRPr="008103F8" w14:paraId="0F3B7E80"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9B04D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Sales as per trial balance</w:t>
            </w:r>
          </w:p>
        </w:tc>
        <w:tc>
          <w:tcPr>
            <w:tcW w:w="4877" w:type="dxa"/>
            <w:tcBorders>
              <w:top w:val="nil"/>
              <w:left w:val="nil"/>
              <w:bottom w:val="single" w:sz="4" w:space="0" w:color="auto"/>
              <w:right w:val="single" w:sz="4" w:space="0" w:color="auto"/>
            </w:tcBorders>
            <w:shd w:val="clear" w:color="auto" w:fill="auto"/>
            <w:noWrap/>
            <w:vAlign w:val="bottom"/>
            <w:hideMark/>
          </w:tcPr>
          <w:p w14:paraId="23159D2D"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800000</w:t>
            </w:r>
          </w:p>
        </w:tc>
      </w:tr>
      <w:tr w:rsidR="008103F8" w:rsidRPr="008103F8" w14:paraId="5BCFD3CE"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709BFC"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Sales made on 31 December 2021</w:t>
            </w:r>
          </w:p>
        </w:tc>
        <w:tc>
          <w:tcPr>
            <w:tcW w:w="4877" w:type="dxa"/>
            <w:tcBorders>
              <w:top w:val="nil"/>
              <w:left w:val="nil"/>
              <w:bottom w:val="single" w:sz="4" w:space="0" w:color="auto"/>
              <w:right w:val="single" w:sz="4" w:space="0" w:color="auto"/>
            </w:tcBorders>
            <w:shd w:val="clear" w:color="auto" w:fill="auto"/>
            <w:noWrap/>
            <w:vAlign w:val="bottom"/>
            <w:hideMark/>
          </w:tcPr>
          <w:p w14:paraId="131D083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980</w:t>
            </w:r>
          </w:p>
        </w:tc>
      </w:tr>
      <w:tr w:rsidR="008103F8" w:rsidRPr="008103F8" w14:paraId="059DDED4"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FD72C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Total sales</w:t>
            </w:r>
          </w:p>
        </w:tc>
        <w:tc>
          <w:tcPr>
            <w:tcW w:w="4877" w:type="dxa"/>
            <w:tcBorders>
              <w:top w:val="nil"/>
              <w:left w:val="nil"/>
              <w:bottom w:val="single" w:sz="4" w:space="0" w:color="auto"/>
              <w:right w:val="single" w:sz="4" w:space="0" w:color="auto"/>
            </w:tcBorders>
            <w:shd w:val="clear" w:color="auto" w:fill="auto"/>
            <w:noWrap/>
            <w:vAlign w:val="bottom"/>
            <w:hideMark/>
          </w:tcPr>
          <w:p w14:paraId="6C29408A"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800980</w:t>
            </w:r>
          </w:p>
        </w:tc>
      </w:tr>
      <w:tr w:rsidR="008103F8" w:rsidRPr="008103F8" w14:paraId="4BC75140" w14:textId="77777777" w:rsidTr="008103F8">
        <w:trPr>
          <w:trHeight w:val="300"/>
        </w:trPr>
        <w:tc>
          <w:tcPr>
            <w:tcW w:w="902" w:type="dxa"/>
            <w:tcBorders>
              <w:top w:val="nil"/>
              <w:left w:val="nil"/>
              <w:bottom w:val="nil"/>
              <w:right w:val="nil"/>
            </w:tcBorders>
            <w:shd w:val="clear" w:color="auto" w:fill="auto"/>
            <w:noWrap/>
            <w:vAlign w:val="bottom"/>
            <w:hideMark/>
          </w:tcPr>
          <w:p w14:paraId="147A25B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p>
        </w:tc>
        <w:tc>
          <w:tcPr>
            <w:tcW w:w="896" w:type="dxa"/>
            <w:tcBorders>
              <w:top w:val="nil"/>
              <w:left w:val="nil"/>
              <w:bottom w:val="nil"/>
              <w:right w:val="nil"/>
            </w:tcBorders>
            <w:shd w:val="clear" w:color="auto" w:fill="auto"/>
            <w:noWrap/>
            <w:vAlign w:val="bottom"/>
            <w:hideMark/>
          </w:tcPr>
          <w:p w14:paraId="2D048D08"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22A3394F"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6ADA5786"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555CA8FD"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4877" w:type="dxa"/>
            <w:tcBorders>
              <w:top w:val="nil"/>
              <w:left w:val="nil"/>
              <w:bottom w:val="nil"/>
              <w:right w:val="nil"/>
            </w:tcBorders>
            <w:shd w:val="clear" w:color="auto" w:fill="auto"/>
            <w:noWrap/>
            <w:vAlign w:val="bottom"/>
            <w:hideMark/>
          </w:tcPr>
          <w:p w14:paraId="5ECBCEBF" w14:textId="77777777" w:rsidR="008103F8" w:rsidRPr="008103F8" w:rsidRDefault="008103F8" w:rsidP="008103F8">
            <w:pPr>
              <w:spacing w:after="0" w:line="240" w:lineRule="auto"/>
              <w:jc w:val="left"/>
              <w:rPr>
                <w:rFonts w:eastAsia="Times New Roman" w:cs="Times New Roman"/>
                <w:sz w:val="20"/>
                <w:szCs w:val="20"/>
                <w:lang w:val="en-GB" w:eastAsia="en-GB"/>
              </w:rPr>
            </w:pPr>
          </w:p>
        </w:tc>
      </w:tr>
      <w:tr w:rsidR="008103F8" w:rsidRPr="008103F8" w14:paraId="5A82BE76" w14:textId="77777777" w:rsidTr="008103F8">
        <w:trPr>
          <w:trHeight w:val="300"/>
        </w:trPr>
        <w:tc>
          <w:tcPr>
            <w:tcW w:w="93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84D240"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Balance of stock as on 31 December 2021</w:t>
            </w:r>
          </w:p>
        </w:tc>
      </w:tr>
      <w:tr w:rsidR="008103F8" w:rsidRPr="008103F8" w14:paraId="1943F42D"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18D35"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Details</w:t>
            </w:r>
          </w:p>
        </w:tc>
        <w:tc>
          <w:tcPr>
            <w:tcW w:w="4877" w:type="dxa"/>
            <w:tcBorders>
              <w:top w:val="nil"/>
              <w:left w:val="nil"/>
              <w:bottom w:val="single" w:sz="4" w:space="0" w:color="auto"/>
              <w:right w:val="single" w:sz="4" w:space="0" w:color="auto"/>
            </w:tcBorders>
            <w:shd w:val="clear" w:color="auto" w:fill="auto"/>
            <w:noWrap/>
            <w:vAlign w:val="bottom"/>
            <w:hideMark/>
          </w:tcPr>
          <w:p w14:paraId="56230A03"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r>
      <w:tr w:rsidR="008103F8" w:rsidRPr="008103F8" w14:paraId="6432C471"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FB2914"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Closing stock as per trial balance</w:t>
            </w:r>
          </w:p>
        </w:tc>
        <w:tc>
          <w:tcPr>
            <w:tcW w:w="4877" w:type="dxa"/>
            <w:tcBorders>
              <w:top w:val="nil"/>
              <w:left w:val="nil"/>
              <w:bottom w:val="single" w:sz="4" w:space="0" w:color="auto"/>
              <w:right w:val="single" w:sz="4" w:space="0" w:color="auto"/>
            </w:tcBorders>
            <w:shd w:val="clear" w:color="auto" w:fill="auto"/>
            <w:noWrap/>
            <w:vAlign w:val="bottom"/>
            <w:hideMark/>
          </w:tcPr>
          <w:p w14:paraId="6463D016"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330600</w:t>
            </w:r>
          </w:p>
        </w:tc>
      </w:tr>
      <w:tr w:rsidR="008103F8" w:rsidRPr="008103F8" w14:paraId="46E9484D"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A704D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Less, Unrecorded sales made on 31 December 2021</w:t>
            </w:r>
          </w:p>
        </w:tc>
        <w:tc>
          <w:tcPr>
            <w:tcW w:w="4877" w:type="dxa"/>
            <w:tcBorders>
              <w:top w:val="nil"/>
              <w:left w:val="nil"/>
              <w:bottom w:val="single" w:sz="4" w:space="0" w:color="auto"/>
              <w:right w:val="single" w:sz="4" w:space="0" w:color="auto"/>
            </w:tcBorders>
            <w:shd w:val="clear" w:color="auto" w:fill="auto"/>
            <w:noWrap/>
            <w:vAlign w:val="bottom"/>
            <w:hideMark/>
          </w:tcPr>
          <w:p w14:paraId="44713ACB"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980</w:t>
            </w:r>
          </w:p>
        </w:tc>
      </w:tr>
      <w:tr w:rsidR="008103F8" w:rsidRPr="008103F8" w14:paraId="1CFB383E"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7818B"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Closing stock as on 31 December 2021</w:t>
            </w:r>
          </w:p>
        </w:tc>
        <w:tc>
          <w:tcPr>
            <w:tcW w:w="4877" w:type="dxa"/>
            <w:tcBorders>
              <w:top w:val="nil"/>
              <w:left w:val="nil"/>
              <w:bottom w:val="single" w:sz="4" w:space="0" w:color="auto"/>
              <w:right w:val="single" w:sz="4" w:space="0" w:color="auto"/>
            </w:tcBorders>
            <w:shd w:val="clear" w:color="auto" w:fill="auto"/>
            <w:noWrap/>
            <w:vAlign w:val="bottom"/>
            <w:hideMark/>
          </w:tcPr>
          <w:p w14:paraId="2F81ADF4"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329620</w:t>
            </w:r>
          </w:p>
        </w:tc>
      </w:tr>
      <w:tr w:rsidR="008103F8" w:rsidRPr="008103F8" w14:paraId="40513066" w14:textId="77777777" w:rsidTr="008103F8">
        <w:trPr>
          <w:trHeight w:val="300"/>
        </w:trPr>
        <w:tc>
          <w:tcPr>
            <w:tcW w:w="902" w:type="dxa"/>
            <w:tcBorders>
              <w:top w:val="nil"/>
              <w:left w:val="nil"/>
              <w:bottom w:val="nil"/>
              <w:right w:val="nil"/>
            </w:tcBorders>
            <w:shd w:val="clear" w:color="auto" w:fill="auto"/>
            <w:noWrap/>
            <w:vAlign w:val="bottom"/>
            <w:hideMark/>
          </w:tcPr>
          <w:p w14:paraId="6CA96AC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p>
        </w:tc>
        <w:tc>
          <w:tcPr>
            <w:tcW w:w="896" w:type="dxa"/>
            <w:tcBorders>
              <w:top w:val="nil"/>
              <w:left w:val="nil"/>
              <w:bottom w:val="nil"/>
              <w:right w:val="nil"/>
            </w:tcBorders>
            <w:shd w:val="clear" w:color="auto" w:fill="auto"/>
            <w:noWrap/>
            <w:vAlign w:val="bottom"/>
            <w:hideMark/>
          </w:tcPr>
          <w:p w14:paraId="3A714BD9"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2777A6AA"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344191A3"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527CF7CD"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4877" w:type="dxa"/>
            <w:tcBorders>
              <w:top w:val="nil"/>
              <w:left w:val="nil"/>
              <w:bottom w:val="nil"/>
              <w:right w:val="nil"/>
            </w:tcBorders>
            <w:shd w:val="clear" w:color="auto" w:fill="auto"/>
            <w:noWrap/>
            <w:vAlign w:val="bottom"/>
            <w:hideMark/>
          </w:tcPr>
          <w:p w14:paraId="1F3B484B" w14:textId="77777777" w:rsidR="008103F8" w:rsidRPr="008103F8" w:rsidRDefault="008103F8" w:rsidP="008103F8">
            <w:pPr>
              <w:spacing w:after="0" w:line="240" w:lineRule="auto"/>
              <w:jc w:val="left"/>
              <w:rPr>
                <w:rFonts w:eastAsia="Times New Roman" w:cs="Times New Roman"/>
                <w:sz w:val="20"/>
                <w:szCs w:val="20"/>
                <w:lang w:val="en-GB" w:eastAsia="en-GB"/>
              </w:rPr>
            </w:pPr>
          </w:p>
        </w:tc>
      </w:tr>
      <w:tr w:rsidR="008103F8" w:rsidRPr="008103F8" w14:paraId="62B34093" w14:textId="77777777" w:rsidTr="008103F8">
        <w:trPr>
          <w:trHeight w:val="300"/>
        </w:trPr>
        <w:tc>
          <w:tcPr>
            <w:tcW w:w="93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BA9A04"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Balance of trade receivables as on 31 December 2021</w:t>
            </w:r>
          </w:p>
        </w:tc>
      </w:tr>
      <w:tr w:rsidR="008103F8" w:rsidRPr="008103F8" w14:paraId="1B904AB6"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C13F4A"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Details</w:t>
            </w:r>
          </w:p>
        </w:tc>
        <w:tc>
          <w:tcPr>
            <w:tcW w:w="4877" w:type="dxa"/>
            <w:tcBorders>
              <w:top w:val="nil"/>
              <w:left w:val="nil"/>
              <w:bottom w:val="single" w:sz="4" w:space="0" w:color="auto"/>
              <w:right w:val="single" w:sz="4" w:space="0" w:color="auto"/>
            </w:tcBorders>
            <w:shd w:val="clear" w:color="auto" w:fill="auto"/>
            <w:noWrap/>
            <w:vAlign w:val="bottom"/>
            <w:hideMark/>
          </w:tcPr>
          <w:p w14:paraId="3DA5C556"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r>
      <w:tr w:rsidR="008103F8" w:rsidRPr="008103F8" w14:paraId="5FE410E2"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8EF320"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lastRenderedPageBreak/>
              <w:t>Trade receivables as per trial balance</w:t>
            </w:r>
          </w:p>
        </w:tc>
        <w:tc>
          <w:tcPr>
            <w:tcW w:w="4877" w:type="dxa"/>
            <w:tcBorders>
              <w:top w:val="nil"/>
              <w:left w:val="nil"/>
              <w:bottom w:val="single" w:sz="4" w:space="0" w:color="auto"/>
              <w:right w:val="single" w:sz="4" w:space="0" w:color="auto"/>
            </w:tcBorders>
            <w:shd w:val="clear" w:color="auto" w:fill="auto"/>
            <w:noWrap/>
            <w:vAlign w:val="bottom"/>
            <w:hideMark/>
          </w:tcPr>
          <w:p w14:paraId="4C11BF48"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170125</w:t>
            </w:r>
          </w:p>
        </w:tc>
      </w:tr>
      <w:tr w:rsidR="008103F8" w:rsidRPr="008103F8" w14:paraId="469EF158"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68A53D"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Sales made on 31 December 2021</w:t>
            </w:r>
          </w:p>
        </w:tc>
        <w:tc>
          <w:tcPr>
            <w:tcW w:w="4877" w:type="dxa"/>
            <w:tcBorders>
              <w:top w:val="nil"/>
              <w:left w:val="nil"/>
              <w:bottom w:val="single" w:sz="4" w:space="0" w:color="auto"/>
              <w:right w:val="single" w:sz="4" w:space="0" w:color="auto"/>
            </w:tcBorders>
            <w:shd w:val="clear" w:color="auto" w:fill="auto"/>
            <w:noWrap/>
            <w:vAlign w:val="bottom"/>
            <w:hideMark/>
          </w:tcPr>
          <w:p w14:paraId="0897E7A9"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980</w:t>
            </w:r>
          </w:p>
        </w:tc>
      </w:tr>
      <w:tr w:rsidR="008103F8" w:rsidRPr="008103F8" w14:paraId="1BF4FB8A"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9DAA96"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 xml:space="preserve">Closing trade receivables as on 31 December 2021 </w:t>
            </w:r>
          </w:p>
        </w:tc>
        <w:tc>
          <w:tcPr>
            <w:tcW w:w="4877" w:type="dxa"/>
            <w:tcBorders>
              <w:top w:val="nil"/>
              <w:left w:val="nil"/>
              <w:bottom w:val="single" w:sz="4" w:space="0" w:color="auto"/>
              <w:right w:val="single" w:sz="4" w:space="0" w:color="auto"/>
            </w:tcBorders>
            <w:shd w:val="clear" w:color="auto" w:fill="auto"/>
            <w:noWrap/>
            <w:vAlign w:val="bottom"/>
            <w:hideMark/>
          </w:tcPr>
          <w:p w14:paraId="6DA632BA"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171105</w:t>
            </w:r>
          </w:p>
        </w:tc>
      </w:tr>
      <w:tr w:rsidR="008103F8" w:rsidRPr="008103F8" w14:paraId="5FF179D8" w14:textId="77777777" w:rsidTr="008103F8">
        <w:trPr>
          <w:trHeight w:val="300"/>
        </w:trPr>
        <w:tc>
          <w:tcPr>
            <w:tcW w:w="902" w:type="dxa"/>
            <w:tcBorders>
              <w:top w:val="nil"/>
              <w:left w:val="nil"/>
              <w:bottom w:val="nil"/>
              <w:right w:val="nil"/>
            </w:tcBorders>
            <w:shd w:val="clear" w:color="auto" w:fill="auto"/>
            <w:noWrap/>
            <w:vAlign w:val="bottom"/>
            <w:hideMark/>
          </w:tcPr>
          <w:p w14:paraId="20629B40"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p>
        </w:tc>
        <w:tc>
          <w:tcPr>
            <w:tcW w:w="896" w:type="dxa"/>
            <w:tcBorders>
              <w:top w:val="nil"/>
              <w:left w:val="nil"/>
              <w:bottom w:val="nil"/>
              <w:right w:val="nil"/>
            </w:tcBorders>
            <w:shd w:val="clear" w:color="auto" w:fill="auto"/>
            <w:noWrap/>
            <w:vAlign w:val="bottom"/>
            <w:hideMark/>
          </w:tcPr>
          <w:p w14:paraId="01EAAFFC"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236DFFD6"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4DFC6B71"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895" w:type="dxa"/>
            <w:tcBorders>
              <w:top w:val="nil"/>
              <w:left w:val="nil"/>
              <w:bottom w:val="nil"/>
              <w:right w:val="nil"/>
            </w:tcBorders>
            <w:shd w:val="clear" w:color="auto" w:fill="auto"/>
            <w:noWrap/>
            <w:vAlign w:val="bottom"/>
            <w:hideMark/>
          </w:tcPr>
          <w:p w14:paraId="67B2AF75" w14:textId="77777777" w:rsidR="008103F8" w:rsidRPr="008103F8" w:rsidRDefault="008103F8" w:rsidP="008103F8">
            <w:pPr>
              <w:spacing w:after="0" w:line="240" w:lineRule="auto"/>
              <w:jc w:val="left"/>
              <w:rPr>
                <w:rFonts w:eastAsia="Times New Roman" w:cs="Times New Roman"/>
                <w:sz w:val="20"/>
                <w:szCs w:val="20"/>
                <w:lang w:val="en-GB" w:eastAsia="en-GB"/>
              </w:rPr>
            </w:pPr>
          </w:p>
        </w:tc>
        <w:tc>
          <w:tcPr>
            <w:tcW w:w="4877" w:type="dxa"/>
            <w:tcBorders>
              <w:top w:val="nil"/>
              <w:left w:val="nil"/>
              <w:bottom w:val="nil"/>
              <w:right w:val="nil"/>
            </w:tcBorders>
            <w:shd w:val="clear" w:color="auto" w:fill="auto"/>
            <w:noWrap/>
            <w:vAlign w:val="bottom"/>
            <w:hideMark/>
          </w:tcPr>
          <w:p w14:paraId="4D01FA70" w14:textId="77777777" w:rsidR="008103F8" w:rsidRPr="008103F8" w:rsidRDefault="008103F8" w:rsidP="008103F8">
            <w:pPr>
              <w:spacing w:after="0" w:line="240" w:lineRule="auto"/>
              <w:jc w:val="left"/>
              <w:rPr>
                <w:rFonts w:eastAsia="Times New Roman" w:cs="Times New Roman"/>
                <w:sz w:val="20"/>
                <w:szCs w:val="20"/>
                <w:lang w:val="en-GB" w:eastAsia="en-GB"/>
              </w:rPr>
            </w:pPr>
          </w:p>
        </w:tc>
      </w:tr>
      <w:tr w:rsidR="008103F8" w:rsidRPr="008103F8" w14:paraId="16B1141C" w14:textId="77777777" w:rsidTr="008103F8">
        <w:trPr>
          <w:trHeight w:val="300"/>
        </w:trPr>
        <w:tc>
          <w:tcPr>
            <w:tcW w:w="93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DC4788"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Interest expenses for 2021</w:t>
            </w:r>
          </w:p>
        </w:tc>
      </w:tr>
      <w:tr w:rsidR="008103F8" w:rsidRPr="008103F8" w14:paraId="10968858"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D38A3"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Details</w:t>
            </w:r>
          </w:p>
        </w:tc>
        <w:tc>
          <w:tcPr>
            <w:tcW w:w="4877" w:type="dxa"/>
            <w:tcBorders>
              <w:top w:val="nil"/>
              <w:left w:val="nil"/>
              <w:bottom w:val="single" w:sz="4" w:space="0" w:color="auto"/>
              <w:right w:val="single" w:sz="4" w:space="0" w:color="auto"/>
            </w:tcBorders>
            <w:shd w:val="clear" w:color="auto" w:fill="auto"/>
            <w:noWrap/>
            <w:vAlign w:val="bottom"/>
            <w:hideMark/>
          </w:tcPr>
          <w:p w14:paraId="6D527D1C" w14:textId="77777777" w:rsidR="008103F8" w:rsidRPr="008103F8" w:rsidRDefault="008103F8" w:rsidP="008103F8">
            <w:pPr>
              <w:spacing w:after="0" w:line="240" w:lineRule="auto"/>
              <w:jc w:val="center"/>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w:t>
            </w:r>
          </w:p>
        </w:tc>
      </w:tr>
      <w:tr w:rsidR="008103F8" w:rsidRPr="008103F8" w14:paraId="0B301ADE"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F96478"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4% Debenture interest</w:t>
            </w:r>
          </w:p>
        </w:tc>
        <w:tc>
          <w:tcPr>
            <w:tcW w:w="4877" w:type="dxa"/>
            <w:tcBorders>
              <w:top w:val="nil"/>
              <w:left w:val="nil"/>
              <w:bottom w:val="single" w:sz="4" w:space="0" w:color="auto"/>
              <w:right w:val="single" w:sz="4" w:space="0" w:color="auto"/>
            </w:tcBorders>
            <w:shd w:val="clear" w:color="auto" w:fill="auto"/>
            <w:noWrap/>
            <w:vAlign w:val="bottom"/>
            <w:hideMark/>
          </w:tcPr>
          <w:p w14:paraId="6F903AE3"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4000</w:t>
            </w:r>
          </w:p>
        </w:tc>
      </w:tr>
      <w:tr w:rsidR="008103F8" w:rsidRPr="008103F8" w14:paraId="79BC3A2F"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8368A0"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Less, interest on debenure paid as per trial balance</w:t>
            </w:r>
          </w:p>
        </w:tc>
        <w:tc>
          <w:tcPr>
            <w:tcW w:w="4877" w:type="dxa"/>
            <w:tcBorders>
              <w:top w:val="nil"/>
              <w:left w:val="nil"/>
              <w:bottom w:val="single" w:sz="4" w:space="0" w:color="auto"/>
              <w:right w:val="single" w:sz="4" w:space="0" w:color="auto"/>
            </w:tcBorders>
            <w:shd w:val="clear" w:color="auto" w:fill="auto"/>
            <w:noWrap/>
            <w:vAlign w:val="bottom"/>
            <w:hideMark/>
          </w:tcPr>
          <w:p w14:paraId="7F51A1E1"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2000</w:t>
            </w:r>
          </w:p>
        </w:tc>
      </w:tr>
      <w:tr w:rsidR="008103F8" w:rsidRPr="008103F8" w14:paraId="0400C444" w14:textId="77777777" w:rsidTr="008103F8">
        <w:trPr>
          <w:trHeight w:val="300"/>
        </w:trPr>
        <w:tc>
          <w:tcPr>
            <w:tcW w:w="4483"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110A3F" w14:textId="77777777" w:rsidR="008103F8" w:rsidRPr="008103F8" w:rsidRDefault="008103F8" w:rsidP="008103F8">
            <w:pPr>
              <w:spacing w:after="0" w:line="240" w:lineRule="auto"/>
              <w:jc w:val="lef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Unpaid debenture interest</w:t>
            </w:r>
          </w:p>
        </w:tc>
        <w:tc>
          <w:tcPr>
            <w:tcW w:w="4877" w:type="dxa"/>
            <w:tcBorders>
              <w:top w:val="nil"/>
              <w:left w:val="nil"/>
              <w:bottom w:val="single" w:sz="4" w:space="0" w:color="auto"/>
              <w:right w:val="single" w:sz="4" w:space="0" w:color="auto"/>
            </w:tcBorders>
            <w:shd w:val="clear" w:color="auto" w:fill="auto"/>
            <w:noWrap/>
            <w:vAlign w:val="bottom"/>
            <w:hideMark/>
          </w:tcPr>
          <w:p w14:paraId="39C2DF64" w14:textId="77777777" w:rsidR="008103F8" w:rsidRPr="008103F8" w:rsidRDefault="008103F8" w:rsidP="008103F8">
            <w:pPr>
              <w:spacing w:after="0" w:line="240" w:lineRule="auto"/>
              <w:jc w:val="right"/>
              <w:rPr>
                <w:rFonts w:ascii="Calibri" w:eastAsia="Times New Roman" w:hAnsi="Calibri" w:cs="Calibri"/>
                <w:color w:val="000000"/>
                <w:sz w:val="22"/>
                <w:lang w:val="en-GB" w:eastAsia="en-GB"/>
              </w:rPr>
            </w:pPr>
            <w:r w:rsidRPr="008103F8">
              <w:rPr>
                <w:rFonts w:ascii="Calibri" w:eastAsia="Times New Roman" w:hAnsi="Calibri" w:cs="Calibri"/>
                <w:color w:val="000000"/>
                <w:sz w:val="22"/>
                <w:lang w:val="en-GB" w:eastAsia="en-GB"/>
              </w:rPr>
              <w:t>2000</w:t>
            </w:r>
          </w:p>
        </w:tc>
      </w:tr>
    </w:tbl>
    <w:p w14:paraId="7E520338" w14:textId="77777777" w:rsidR="008103F8" w:rsidRDefault="008103F8" w:rsidP="00221EAC"/>
    <w:p w14:paraId="2C032001" w14:textId="52F8F82A" w:rsidR="000522B0" w:rsidRDefault="002A6A64" w:rsidP="00221EAC">
      <w:r>
        <w:tab/>
        <w:t xml:space="preserve">From the above discussion, it is clear that, due to double entry system of accounting, the financial position statement </w:t>
      </w:r>
      <w:r w:rsidR="000522B0">
        <w:t>gets</w:t>
      </w:r>
      <w:r>
        <w:t xml:space="preserve"> tallied</w:t>
      </w:r>
      <w:r w:rsidR="009822B4">
        <w:t xml:space="preserve"> and if the same does not get tallied then, it is clear that, the accounting process has not been </w:t>
      </w:r>
      <w:r w:rsidR="000522B0">
        <w:t>done</w:t>
      </w:r>
      <w:r w:rsidR="009822B4">
        <w:t xml:space="preserve"> properly. </w:t>
      </w:r>
    </w:p>
    <w:p w14:paraId="20B5BCB2" w14:textId="18F5BB5F" w:rsidR="008103F8" w:rsidRDefault="000522B0" w:rsidP="008103F8">
      <w:pPr>
        <w:pStyle w:val="Heading1"/>
      </w:pPr>
      <w:bookmarkStart w:id="1" w:name="_Toc98158470"/>
      <w:r>
        <w:t>Answer 2.b.</w:t>
      </w:r>
      <w:bookmarkEnd w:id="1"/>
    </w:p>
    <w:tbl>
      <w:tblPr>
        <w:tblW w:w="9967" w:type="dxa"/>
        <w:tblCellMar>
          <w:top w:w="15" w:type="dxa"/>
        </w:tblCellMar>
        <w:tblLook w:val="04A0" w:firstRow="1" w:lastRow="0" w:firstColumn="1" w:lastColumn="0" w:noHBand="0" w:noVBand="1"/>
      </w:tblPr>
      <w:tblGrid>
        <w:gridCol w:w="1801"/>
        <w:gridCol w:w="3828"/>
        <w:gridCol w:w="2653"/>
        <w:gridCol w:w="875"/>
        <w:gridCol w:w="875"/>
        <w:gridCol w:w="222"/>
      </w:tblGrid>
      <w:tr w:rsidR="009F450F" w:rsidRPr="009F450F" w14:paraId="01D8AAA8" w14:textId="77777777" w:rsidTr="009F450F">
        <w:trPr>
          <w:gridAfter w:val="1"/>
          <w:wAfter w:w="187" w:type="dxa"/>
          <w:trHeight w:val="302"/>
        </w:trPr>
        <w:tc>
          <w:tcPr>
            <w:tcW w:w="9780"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B6737E9" w14:textId="77777777" w:rsidR="009F450F" w:rsidRPr="009F450F" w:rsidRDefault="009F450F" w:rsidP="009F450F">
            <w:pPr>
              <w:spacing w:after="0" w:line="240" w:lineRule="auto"/>
              <w:jc w:val="center"/>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Statement of ratio for 2021 and 2020</w:t>
            </w:r>
          </w:p>
        </w:tc>
      </w:tr>
      <w:tr w:rsidR="009F450F" w:rsidRPr="009F450F" w14:paraId="01509F40" w14:textId="77777777" w:rsidTr="009F450F">
        <w:trPr>
          <w:gridAfter w:val="1"/>
          <w:wAfter w:w="188" w:type="dxa"/>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17ADAB" w14:textId="77777777" w:rsidR="009F450F" w:rsidRPr="009F450F" w:rsidRDefault="009F450F" w:rsidP="009F450F">
            <w:pPr>
              <w:spacing w:after="0" w:line="240" w:lineRule="auto"/>
              <w:jc w:val="center"/>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Details</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6E73A1" w14:textId="77777777" w:rsidR="009F450F" w:rsidRPr="009F450F" w:rsidRDefault="009F450F" w:rsidP="009F450F">
            <w:pPr>
              <w:spacing w:after="0" w:line="240" w:lineRule="auto"/>
              <w:jc w:val="center"/>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Formula</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356D7A8" w14:textId="77777777" w:rsidR="009F450F" w:rsidRPr="009F450F" w:rsidRDefault="009F450F" w:rsidP="009F450F">
            <w:pPr>
              <w:spacing w:after="0" w:line="240" w:lineRule="auto"/>
              <w:jc w:val="center"/>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Working</w:t>
            </w:r>
          </w:p>
        </w:tc>
        <w:tc>
          <w:tcPr>
            <w:tcW w:w="1497" w:type="dxa"/>
            <w:gridSpan w:val="2"/>
            <w:tcBorders>
              <w:top w:val="single" w:sz="4" w:space="0" w:color="auto"/>
              <w:left w:val="nil"/>
              <w:bottom w:val="single" w:sz="4" w:space="0" w:color="auto"/>
              <w:right w:val="single" w:sz="4" w:space="0" w:color="auto"/>
            </w:tcBorders>
            <w:shd w:val="clear" w:color="auto" w:fill="auto"/>
            <w:vAlign w:val="center"/>
            <w:hideMark/>
          </w:tcPr>
          <w:p w14:paraId="759C1EA5" w14:textId="77777777" w:rsidR="009F450F" w:rsidRPr="009F450F" w:rsidRDefault="009F450F" w:rsidP="009F450F">
            <w:pPr>
              <w:spacing w:after="0" w:line="240" w:lineRule="auto"/>
              <w:jc w:val="center"/>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£m/times/%</w:t>
            </w:r>
          </w:p>
        </w:tc>
      </w:tr>
      <w:tr w:rsidR="009F450F" w:rsidRPr="009F450F" w14:paraId="6122B2DF" w14:textId="77777777" w:rsidTr="009F450F">
        <w:trPr>
          <w:gridAfter w:val="1"/>
          <w:wAfter w:w="189" w:type="dxa"/>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0CF9FEBE" w14:textId="77777777" w:rsidR="009F450F" w:rsidRPr="009F450F" w:rsidRDefault="009F450F" w:rsidP="009F450F">
            <w:pPr>
              <w:spacing w:after="0" w:line="240" w:lineRule="auto"/>
              <w:jc w:val="left"/>
              <w:rPr>
                <w:rFonts w:ascii="Calibri" w:eastAsia="Times New Roman" w:hAnsi="Calibri" w:cs="Calibri"/>
                <w:b/>
                <w:bCs/>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6DAE841B" w14:textId="77777777" w:rsidR="009F450F" w:rsidRPr="009F450F" w:rsidRDefault="009F450F" w:rsidP="009F450F">
            <w:pPr>
              <w:spacing w:after="0" w:line="240" w:lineRule="auto"/>
              <w:jc w:val="left"/>
              <w:rPr>
                <w:rFonts w:ascii="Calibri" w:eastAsia="Times New Roman" w:hAnsi="Calibri" w:cs="Calibri"/>
                <w:b/>
                <w:bCs/>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5B0EF748" w14:textId="77777777" w:rsidR="009F450F" w:rsidRPr="009F450F" w:rsidRDefault="009F450F" w:rsidP="009F450F">
            <w:pPr>
              <w:spacing w:after="0" w:line="240" w:lineRule="auto"/>
              <w:jc w:val="left"/>
              <w:rPr>
                <w:rFonts w:ascii="Calibri" w:eastAsia="Times New Roman" w:hAnsi="Calibri" w:cs="Calibri"/>
                <w:b/>
                <w:bCs/>
                <w:color w:val="000000"/>
                <w:sz w:val="22"/>
                <w:lang w:val="en-GB" w:eastAsia="en-GB"/>
              </w:rPr>
            </w:pPr>
          </w:p>
        </w:tc>
        <w:tc>
          <w:tcPr>
            <w:tcW w:w="748" w:type="dxa"/>
            <w:tcBorders>
              <w:top w:val="nil"/>
              <w:left w:val="nil"/>
              <w:bottom w:val="single" w:sz="4" w:space="0" w:color="auto"/>
              <w:right w:val="single" w:sz="4" w:space="0" w:color="auto"/>
            </w:tcBorders>
            <w:shd w:val="clear" w:color="auto" w:fill="auto"/>
            <w:noWrap/>
            <w:vAlign w:val="bottom"/>
            <w:hideMark/>
          </w:tcPr>
          <w:p w14:paraId="683163F0" w14:textId="77777777" w:rsidR="009F450F" w:rsidRPr="009F450F" w:rsidRDefault="009F450F" w:rsidP="009F450F">
            <w:pPr>
              <w:spacing w:after="0" w:line="240" w:lineRule="auto"/>
              <w:jc w:val="right"/>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2021</w:t>
            </w:r>
          </w:p>
        </w:tc>
        <w:tc>
          <w:tcPr>
            <w:tcW w:w="748" w:type="dxa"/>
            <w:tcBorders>
              <w:top w:val="nil"/>
              <w:left w:val="nil"/>
              <w:bottom w:val="single" w:sz="4" w:space="0" w:color="auto"/>
              <w:right w:val="single" w:sz="4" w:space="0" w:color="auto"/>
            </w:tcBorders>
            <w:shd w:val="clear" w:color="auto" w:fill="auto"/>
            <w:noWrap/>
            <w:vAlign w:val="bottom"/>
            <w:hideMark/>
          </w:tcPr>
          <w:p w14:paraId="49D3E5C6" w14:textId="77777777" w:rsidR="009F450F" w:rsidRPr="009F450F" w:rsidRDefault="009F450F" w:rsidP="009F450F">
            <w:pPr>
              <w:spacing w:after="0" w:line="240" w:lineRule="auto"/>
              <w:jc w:val="right"/>
              <w:rPr>
                <w:rFonts w:ascii="Calibri" w:eastAsia="Times New Roman" w:hAnsi="Calibri" w:cs="Calibri"/>
                <w:b/>
                <w:bCs/>
                <w:color w:val="000000"/>
                <w:sz w:val="22"/>
                <w:lang w:val="en-GB" w:eastAsia="en-GB"/>
              </w:rPr>
            </w:pPr>
            <w:r w:rsidRPr="009F450F">
              <w:rPr>
                <w:rFonts w:ascii="Calibri" w:eastAsia="Times New Roman" w:hAnsi="Calibri" w:cs="Calibri"/>
                <w:b/>
                <w:bCs/>
                <w:color w:val="000000"/>
                <w:sz w:val="22"/>
                <w:lang w:val="en-GB" w:eastAsia="en-GB"/>
              </w:rPr>
              <w:t>2020</w:t>
            </w:r>
          </w:p>
        </w:tc>
      </w:tr>
      <w:tr w:rsidR="009F450F" w:rsidRPr="009F450F" w14:paraId="4CD8E974" w14:textId="77777777" w:rsidTr="009F450F">
        <w:trPr>
          <w:gridAfter w:val="1"/>
          <w:wAfter w:w="189" w:type="dxa"/>
          <w:trHeight w:val="411"/>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B34FBF7"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ROCE (%)</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AB2FC3D"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EBIT/ (Equity + Long term liability)</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0F836AE8"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(620+226)/(4137+3088). 2020 - (539+181)/(4129+2912)</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FA90958"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11.71%</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2D83E3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10.23%</w:t>
            </w:r>
          </w:p>
        </w:tc>
      </w:tr>
      <w:tr w:rsidR="009F450F" w:rsidRPr="009F450F" w14:paraId="79579B49"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3880D691"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41B440D5"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3B280226"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08E72C52"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279C0854"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27F83D62"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5E2D3957"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ED32B0"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ROE (%)</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6BE4476"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Net income / Share holder's equity</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1C551107"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2021 - 431/3088. 2020 - 366 / 2912</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67AE8D4"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13.96%</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442B1BB"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12.57%</w:t>
            </w:r>
          </w:p>
        </w:tc>
        <w:tc>
          <w:tcPr>
            <w:tcW w:w="189" w:type="dxa"/>
            <w:vAlign w:val="center"/>
            <w:hideMark/>
          </w:tcPr>
          <w:p w14:paraId="7DA92CEB"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6EC6C88A"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07FDB61F"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2B406BE0"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61773515"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353C5620"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66C0C7E3"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0CC14D7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33C32A55"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B085A4E"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Earnings per share (£)</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7D4C0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Profit for the year / Number of shares</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63DBC09A"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2021 - 431 / (300/0.50). 2020 - 366 / (300/0.50)</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078B608"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0.7183</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1EBFB77"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0.6100</w:t>
            </w:r>
          </w:p>
        </w:tc>
        <w:tc>
          <w:tcPr>
            <w:tcW w:w="189" w:type="dxa"/>
            <w:vAlign w:val="center"/>
            <w:hideMark/>
          </w:tcPr>
          <w:p w14:paraId="451AE4AA"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55DC6B92"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613BD57F"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4F7A4213"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2045C40C"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2F7EBE7A"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2C5E180D"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30CD7A5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78676243"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417B0C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Net profit margin (%)</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E6B6D7"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Net profit / Sales revenue</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7D010E13"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2021 - 431 / 6738. 2020 - 366 / 6441</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C85E30B"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6.40%</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763E574"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5.68%</w:t>
            </w:r>
          </w:p>
        </w:tc>
        <w:tc>
          <w:tcPr>
            <w:tcW w:w="189" w:type="dxa"/>
            <w:vAlign w:val="center"/>
            <w:hideMark/>
          </w:tcPr>
          <w:p w14:paraId="3E665F6B"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26FD9CE0"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31318EBD"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553DBFCD"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3CF3FED4"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7783DF4F"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191AC0CE"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32634FEA"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2E284F35"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A78012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Asset turnover (Times)</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D250AD"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Revenue / Total assets</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576DC634"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2021 - 6738 / (7433 + 2303). 2020 - 6441 / (7732 + 2355)</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9598C10"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0.6921</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B5F0D1D"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0.6385</w:t>
            </w:r>
          </w:p>
        </w:tc>
        <w:tc>
          <w:tcPr>
            <w:tcW w:w="189" w:type="dxa"/>
            <w:vAlign w:val="center"/>
            <w:hideMark/>
          </w:tcPr>
          <w:p w14:paraId="3887006E"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721C72E1"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5B737686"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7796DD73"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71BA7EC2"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1A9DCD98"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32E4F019"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13DBCB8C"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1F8AABD9"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8700458"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Stock holding days (Days)</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C637F4F"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(Inventory / Cost of goods sold) * 365 days</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6017BD48"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(708 / 3235) * 365 days. 2020 - (659 / 3096) * 365 Days</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9C56D38"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79.88</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5FBACB2"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77.69</w:t>
            </w:r>
          </w:p>
        </w:tc>
        <w:tc>
          <w:tcPr>
            <w:tcW w:w="189" w:type="dxa"/>
            <w:vAlign w:val="center"/>
            <w:hideMark/>
          </w:tcPr>
          <w:p w14:paraId="531D2113"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4A62D9BB"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25EF646C"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6BEC4CBD"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6348CFC4"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7B577BA0"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662E98C4"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24A789EC"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7D072938"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D47C136"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Debtors collection period (days)</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4CC0C22"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(Debtors / Revenue) * 365 Days</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32FA5430"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(1249 / 6738) * 365 Days. 2020 - (1287 / 6441) * 365 Days</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87C7520"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67.66</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9A63599"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72.93</w:t>
            </w:r>
          </w:p>
        </w:tc>
        <w:tc>
          <w:tcPr>
            <w:tcW w:w="189" w:type="dxa"/>
            <w:vAlign w:val="center"/>
            <w:hideMark/>
          </w:tcPr>
          <w:p w14:paraId="28631AC8"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46AEA2A1"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16C53CE3"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27BD878A"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2D058004"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470CECD9"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55E7210A"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1EEB5F2A"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0EB832DB"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4A1C232"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Current ratio (Times)</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CA3CB7C"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Current assets / Current liabilities</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72C22D49"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2021 - 2303 / 2511. 2020 - 2355 / 3046</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E50302C"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0.9172</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554DC22"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0.7731</w:t>
            </w:r>
          </w:p>
        </w:tc>
        <w:tc>
          <w:tcPr>
            <w:tcW w:w="189" w:type="dxa"/>
            <w:vAlign w:val="center"/>
            <w:hideMark/>
          </w:tcPr>
          <w:p w14:paraId="238DB728"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16B62C93"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4B83AD50"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159CA0EB"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34D61C75"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150E7A1E"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676F7A8E"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3ABD997D"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64D15545"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5D8C6E9"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Gearing ratio (%)</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53CBBC"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Long-term liabilities / Capital employed</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51BBC523"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2021 - 4137 / 3088, 2020 - 4129 / 2912</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B86A163"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134%</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6EA2C5A"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142%</w:t>
            </w:r>
          </w:p>
        </w:tc>
        <w:tc>
          <w:tcPr>
            <w:tcW w:w="189" w:type="dxa"/>
            <w:vAlign w:val="center"/>
            <w:hideMark/>
          </w:tcPr>
          <w:p w14:paraId="40B46D49"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0743BA6A"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4DC12A68"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0684B8AB"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2CAD2647"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09A24771"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319B5EC4"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308F5F31"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r w:rsidR="009F450F" w:rsidRPr="009F450F" w14:paraId="00F39DF2" w14:textId="77777777" w:rsidTr="009F450F">
        <w:trPr>
          <w:trHeight w:val="302"/>
        </w:trPr>
        <w:tc>
          <w:tcPr>
            <w:tcW w:w="18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C531F4B"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Interest cover (Times)</w:t>
            </w:r>
          </w:p>
        </w:tc>
        <w:tc>
          <w:tcPr>
            <w:tcW w:w="382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BE44F39"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EBIT / Interest expenses</w:t>
            </w:r>
          </w:p>
        </w:tc>
        <w:tc>
          <w:tcPr>
            <w:tcW w:w="2653"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14:paraId="70C0026A"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2021 - (620+226)/226, 2020 - (539+181)/181</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1298C01"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3.7434</w:t>
            </w:r>
          </w:p>
        </w:tc>
        <w:tc>
          <w:tcPr>
            <w:tcW w:w="74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1ECC0A2"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r w:rsidRPr="009F450F">
              <w:rPr>
                <w:rFonts w:ascii="Calibri" w:eastAsia="Times New Roman" w:hAnsi="Calibri" w:cs="Calibri"/>
                <w:color w:val="000000"/>
                <w:sz w:val="22"/>
                <w:lang w:val="en-GB" w:eastAsia="en-GB"/>
              </w:rPr>
              <w:t>3.9779</w:t>
            </w:r>
          </w:p>
        </w:tc>
        <w:tc>
          <w:tcPr>
            <w:tcW w:w="189" w:type="dxa"/>
            <w:vAlign w:val="center"/>
            <w:hideMark/>
          </w:tcPr>
          <w:p w14:paraId="72A6B827" w14:textId="77777777" w:rsidR="009F450F" w:rsidRPr="009F450F" w:rsidRDefault="009F450F" w:rsidP="009F450F">
            <w:pPr>
              <w:spacing w:after="0" w:line="240" w:lineRule="auto"/>
              <w:jc w:val="left"/>
              <w:rPr>
                <w:rFonts w:eastAsia="Times New Roman" w:cs="Times New Roman"/>
                <w:sz w:val="20"/>
                <w:szCs w:val="20"/>
                <w:lang w:val="en-GB" w:eastAsia="en-GB"/>
              </w:rPr>
            </w:pPr>
          </w:p>
        </w:tc>
      </w:tr>
      <w:tr w:rsidR="009F450F" w:rsidRPr="009F450F" w14:paraId="3F10D5FB" w14:textId="77777777" w:rsidTr="009F450F">
        <w:trPr>
          <w:trHeight w:val="302"/>
        </w:trPr>
        <w:tc>
          <w:tcPr>
            <w:tcW w:w="1801" w:type="dxa"/>
            <w:vMerge/>
            <w:tcBorders>
              <w:top w:val="single" w:sz="4" w:space="0" w:color="auto"/>
              <w:left w:val="single" w:sz="4" w:space="0" w:color="auto"/>
              <w:bottom w:val="single" w:sz="4" w:space="0" w:color="auto"/>
              <w:right w:val="single" w:sz="4" w:space="0" w:color="auto"/>
            </w:tcBorders>
            <w:vAlign w:val="center"/>
            <w:hideMark/>
          </w:tcPr>
          <w:p w14:paraId="1CFEF501"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3828" w:type="dxa"/>
            <w:vMerge/>
            <w:tcBorders>
              <w:top w:val="single" w:sz="4" w:space="0" w:color="auto"/>
              <w:left w:val="single" w:sz="4" w:space="0" w:color="auto"/>
              <w:bottom w:val="single" w:sz="4" w:space="0" w:color="auto"/>
              <w:right w:val="single" w:sz="4" w:space="0" w:color="auto"/>
            </w:tcBorders>
            <w:vAlign w:val="center"/>
            <w:hideMark/>
          </w:tcPr>
          <w:p w14:paraId="7C09E1A8"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2653" w:type="dxa"/>
            <w:vMerge/>
            <w:tcBorders>
              <w:top w:val="single" w:sz="4" w:space="0" w:color="auto"/>
              <w:left w:val="single" w:sz="4" w:space="0" w:color="auto"/>
              <w:bottom w:val="single" w:sz="4" w:space="0" w:color="auto"/>
              <w:right w:val="single" w:sz="4" w:space="0" w:color="auto"/>
            </w:tcBorders>
            <w:vAlign w:val="center"/>
            <w:hideMark/>
          </w:tcPr>
          <w:p w14:paraId="2222DB83"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2E4BFAFF"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748" w:type="dxa"/>
            <w:vMerge/>
            <w:tcBorders>
              <w:top w:val="nil"/>
              <w:left w:val="single" w:sz="4" w:space="0" w:color="auto"/>
              <w:bottom w:val="single" w:sz="4" w:space="0" w:color="auto"/>
              <w:right w:val="single" w:sz="4" w:space="0" w:color="auto"/>
            </w:tcBorders>
            <w:vAlign w:val="center"/>
            <w:hideMark/>
          </w:tcPr>
          <w:p w14:paraId="33E8CA46" w14:textId="77777777" w:rsidR="009F450F" w:rsidRPr="009F450F" w:rsidRDefault="009F450F" w:rsidP="009F450F">
            <w:pPr>
              <w:spacing w:after="0" w:line="240" w:lineRule="auto"/>
              <w:jc w:val="left"/>
              <w:rPr>
                <w:rFonts w:ascii="Calibri" w:eastAsia="Times New Roman" w:hAnsi="Calibri" w:cs="Calibri"/>
                <w:color w:val="000000"/>
                <w:sz w:val="22"/>
                <w:lang w:val="en-GB" w:eastAsia="en-GB"/>
              </w:rPr>
            </w:pPr>
          </w:p>
        </w:tc>
        <w:tc>
          <w:tcPr>
            <w:tcW w:w="189" w:type="dxa"/>
            <w:tcBorders>
              <w:top w:val="nil"/>
              <w:left w:val="nil"/>
              <w:bottom w:val="nil"/>
              <w:right w:val="nil"/>
            </w:tcBorders>
            <w:shd w:val="clear" w:color="auto" w:fill="auto"/>
            <w:noWrap/>
            <w:vAlign w:val="bottom"/>
            <w:hideMark/>
          </w:tcPr>
          <w:p w14:paraId="04A4BDC5" w14:textId="77777777" w:rsidR="009F450F" w:rsidRPr="009F450F" w:rsidRDefault="009F450F" w:rsidP="009F450F">
            <w:pPr>
              <w:spacing w:after="0" w:line="240" w:lineRule="auto"/>
              <w:jc w:val="center"/>
              <w:rPr>
                <w:rFonts w:ascii="Calibri" w:eastAsia="Times New Roman" w:hAnsi="Calibri" w:cs="Calibri"/>
                <w:color w:val="000000"/>
                <w:sz w:val="22"/>
                <w:lang w:val="en-GB" w:eastAsia="en-GB"/>
              </w:rPr>
            </w:pPr>
          </w:p>
        </w:tc>
      </w:tr>
    </w:tbl>
    <w:p w14:paraId="2621E44F" w14:textId="77777777" w:rsidR="009F450F" w:rsidRPr="009F450F" w:rsidRDefault="009F450F" w:rsidP="009F450F"/>
    <w:p w14:paraId="734035BA" w14:textId="015A0667" w:rsidR="008103F8" w:rsidRPr="00D97988" w:rsidRDefault="00D97988" w:rsidP="00D97988">
      <w:r>
        <w:tab/>
        <w:t>The analysis of financial performance of the Sweets Plc through financial ratios are given in the below paragraphs (</w:t>
      </w:r>
      <w:r>
        <w:rPr>
          <w:shd w:val="clear" w:color="auto" w:fill="FFFFFF"/>
        </w:rPr>
        <w:t>Syriopoulos, Tsatsaronis and Gorila 2020)</w:t>
      </w:r>
      <w:r>
        <w:t xml:space="preserve">: </w:t>
      </w:r>
    </w:p>
    <w:p w14:paraId="1F0DC16F" w14:textId="2268B60F" w:rsidR="000522B0" w:rsidRDefault="000522B0" w:rsidP="000522B0">
      <w:pPr>
        <w:pStyle w:val="Heading2"/>
      </w:pPr>
      <w:bookmarkStart w:id="2" w:name="_Toc98158471"/>
      <w:r>
        <w:t>ROCE</w:t>
      </w:r>
      <w:bookmarkEnd w:id="2"/>
    </w:p>
    <w:p w14:paraId="09CA40A3" w14:textId="77777777" w:rsidR="0092698C" w:rsidRDefault="000522B0" w:rsidP="00F4562A">
      <w:r>
        <w:tab/>
      </w:r>
      <w:r w:rsidR="000F47F8">
        <w:t xml:space="preserve">ROCE shows an entity’s ability to generate profitability by using the capital investments. </w:t>
      </w:r>
      <w:r w:rsidR="00F4562A">
        <w:t xml:space="preserve">The Return on capital employed position of Sweets plc has been improved in 2021 than 2020. </w:t>
      </w:r>
      <w:r w:rsidR="00CE1218">
        <w:t xml:space="preserve">Hence, in terms of ROCE, Sweets plc has performed better. </w:t>
      </w:r>
    </w:p>
    <w:p w14:paraId="0F496ED0" w14:textId="77777777" w:rsidR="0092698C" w:rsidRDefault="0092698C" w:rsidP="0092698C">
      <w:pPr>
        <w:pStyle w:val="Heading2"/>
      </w:pPr>
      <w:bookmarkStart w:id="3" w:name="_Toc98158472"/>
      <w:r>
        <w:t>ROE</w:t>
      </w:r>
      <w:bookmarkEnd w:id="3"/>
    </w:p>
    <w:p w14:paraId="4DB2C1C1" w14:textId="77777777" w:rsidR="001121F5" w:rsidRDefault="0092698C" w:rsidP="0092698C">
      <w:r>
        <w:tab/>
        <w:t xml:space="preserve">ROE determines an entity’s attributable profitability towards its equity holders in reference to the equity investments. </w:t>
      </w:r>
      <w:r w:rsidR="00E57759">
        <w:t xml:space="preserve">Sweets plc has improved its ROE in 2021 in comparison to 2020. </w:t>
      </w:r>
    </w:p>
    <w:p w14:paraId="761CAFBA" w14:textId="77777777" w:rsidR="001121F5" w:rsidRDefault="001121F5" w:rsidP="001121F5">
      <w:pPr>
        <w:pStyle w:val="Heading2"/>
      </w:pPr>
      <w:bookmarkStart w:id="4" w:name="_Toc98158473"/>
      <w:r>
        <w:t>Earnings per share</w:t>
      </w:r>
      <w:bookmarkEnd w:id="4"/>
    </w:p>
    <w:p w14:paraId="663B56A0" w14:textId="7958E004" w:rsidR="00F4562A" w:rsidRDefault="001121F5" w:rsidP="00E008B6">
      <w:r>
        <w:tab/>
      </w:r>
      <w:r w:rsidR="00E008B6">
        <w:t xml:space="preserve">Earning per share is the amount of </w:t>
      </w:r>
      <w:r w:rsidR="003208E9">
        <w:t xml:space="preserve">equity </w:t>
      </w:r>
      <w:r w:rsidR="00E008B6">
        <w:t xml:space="preserve">attributable profit </w:t>
      </w:r>
      <w:r w:rsidR="003208E9">
        <w:t xml:space="preserve">for each equity share issued by an entity. The Sweets plc has improved its equity attributable profit in 2021 than 2020 by keeping the number of outstanding equity shares </w:t>
      </w:r>
      <w:r w:rsidR="004D2E33">
        <w:t>at same level</w:t>
      </w:r>
      <w:r w:rsidR="003208E9">
        <w:t xml:space="preserve">. Hence, the earning per share has been increased in 2021 than 2020.  </w:t>
      </w:r>
    </w:p>
    <w:p w14:paraId="6196F4C9" w14:textId="6A44A322" w:rsidR="00C843BA" w:rsidRDefault="00C843BA" w:rsidP="00C843BA">
      <w:pPr>
        <w:pStyle w:val="Heading2"/>
      </w:pPr>
      <w:bookmarkStart w:id="5" w:name="_Toc98158474"/>
      <w:r>
        <w:lastRenderedPageBreak/>
        <w:t>Net profit margin</w:t>
      </w:r>
      <w:bookmarkEnd w:id="5"/>
    </w:p>
    <w:p w14:paraId="7C3073AE" w14:textId="77777777" w:rsidR="00C843BA" w:rsidRDefault="00C843BA" w:rsidP="00C843BA">
      <w:r>
        <w:tab/>
        <w:t>Net profit margin determines the percentage of net profit earned by an entity in reference to the revenue generated by the entity. Net profit margin can be improved either by increasing revenue or reducing the operating expenses. Sweets plc has improved its net profit margin in 2021 than 2020.</w:t>
      </w:r>
    </w:p>
    <w:p w14:paraId="6633407E" w14:textId="6E9D6C90" w:rsidR="00C843BA" w:rsidRDefault="00C843BA" w:rsidP="00C843BA">
      <w:pPr>
        <w:pStyle w:val="Heading2"/>
      </w:pPr>
      <w:r>
        <w:t xml:space="preserve"> </w:t>
      </w:r>
      <w:bookmarkStart w:id="6" w:name="_Toc98158475"/>
      <w:r>
        <w:t>Asset turnover</w:t>
      </w:r>
      <w:bookmarkEnd w:id="6"/>
    </w:p>
    <w:p w14:paraId="285ABD7C" w14:textId="69994AA6" w:rsidR="00C843BA" w:rsidRDefault="00C843BA" w:rsidP="00C843BA">
      <w:r>
        <w:tab/>
        <w:t xml:space="preserve">Asset turnover ratio determines the amount of revenue generated by an entity by using the assets of the entity. Sweets plc has improved its asset turnover ratio in 2021 in comparison to 2020. </w:t>
      </w:r>
    </w:p>
    <w:p w14:paraId="38D1C462" w14:textId="075BF9E1" w:rsidR="0025688E" w:rsidRDefault="0025688E" w:rsidP="0025688E">
      <w:pPr>
        <w:pStyle w:val="Heading2"/>
      </w:pPr>
      <w:bookmarkStart w:id="7" w:name="_Toc98158476"/>
      <w:r>
        <w:t>Stock holding days</w:t>
      </w:r>
      <w:bookmarkEnd w:id="7"/>
    </w:p>
    <w:p w14:paraId="7BE6F993" w14:textId="77777777" w:rsidR="00AD1D6B" w:rsidRDefault="0025688E" w:rsidP="0025688E">
      <w:r>
        <w:tab/>
      </w:r>
      <w:r w:rsidR="002710E4">
        <w:t xml:space="preserve">Stock holding days refers the rate at which an entity replaces its inventory holding. The decreased rate of stock holding is better. Sweets plc has increased its stock holding days in 2021 than 2020. Hence, the stock holding ratio of the entity has been decreased. </w:t>
      </w:r>
    </w:p>
    <w:p w14:paraId="718908CA" w14:textId="6D9C8C00" w:rsidR="00AD1D6B" w:rsidRDefault="00AD1D6B" w:rsidP="00AD1D6B">
      <w:pPr>
        <w:pStyle w:val="Heading2"/>
      </w:pPr>
      <w:bookmarkStart w:id="8" w:name="_Toc98158477"/>
      <w:r>
        <w:t>Debtors’ collection period</w:t>
      </w:r>
      <w:bookmarkEnd w:id="8"/>
    </w:p>
    <w:p w14:paraId="5C0C7936" w14:textId="77777777" w:rsidR="0015684F" w:rsidRDefault="00AD1D6B" w:rsidP="00AD1D6B">
      <w:r>
        <w:tab/>
        <w:t xml:space="preserve">Debtors’ collection period refers the average periodicity in which an entity recovers its trade receivables. The reduced debtor’s collection period is desired. Sweets plc has reduced its debtors collection period in 2021 than 2020 instead of increased credit sales. </w:t>
      </w:r>
    </w:p>
    <w:p w14:paraId="06E6D8B2" w14:textId="77777777" w:rsidR="0015684F" w:rsidRDefault="0015684F" w:rsidP="0015684F">
      <w:pPr>
        <w:pStyle w:val="Heading2"/>
      </w:pPr>
      <w:bookmarkStart w:id="9" w:name="_Toc98158478"/>
      <w:r>
        <w:t>Current ratio</w:t>
      </w:r>
      <w:bookmarkEnd w:id="9"/>
    </w:p>
    <w:p w14:paraId="4B9EA568" w14:textId="77777777" w:rsidR="00727E92" w:rsidRDefault="0015684F" w:rsidP="0015684F">
      <w:r>
        <w:tab/>
        <w:t>Current ratio is liquidity ratio</w:t>
      </w:r>
      <w:r w:rsidR="00DD2285">
        <w:t xml:space="preserve">, which shows an entity’s ability to pay its current </w:t>
      </w:r>
      <w:r w:rsidR="00782825">
        <w:t>debts using its current assets without raising external funds in th</w:t>
      </w:r>
      <w:r w:rsidR="00727E92">
        <w:t>e</w:t>
      </w:r>
      <w:r w:rsidR="00782825">
        <w:t xml:space="preserve"> short run.</w:t>
      </w:r>
      <w:r w:rsidR="00727E92">
        <w:t xml:space="preserve"> Sweets plc has improved its current ratio in 2021 than 2020. </w:t>
      </w:r>
    </w:p>
    <w:p w14:paraId="64684588" w14:textId="77777777" w:rsidR="00727E92" w:rsidRDefault="00727E92" w:rsidP="00727E92">
      <w:pPr>
        <w:pStyle w:val="Heading2"/>
      </w:pPr>
      <w:bookmarkStart w:id="10" w:name="_Toc98158479"/>
      <w:r>
        <w:lastRenderedPageBreak/>
        <w:t>Gearing ratio</w:t>
      </w:r>
      <w:bookmarkEnd w:id="10"/>
    </w:p>
    <w:p w14:paraId="1134F264" w14:textId="77777777" w:rsidR="00727E92" w:rsidRDefault="00727E92" w:rsidP="00727E92">
      <w:r>
        <w:tab/>
        <w:t xml:space="preserve">The gearing ratio shows the percentage of long-term debt outstanding for an entity in reference to the equity held by the entity. Lower level of gearing ratio is desirable and Sweets plc has reduced its gearing percentage in 2021 than 2020. </w:t>
      </w:r>
    </w:p>
    <w:p w14:paraId="1F6ED218" w14:textId="77777777" w:rsidR="00727E92" w:rsidRDefault="00727E92" w:rsidP="00727E92">
      <w:pPr>
        <w:pStyle w:val="Heading2"/>
      </w:pPr>
      <w:bookmarkStart w:id="11" w:name="_Toc98158480"/>
      <w:r>
        <w:t>Interest cover</w:t>
      </w:r>
      <w:bookmarkEnd w:id="11"/>
    </w:p>
    <w:p w14:paraId="44C5DDE8" w14:textId="77777777" w:rsidR="00B201F7" w:rsidRDefault="00727E92" w:rsidP="00727E92">
      <w:r>
        <w:tab/>
        <w:t xml:space="preserve">Interest cover ratio shows an entity’s ability to pay its debt interest expenses from profits earned. </w:t>
      </w:r>
      <w:r w:rsidR="00DD573C">
        <w:t xml:space="preserve">Higher interest cover ratio is desirable. Though, Sweets plc’s interest cover ratio has been reduced in 2021 than 2020. </w:t>
      </w:r>
    </w:p>
    <w:p w14:paraId="01D43344" w14:textId="77777777" w:rsidR="00B201F7" w:rsidRDefault="00B201F7">
      <w:pPr>
        <w:spacing w:line="259" w:lineRule="auto"/>
        <w:jc w:val="left"/>
      </w:pPr>
      <w:r>
        <w:br w:type="page"/>
      </w:r>
    </w:p>
    <w:p w14:paraId="67E7A047" w14:textId="77777777" w:rsidR="00B201F7" w:rsidRDefault="00B201F7" w:rsidP="00B201F7">
      <w:pPr>
        <w:pStyle w:val="Heading1"/>
      </w:pPr>
      <w:bookmarkStart w:id="12" w:name="_Toc98158481"/>
      <w:r>
        <w:lastRenderedPageBreak/>
        <w:t>References</w:t>
      </w:r>
      <w:bookmarkEnd w:id="12"/>
    </w:p>
    <w:p w14:paraId="6E8DE289" w14:textId="61C16B5F" w:rsidR="0025688E" w:rsidRPr="0025688E" w:rsidRDefault="002F6109" w:rsidP="002F6109">
      <w:r>
        <w:rPr>
          <w:shd w:val="clear" w:color="auto" w:fill="FFFFFF"/>
        </w:rPr>
        <w:t>Sandip, L., 2018. Migration with Balance Sheet.</w:t>
      </w:r>
      <w:r w:rsidR="00782825">
        <w:t xml:space="preserve"> </w:t>
      </w:r>
      <w:r w:rsidR="00AD1D6B">
        <w:t xml:space="preserve">   </w:t>
      </w:r>
      <w:r w:rsidR="002710E4">
        <w:t xml:space="preserve"> </w:t>
      </w:r>
    </w:p>
    <w:p w14:paraId="261D1233" w14:textId="173CE735" w:rsidR="000522B0" w:rsidRPr="000522B0" w:rsidRDefault="00D97988" w:rsidP="00D97988">
      <w:r>
        <w:rPr>
          <w:shd w:val="clear" w:color="auto" w:fill="FFFFFF"/>
        </w:rPr>
        <w:t>Syriopoulos, T., Tsatsaronis, M. and Gorila, M., 2020. The global cruise industry: Financial performance evaluation. </w:t>
      </w:r>
      <w:r>
        <w:rPr>
          <w:i/>
          <w:iCs/>
          <w:shd w:val="clear" w:color="auto" w:fill="FFFFFF"/>
        </w:rPr>
        <w:t>Research in Transportation Business &amp; Management</w:t>
      </w:r>
      <w:r>
        <w:rPr>
          <w:shd w:val="clear" w:color="auto" w:fill="FFFFFF"/>
        </w:rPr>
        <w:t>, p.100558.</w:t>
      </w:r>
    </w:p>
    <w:p w14:paraId="2428FC81" w14:textId="7A3E48BA" w:rsidR="005457A2" w:rsidRPr="005457A2" w:rsidRDefault="00007E26" w:rsidP="002D6677">
      <w:pPr>
        <w:rPr>
          <w:rFonts w:cs="Times New Roman"/>
          <w:color w:val="222222"/>
          <w:szCs w:val="24"/>
          <w:shd w:val="clear" w:color="auto" w:fill="FFFFFF"/>
        </w:rPr>
      </w:pPr>
      <w:r>
        <w:tab/>
      </w:r>
    </w:p>
    <w:sectPr w:rsidR="005457A2" w:rsidRPr="005457A2" w:rsidSect="00007E26">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88903" w14:textId="77777777" w:rsidR="007B37D6" w:rsidRDefault="007B37D6" w:rsidP="00007E26">
      <w:pPr>
        <w:spacing w:after="0" w:line="240" w:lineRule="auto"/>
      </w:pPr>
      <w:r>
        <w:separator/>
      </w:r>
    </w:p>
  </w:endnote>
  <w:endnote w:type="continuationSeparator" w:id="0">
    <w:p w14:paraId="1060045A" w14:textId="77777777" w:rsidR="007B37D6" w:rsidRDefault="007B37D6" w:rsidP="00007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CC"/>
    <w:family w:val="swiss"/>
    <w:pitch w:val="variable"/>
    <w:sig w:usb0="E0002AFF" w:usb1="C000ACFF"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2E984" w14:textId="77777777" w:rsidR="007B37D6" w:rsidRDefault="007B37D6" w:rsidP="00007E26">
      <w:pPr>
        <w:spacing w:after="0" w:line="240" w:lineRule="auto"/>
      </w:pPr>
      <w:r>
        <w:separator/>
      </w:r>
    </w:p>
  </w:footnote>
  <w:footnote w:type="continuationSeparator" w:id="0">
    <w:p w14:paraId="4E0A8938" w14:textId="77777777" w:rsidR="007B37D6" w:rsidRDefault="007B37D6" w:rsidP="00007E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DAE7" w14:textId="77777777" w:rsidR="003D3180" w:rsidRDefault="003D3180">
    <w:pPr>
      <w:pStyle w:val="Header"/>
    </w:pPr>
    <w:r>
      <w:rPr>
        <w:noProof/>
      </w:rPr>
      <mc:AlternateContent>
        <mc:Choice Requires="wps">
          <w:drawing>
            <wp:anchor distT="0" distB="0" distL="114300" distR="114300" simplePos="0" relativeHeight="251660288" behindDoc="0" locked="0" layoutInCell="0" allowOverlap="1" wp14:anchorId="31B1CA20" wp14:editId="0CA3FD0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DBCCBE" w14:textId="78112533" w:rsidR="003D3180" w:rsidRDefault="00221EAC" w:rsidP="00007E26">
                          <w:pPr>
                            <w:spacing w:after="0" w:line="240" w:lineRule="auto"/>
                            <w:rPr>
                              <w:noProof/>
                            </w:rPr>
                          </w:pPr>
                          <w:r>
                            <w:t>ACCOUNTING FUNDAMENTALS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1B1CA20"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BDBCCBE" w14:textId="78112533" w:rsidR="003D3180" w:rsidRDefault="00221EAC" w:rsidP="00007E26">
                    <w:pPr>
                      <w:spacing w:after="0" w:line="240" w:lineRule="auto"/>
                      <w:rPr>
                        <w:noProof/>
                      </w:rPr>
                    </w:pPr>
                    <w:r>
                      <w:t>ACCOUNTING FUNDAMENTALS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0A2FA3E2" wp14:editId="60AEC58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10DEE2E" w14:textId="77777777" w:rsidR="003D3180" w:rsidRDefault="003D3180">
                          <w:pPr>
                            <w:spacing w:after="0" w:line="240" w:lineRule="auto"/>
                            <w:rPr>
                              <w:color w:val="FFFFFF" w:themeColor="background1"/>
                            </w:rPr>
                          </w:pPr>
                          <w:r>
                            <w:fldChar w:fldCharType="begin"/>
                          </w:r>
                          <w:r>
                            <w:instrText xml:space="preserve"> PAGE   \* MERGEFORMAT </w:instrText>
                          </w:r>
                          <w:r>
                            <w:fldChar w:fldCharType="separate"/>
                          </w:r>
                          <w:r w:rsidR="000B05C6" w:rsidRPr="000B05C6">
                            <w:rPr>
                              <w:noProof/>
                              <w:color w:val="FFFFFF" w:themeColor="background1"/>
                            </w:rPr>
                            <w:t>18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A2FA3E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10DEE2E" w14:textId="77777777" w:rsidR="003D3180" w:rsidRDefault="003D3180">
                    <w:pPr>
                      <w:spacing w:after="0" w:line="240" w:lineRule="auto"/>
                      <w:rPr>
                        <w:color w:val="FFFFFF" w:themeColor="background1"/>
                      </w:rPr>
                    </w:pPr>
                    <w:r>
                      <w:fldChar w:fldCharType="begin"/>
                    </w:r>
                    <w:r>
                      <w:instrText xml:space="preserve"> PAGE   \* MERGEFORMAT </w:instrText>
                    </w:r>
                    <w:r>
                      <w:fldChar w:fldCharType="separate"/>
                    </w:r>
                    <w:r w:rsidR="000B05C6" w:rsidRPr="000B05C6">
                      <w:rPr>
                        <w:noProof/>
                        <w:color w:val="FFFFFF" w:themeColor="background1"/>
                      </w:rPr>
                      <w:t>18</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F04A4" w14:textId="383539C3" w:rsidR="003D3180" w:rsidRDefault="003D3180">
    <w:pPr>
      <w:pStyle w:val="Header"/>
    </w:pPr>
    <w:r>
      <w:t xml:space="preserve">Running head: </w:t>
    </w:r>
    <w:r w:rsidR="00221EAC">
      <w:t>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C0760A3"/>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F8C2315"/>
    <w:multiLevelType w:val="hybridMultilevel"/>
    <w:tmpl w:val="3574E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6D5C8A"/>
    <w:multiLevelType w:val="hybridMultilevel"/>
    <w:tmpl w:val="AF54A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AD1014"/>
    <w:multiLevelType w:val="hybridMultilevel"/>
    <w:tmpl w:val="0F50D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71227D"/>
    <w:multiLevelType w:val="hybridMultilevel"/>
    <w:tmpl w:val="94CA8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F228CF"/>
    <w:multiLevelType w:val="hybridMultilevel"/>
    <w:tmpl w:val="6936C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0E5AAA"/>
    <w:multiLevelType w:val="hybridMultilevel"/>
    <w:tmpl w:val="F4642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1261388">
    <w:abstractNumId w:val="5"/>
  </w:num>
  <w:num w:numId="2" w16cid:durableId="1001349370">
    <w:abstractNumId w:val="1"/>
  </w:num>
  <w:num w:numId="3" w16cid:durableId="2070684937">
    <w:abstractNumId w:val="2"/>
  </w:num>
  <w:num w:numId="4" w16cid:durableId="1097673586">
    <w:abstractNumId w:val="4"/>
  </w:num>
  <w:num w:numId="5" w16cid:durableId="1863400201">
    <w:abstractNumId w:val="3"/>
  </w:num>
  <w:num w:numId="6" w16cid:durableId="1538734317">
    <w:abstractNumId w:val="6"/>
  </w:num>
  <w:num w:numId="7" w16cid:durableId="2090538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E26"/>
    <w:rsid w:val="00007E26"/>
    <w:rsid w:val="00016EBD"/>
    <w:rsid w:val="00020290"/>
    <w:rsid w:val="000215D4"/>
    <w:rsid w:val="00035A78"/>
    <w:rsid w:val="00043A08"/>
    <w:rsid w:val="000471E6"/>
    <w:rsid w:val="000522B0"/>
    <w:rsid w:val="00084427"/>
    <w:rsid w:val="000923A3"/>
    <w:rsid w:val="000B05C6"/>
    <w:rsid w:val="000D6792"/>
    <w:rsid w:val="000F47F8"/>
    <w:rsid w:val="000F4FE8"/>
    <w:rsid w:val="001030C2"/>
    <w:rsid w:val="001121F5"/>
    <w:rsid w:val="00113481"/>
    <w:rsid w:val="00135BD8"/>
    <w:rsid w:val="0015684F"/>
    <w:rsid w:val="00183A57"/>
    <w:rsid w:val="00183E7C"/>
    <w:rsid w:val="00187048"/>
    <w:rsid w:val="001B100C"/>
    <w:rsid w:val="001B7991"/>
    <w:rsid w:val="001C585A"/>
    <w:rsid w:val="00212ECB"/>
    <w:rsid w:val="00221EAC"/>
    <w:rsid w:val="00255EE4"/>
    <w:rsid w:val="0025688E"/>
    <w:rsid w:val="002710E4"/>
    <w:rsid w:val="002A6A64"/>
    <w:rsid w:val="002D196D"/>
    <w:rsid w:val="002D3E68"/>
    <w:rsid w:val="002D6677"/>
    <w:rsid w:val="002E0C72"/>
    <w:rsid w:val="002E30D9"/>
    <w:rsid w:val="002E74EB"/>
    <w:rsid w:val="002F6109"/>
    <w:rsid w:val="00301D62"/>
    <w:rsid w:val="003208E9"/>
    <w:rsid w:val="00324171"/>
    <w:rsid w:val="003770AE"/>
    <w:rsid w:val="003921EA"/>
    <w:rsid w:val="00395A01"/>
    <w:rsid w:val="003B0396"/>
    <w:rsid w:val="003B0DB2"/>
    <w:rsid w:val="003B19C5"/>
    <w:rsid w:val="003D0F63"/>
    <w:rsid w:val="003D3180"/>
    <w:rsid w:val="003D3228"/>
    <w:rsid w:val="003E6A17"/>
    <w:rsid w:val="003F4675"/>
    <w:rsid w:val="004179AC"/>
    <w:rsid w:val="00455E1F"/>
    <w:rsid w:val="004621C8"/>
    <w:rsid w:val="0047372E"/>
    <w:rsid w:val="00477968"/>
    <w:rsid w:val="004879BC"/>
    <w:rsid w:val="004B1E15"/>
    <w:rsid w:val="004D2E33"/>
    <w:rsid w:val="00542760"/>
    <w:rsid w:val="005438F2"/>
    <w:rsid w:val="005457A2"/>
    <w:rsid w:val="005641EE"/>
    <w:rsid w:val="005A0854"/>
    <w:rsid w:val="005B164B"/>
    <w:rsid w:val="005C0186"/>
    <w:rsid w:val="005C049F"/>
    <w:rsid w:val="005C4D4B"/>
    <w:rsid w:val="005D5698"/>
    <w:rsid w:val="005E210D"/>
    <w:rsid w:val="00603F31"/>
    <w:rsid w:val="00606BE4"/>
    <w:rsid w:val="00650E2E"/>
    <w:rsid w:val="00696BFB"/>
    <w:rsid w:val="006A0D58"/>
    <w:rsid w:val="006E2532"/>
    <w:rsid w:val="007204AF"/>
    <w:rsid w:val="00727E92"/>
    <w:rsid w:val="0073192E"/>
    <w:rsid w:val="00736D4A"/>
    <w:rsid w:val="00763756"/>
    <w:rsid w:val="00782158"/>
    <w:rsid w:val="00782825"/>
    <w:rsid w:val="00786550"/>
    <w:rsid w:val="007B37D6"/>
    <w:rsid w:val="007C7DF8"/>
    <w:rsid w:val="007D204D"/>
    <w:rsid w:val="007E546B"/>
    <w:rsid w:val="0080080E"/>
    <w:rsid w:val="008103F8"/>
    <w:rsid w:val="0081317C"/>
    <w:rsid w:val="008154E6"/>
    <w:rsid w:val="008478EA"/>
    <w:rsid w:val="00862B25"/>
    <w:rsid w:val="008710BE"/>
    <w:rsid w:val="008746A3"/>
    <w:rsid w:val="00874A6C"/>
    <w:rsid w:val="008779ED"/>
    <w:rsid w:val="00886D5F"/>
    <w:rsid w:val="008942B9"/>
    <w:rsid w:val="008D2BF8"/>
    <w:rsid w:val="008D4802"/>
    <w:rsid w:val="008E0CEA"/>
    <w:rsid w:val="008F7ABE"/>
    <w:rsid w:val="0090084A"/>
    <w:rsid w:val="009169A1"/>
    <w:rsid w:val="0092698C"/>
    <w:rsid w:val="009276C3"/>
    <w:rsid w:val="00943B8C"/>
    <w:rsid w:val="00965A7E"/>
    <w:rsid w:val="009715E5"/>
    <w:rsid w:val="00976B92"/>
    <w:rsid w:val="009822B4"/>
    <w:rsid w:val="00995A17"/>
    <w:rsid w:val="009D0D42"/>
    <w:rsid w:val="009E4121"/>
    <w:rsid w:val="009F450F"/>
    <w:rsid w:val="009F6B5C"/>
    <w:rsid w:val="00A071F2"/>
    <w:rsid w:val="00A07C84"/>
    <w:rsid w:val="00A27D5E"/>
    <w:rsid w:val="00A85DBD"/>
    <w:rsid w:val="00A910BA"/>
    <w:rsid w:val="00AA3B3C"/>
    <w:rsid w:val="00AC45A5"/>
    <w:rsid w:val="00AD1D6B"/>
    <w:rsid w:val="00AE1945"/>
    <w:rsid w:val="00AE2E7C"/>
    <w:rsid w:val="00B17962"/>
    <w:rsid w:val="00B201F7"/>
    <w:rsid w:val="00B45D8A"/>
    <w:rsid w:val="00B6342E"/>
    <w:rsid w:val="00BA085E"/>
    <w:rsid w:val="00BA7281"/>
    <w:rsid w:val="00C26D33"/>
    <w:rsid w:val="00C42733"/>
    <w:rsid w:val="00C55F39"/>
    <w:rsid w:val="00C75961"/>
    <w:rsid w:val="00C843BA"/>
    <w:rsid w:val="00C84EF3"/>
    <w:rsid w:val="00C8782F"/>
    <w:rsid w:val="00C93675"/>
    <w:rsid w:val="00CA6509"/>
    <w:rsid w:val="00CB5F78"/>
    <w:rsid w:val="00CE1218"/>
    <w:rsid w:val="00CF6156"/>
    <w:rsid w:val="00D208A1"/>
    <w:rsid w:val="00D226F3"/>
    <w:rsid w:val="00D2781B"/>
    <w:rsid w:val="00D53250"/>
    <w:rsid w:val="00D77E2D"/>
    <w:rsid w:val="00D835C7"/>
    <w:rsid w:val="00D9413A"/>
    <w:rsid w:val="00D97988"/>
    <w:rsid w:val="00DA0616"/>
    <w:rsid w:val="00DB0C9E"/>
    <w:rsid w:val="00DC3D16"/>
    <w:rsid w:val="00DC5F68"/>
    <w:rsid w:val="00DD2285"/>
    <w:rsid w:val="00DD573C"/>
    <w:rsid w:val="00DF35F8"/>
    <w:rsid w:val="00DF4A62"/>
    <w:rsid w:val="00E008B6"/>
    <w:rsid w:val="00E03D1B"/>
    <w:rsid w:val="00E0678C"/>
    <w:rsid w:val="00E11EBC"/>
    <w:rsid w:val="00E257BB"/>
    <w:rsid w:val="00E27121"/>
    <w:rsid w:val="00E363C5"/>
    <w:rsid w:val="00E41F8C"/>
    <w:rsid w:val="00E57759"/>
    <w:rsid w:val="00E72809"/>
    <w:rsid w:val="00E9246D"/>
    <w:rsid w:val="00EA2496"/>
    <w:rsid w:val="00EB136C"/>
    <w:rsid w:val="00EC6A20"/>
    <w:rsid w:val="00ED0CFD"/>
    <w:rsid w:val="00EF1D55"/>
    <w:rsid w:val="00F23F18"/>
    <w:rsid w:val="00F4562A"/>
    <w:rsid w:val="00F6019B"/>
    <w:rsid w:val="00F7022E"/>
    <w:rsid w:val="00F747CE"/>
    <w:rsid w:val="00F858AA"/>
    <w:rsid w:val="00FF0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62D7D9"/>
  <w15:chartTrackingRefBased/>
  <w15:docId w15:val="{6DADBF21-70C9-49E8-9746-37388BD9C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79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478E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E2532"/>
    <w:pPr>
      <w:keepNext/>
      <w:keepLines/>
      <w:spacing w:before="160" w:after="12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8E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E2532"/>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007E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E26"/>
    <w:rPr>
      <w:rFonts w:ascii="Times New Roman" w:hAnsi="Times New Roman"/>
      <w:sz w:val="24"/>
    </w:rPr>
  </w:style>
  <w:style w:type="paragraph" w:styleId="Footer">
    <w:name w:val="footer"/>
    <w:basedOn w:val="Normal"/>
    <w:link w:val="FooterChar"/>
    <w:uiPriority w:val="99"/>
    <w:unhideWhenUsed/>
    <w:rsid w:val="00007E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E26"/>
    <w:rPr>
      <w:rFonts w:ascii="Times New Roman" w:hAnsi="Times New Roman"/>
      <w:sz w:val="24"/>
    </w:rPr>
  </w:style>
  <w:style w:type="paragraph" w:styleId="ListParagraph">
    <w:name w:val="List Paragraph"/>
    <w:basedOn w:val="Normal"/>
    <w:uiPriority w:val="34"/>
    <w:qFormat/>
    <w:rsid w:val="003B19C5"/>
    <w:pPr>
      <w:ind w:left="720"/>
      <w:contextualSpacing/>
    </w:pPr>
  </w:style>
  <w:style w:type="paragraph" w:styleId="TOCHeading">
    <w:name w:val="TOC Heading"/>
    <w:basedOn w:val="Heading1"/>
    <w:next w:val="Normal"/>
    <w:uiPriority w:val="39"/>
    <w:unhideWhenUsed/>
    <w:qFormat/>
    <w:rsid w:val="00F6019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6019B"/>
    <w:pPr>
      <w:spacing w:after="100"/>
    </w:pPr>
  </w:style>
  <w:style w:type="paragraph" w:styleId="TOC2">
    <w:name w:val="toc 2"/>
    <w:basedOn w:val="Normal"/>
    <w:next w:val="Normal"/>
    <w:autoRedefine/>
    <w:uiPriority w:val="39"/>
    <w:unhideWhenUsed/>
    <w:rsid w:val="00F6019B"/>
    <w:pPr>
      <w:spacing w:after="100"/>
      <w:ind w:left="240"/>
    </w:pPr>
  </w:style>
  <w:style w:type="character" w:styleId="Hyperlink">
    <w:name w:val="Hyperlink"/>
    <w:basedOn w:val="DefaultParagraphFont"/>
    <w:uiPriority w:val="99"/>
    <w:unhideWhenUsed/>
    <w:rsid w:val="00F6019B"/>
    <w:rPr>
      <w:color w:val="0563C1" w:themeColor="hyperlink"/>
      <w:u w:val="single"/>
    </w:rPr>
  </w:style>
  <w:style w:type="paragraph" w:customStyle="1" w:styleId="Default">
    <w:name w:val="Default"/>
    <w:rsid w:val="00F4562A"/>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497911">
      <w:bodyDiv w:val="1"/>
      <w:marLeft w:val="0"/>
      <w:marRight w:val="0"/>
      <w:marTop w:val="0"/>
      <w:marBottom w:val="0"/>
      <w:divBdr>
        <w:top w:val="none" w:sz="0" w:space="0" w:color="auto"/>
        <w:left w:val="none" w:sz="0" w:space="0" w:color="auto"/>
        <w:bottom w:val="none" w:sz="0" w:space="0" w:color="auto"/>
        <w:right w:val="none" w:sz="0" w:space="0" w:color="auto"/>
      </w:divBdr>
    </w:div>
    <w:div w:id="1095831733">
      <w:bodyDiv w:val="1"/>
      <w:marLeft w:val="0"/>
      <w:marRight w:val="0"/>
      <w:marTop w:val="0"/>
      <w:marBottom w:val="0"/>
      <w:divBdr>
        <w:top w:val="none" w:sz="0" w:space="0" w:color="auto"/>
        <w:left w:val="none" w:sz="0" w:space="0" w:color="auto"/>
        <w:bottom w:val="none" w:sz="0" w:space="0" w:color="auto"/>
        <w:right w:val="none" w:sz="0" w:space="0" w:color="auto"/>
      </w:divBdr>
    </w:div>
    <w:div w:id="192761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2A752-D5EE-4399-828E-3416042E0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1283</TotalTime>
  <Pages>9</Pages>
  <Words>1276</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LAPTOP_MP0377</dc:creator>
  <cp:keywords/>
  <dc:description/>
  <cp:lastModifiedBy>Dari-Anna A Kuseva</cp:lastModifiedBy>
  <cp:revision>153</cp:revision>
  <dcterms:created xsi:type="dcterms:W3CDTF">2020-11-16T06:02:00Z</dcterms:created>
  <dcterms:modified xsi:type="dcterms:W3CDTF">2022-03-27T19:26:00Z</dcterms:modified>
</cp:coreProperties>
</file>