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285A02" w:rsidRDefault="00C31D85" w:rsidP="00C6476C">
      <w:pPr>
        <w:ind w:left="426"/>
        <w:rPr>
          <w:rFonts w:ascii="Arial" w:hAnsi="Arial" w:cs="Arial"/>
        </w:rPr>
      </w:pPr>
      <w:r w:rsidRPr="00285A02">
        <w:rPr>
          <w:rFonts w:ascii="Arial" w:hAnsi="Arial" w:cs="Arial"/>
          <w:noProof/>
          <w:lang w:val="en-GB" w:eastAsia="en-GB"/>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285A02" w:rsidRDefault="00ED1049" w:rsidP="00C6476C">
      <w:pPr>
        <w:ind w:left="426"/>
        <w:rPr>
          <w:rFonts w:ascii="Arial" w:hAnsi="Arial" w:cs="Arial"/>
          <w:szCs w:val="24"/>
        </w:rPr>
      </w:pPr>
    </w:p>
    <w:p w14:paraId="41A133E3" w14:textId="77777777" w:rsidR="00ED1049" w:rsidRPr="00285A02" w:rsidRDefault="00ED1049" w:rsidP="00C6476C">
      <w:pPr>
        <w:ind w:left="426"/>
        <w:rPr>
          <w:rFonts w:ascii="Arial" w:hAnsi="Arial" w:cs="Arial"/>
          <w:szCs w:val="24"/>
        </w:rPr>
      </w:pPr>
    </w:p>
    <w:p w14:paraId="605068F9" w14:textId="77777777" w:rsidR="00ED1049" w:rsidRPr="00285A02" w:rsidRDefault="00ED1049" w:rsidP="00C6476C">
      <w:pPr>
        <w:ind w:left="426"/>
        <w:rPr>
          <w:rFonts w:ascii="Arial" w:hAnsi="Arial" w:cs="Arial"/>
          <w:szCs w:val="24"/>
        </w:rPr>
      </w:pPr>
    </w:p>
    <w:p w14:paraId="543861DF" w14:textId="77777777" w:rsidR="00ED1049" w:rsidRPr="00285A02" w:rsidRDefault="00ED1049" w:rsidP="00C6476C">
      <w:pPr>
        <w:rPr>
          <w:rFonts w:ascii="Arial" w:hAnsi="Arial" w:cs="Arial"/>
        </w:rPr>
      </w:pPr>
    </w:p>
    <w:p w14:paraId="1B9C9B98" w14:textId="77777777" w:rsidR="00C31D85" w:rsidRPr="00285A02" w:rsidRDefault="00C31D85" w:rsidP="00C6476C">
      <w:pPr>
        <w:jc w:val="center"/>
        <w:rPr>
          <w:rFonts w:ascii="Arial" w:hAnsi="Arial" w:cs="Arial"/>
          <w:b/>
          <w:bCs/>
          <w:sz w:val="36"/>
          <w:szCs w:val="36"/>
        </w:rPr>
      </w:pPr>
    </w:p>
    <w:p w14:paraId="216E92B4" w14:textId="77777777" w:rsidR="00C31D85" w:rsidRPr="00285A02" w:rsidRDefault="00C31D85" w:rsidP="00C6476C">
      <w:pPr>
        <w:jc w:val="center"/>
        <w:rPr>
          <w:rFonts w:ascii="Arial" w:hAnsi="Arial" w:cs="Arial"/>
          <w:b/>
          <w:bCs/>
          <w:sz w:val="36"/>
          <w:szCs w:val="36"/>
        </w:rPr>
      </w:pPr>
      <w:r w:rsidRPr="00285A02">
        <w:rPr>
          <w:rFonts w:ascii="Arial" w:hAnsi="Arial" w:cs="Arial"/>
          <w:b/>
          <w:bCs/>
          <w:sz w:val="36"/>
          <w:szCs w:val="36"/>
        </w:rPr>
        <w:t xml:space="preserve">Methods and Search Strategy Academic Poster </w:t>
      </w:r>
    </w:p>
    <w:p w14:paraId="2C135EB3" w14:textId="77777777" w:rsidR="00C31D85" w:rsidRPr="00285A02" w:rsidRDefault="00C31D85" w:rsidP="00C6476C">
      <w:pPr>
        <w:jc w:val="center"/>
        <w:rPr>
          <w:rFonts w:ascii="Arial" w:hAnsi="Arial" w:cs="Arial"/>
          <w:b/>
          <w:bCs/>
          <w:sz w:val="36"/>
          <w:szCs w:val="36"/>
        </w:rPr>
      </w:pPr>
    </w:p>
    <w:p w14:paraId="630B5F3A" w14:textId="77777777" w:rsidR="00C31D85" w:rsidRPr="00285A02" w:rsidRDefault="00C31D85" w:rsidP="00C6476C">
      <w:pPr>
        <w:jc w:val="center"/>
        <w:rPr>
          <w:rFonts w:ascii="Arial" w:hAnsi="Arial" w:cs="Arial"/>
          <w:b/>
          <w:bCs/>
          <w:sz w:val="36"/>
          <w:szCs w:val="36"/>
        </w:rPr>
      </w:pPr>
    </w:p>
    <w:p w14:paraId="3260C959" w14:textId="77777777" w:rsidR="00C31D85" w:rsidRPr="00285A02" w:rsidRDefault="00C31D85" w:rsidP="00C6476C">
      <w:pPr>
        <w:jc w:val="center"/>
        <w:rPr>
          <w:rFonts w:ascii="Arial" w:hAnsi="Arial" w:cs="Arial"/>
          <w:b/>
          <w:bCs/>
          <w:sz w:val="36"/>
          <w:szCs w:val="36"/>
        </w:rPr>
      </w:pPr>
    </w:p>
    <w:p w14:paraId="461920A4" w14:textId="6BD85D02" w:rsidR="00C31D85" w:rsidRPr="00285A02" w:rsidRDefault="00C31D85" w:rsidP="00C6476C">
      <w:pPr>
        <w:tabs>
          <w:tab w:val="left" w:pos="6540"/>
        </w:tabs>
        <w:ind w:left="426"/>
        <w:rPr>
          <w:rFonts w:ascii="Arial" w:hAnsi="Arial" w:cs="Arial"/>
          <w:sz w:val="28"/>
          <w:szCs w:val="28"/>
          <w:lang w:val="nl-NL"/>
        </w:rPr>
      </w:pPr>
      <w:r w:rsidRPr="00285A02">
        <w:rPr>
          <w:rFonts w:ascii="Arial" w:hAnsi="Arial" w:cs="Arial"/>
          <w:b/>
          <w:bCs/>
          <w:sz w:val="28"/>
          <w:szCs w:val="28"/>
          <w:lang w:val="nl-NL"/>
        </w:rPr>
        <w:t>Student name</w:t>
      </w:r>
      <w:r w:rsidRPr="00285A02">
        <w:rPr>
          <w:rFonts w:ascii="Arial" w:hAnsi="Arial" w:cs="Arial"/>
          <w:sz w:val="28"/>
          <w:szCs w:val="28"/>
          <w:lang w:val="nl-NL"/>
        </w:rPr>
        <w:t>:</w:t>
      </w:r>
      <w:r w:rsidR="00B00476">
        <w:rPr>
          <w:rFonts w:ascii="Arial" w:hAnsi="Arial" w:cs="Arial"/>
          <w:sz w:val="28"/>
          <w:szCs w:val="28"/>
          <w:lang w:val="nl-NL"/>
        </w:rPr>
        <w:t xml:space="preserve"> </w:t>
      </w:r>
      <w:r w:rsidR="00B00476" w:rsidRPr="00B00476">
        <w:rPr>
          <w:rFonts w:ascii="Arial" w:hAnsi="Arial" w:cs="Arial"/>
          <w:sz w:val="28"/>
          <w:szCs w:val="28"/>
        </w:rPr>
        <w:t>Asteria</w:t>
      </w:r>
      <w:r w:rsidR="00367A92">
        <w:rPr>
          <w:rFonts w:ascii="Arial" w:hAnsi="Arial" w:cs="Arial"/>
          <w:sz w:val="28"/>
          <w:szCs w:val="28"/>
        </w:rPr>
        <w:t xml:space="preserve"> </w:t>
      </w:r>
      <w:r w:rsidR="00367A92">
        <w:rPr>
          <w:rFonts w:ascii="Arial" w:hAnsi="Arial" w:cs="Arial"/>
          <w:sz w:val="28"/>
          <w:szCs w:val="28"/>
          <w:lang w:val="nl-NL"/>
        </w:rPr>
        <w:t>Joseph Nyamhanga</w:t>
      </w:r>
      <w:r w:rsidR="00B00476" w:rsidRPr="00B00476">
        <w:rPr>
          <w:rFonts w:ascii="Arial" w:hAnsi="Arial" w:cs="Arial"/>
          <w:sz w:val="28"/>
          <w:szCs w:val="28"/>
        </w:rPr>
        <w:t xml:space="preserve"> Wilson</w:t>
      </w:r>
    </w:p>
    <w:p w14:paraId="4D060E17" w14:textId="77974486" w:rsidR="00C31D85" w:rsidRPr="00285A02" w:rsidRDefault="00C31D85" w:rsidP="00C6476C">
      <w:pPr>
        <w:tabs>
          <w:tab w:val="left" w:pos="6540"/>
        </w:tabs>
        <w:ind w:left="426"/>
        <w:rPr>
          <w:rFonts w:ascii="Arial" w:hAnsi="Arial" w:cs="Arial"/>
          <w:sz w:val="28"/>
          <w:szCs w:val="28"/>
          <w:lang w:val="nl-NL"/>
        </w:rPr>
      </w:pPr>
      <w:r w:rsidRPr="00285A02">
        <w:rPr>
          <w:rFonts w:ascii="Arial" w:hAnsi="Arial" w:cs="Arial"/>
          <w:b/>
          <w:bCs/>
          <w:sz w:val="28"/>
          <w:szCs w:val="28"/>
          <w:lang w:val="nl-NL"/>
        </w:rPr>
        <w:t>Student ID</w:t>
      </w:r>
      <w:r w:rsidRPr="00285A02">
        <w:rPr>
          <w:rFonts w:ascii="Arial" w:hAnsi="Arial" w:cs="Arial"/>
          <w:sz w:val="28"/>
          <w:szCs w:val="28"/>
          <w:lang w:val="nl-NL"/>
        </w:rPr>
        <w:t>:</w:t>
      </w:r>
      <w:r w:rsidR="00B00476">
        <w:rPr>
          <w:rFonts w:ascii="Arial" w:hAnsi="Arial" w:cs="Arial"/>
          <w:sz w:val="28"/>
          <w:szCs w:val="28"/>
          <w:lang w:val="nl-NL"/>
        </w:rPr>
        <w:t xml:space="preserve"> </w:t>
      </w:r>
      <w:r w:rsidR="00367A92">
        <w:rPr>
          <w:rFonts w:ascii="Arial" w:hAnsi="Arial" w:cs="Arial"/>
          <w:sz w:val="28"/>
          <w:szCs w:val="28"/>
          <w:lang w:val="nl-NL"/>
        </w:rPr>
        <w:t>2311121</w:t>
      </w:r>
    </w:p>
    <w:p w14:paraId="7C577260" w14:textId="52C5F60E" w:rsidR="00C31D85" w:rsidRPr="00306D99" w:rsidRDefault="00367A92" w:rsidP="00C6476C">
      <w:pPr>
        <w:tabs>
          <w:tab w:val="left" w:pos="6540"/>
        </w:tabs>
        <w:ind w:left="426"/>
        <w:rPr>
          <w:rFonts w:ascii="Arial" w:hAnsi="Arial" w:cs="Arial"/>
          <w:sz w:val="28"/>
          <w:szCs w:val="28"/>
          <w:lang w:val="nl-NL"/>
        </w:rPr>
      </w:pPr>
      <w:r w:rsidRPr="00367A92">
        <w:rPr>
          <w:rFonts w:ascii="Arial" w:hAnsi="Arial" w:cs="Arial"/>
          <w:b/>
          <w:bCs/>
          <w:sz w:val="28"/>
          <w:szCs w:val="28"/>
          <w:lang w:val="nl-NL"/>
        </w:rPr>
        <w:t xml:space="preserve">Lecture Name </w:t>
      </w:r>
      <w:r w:rsidR="00306D99" w:rsidRPr="00306D99">
        <w:rPr>
          <w:rFonts w:ascii="Arial" w:hAnsi="Arial" w:cs="Arial"/>
          <w:sz w:val="28"/>
          <w:szCs w:val="28"/>
          <w:lang w:val="nl-NL"/>
        </w:rPr>
        <w:t>Chloe Harries</w:t>
      </w:r>
    </w:p>
    <w:p w14:paraId="41CBCDE7" w14:textId="0A03A44F" w:rsidR="00C31D85" w:rsidRPr="00285A02" w:rsidRDefault="00C31D85" w:rsidP="00C6476C">
      <w:pPr>
        <w:tabs>
          <w:tab w:val="left" w:pos="6540"/>
        </w:tabs>
        <w:ind w:left="426"/>
        <w:rPr>
          <w:rFonts w:ascii="Arial" w:hAnsi="Arial" w:cs="Arial"/>
          <w:sz w:val="28"/>
          <w:szCs w:val="28"/>
          <w:lang w:val="nl-NL"/>
        </w:rPr>
      </w:pPr>
      <w:r w:rsidRPr="00285A02">
        <w:rPr>
          <w:rFonts w:ascii="Arial" w:hAnsi="Arial" w:cs="Arial"/>
          <w:b/>
          <w:bCs/>
          <w:sz w:val="28"/>
          <w:szCs w:val="28"/>
          <w:lang w:val="nl-NL"/>
        </w:rPr>
        <w:t>Module name</w:t>
      </w:r>
      <w:r w:rsidRPr="00285A02">
        <w:rPr>
          <w:rFonts w:ascii="Arial" w:hAnsi="Arial" w:cs="Arial"/>
          <w:sz w:val="28"/>
          <w:szCs w:val="28"/>
          <w:lang w:val="nl-NL"/>
        </w:rPr>
        <w:t xml:space="preserve">: </w:t>
      </w:r>
      <w:r w:rsidR="00B00476" w:rsidRPr="00B00476">
        <w:rPr>
          <w:rFonts w:ascii="Arial" w:hAnsi="Arial" w:cs="Arial"/>
          <w:sz w:val="28"/>
          <w:szCs w:val="28"/>
          <w:lang w:val="nl-NL"/>
        </w:rPr>
        <w:t>Independent Project</w:t>
      </w:r>
    </w:p>
    <w:p w14:paraId="42A6E8AA" w14:textId="3133BA80" w:rsidR="00C31D85" w:rsidRPr="00285A02" w:rsidRDefault="00C31D85" w:rsidP="00C6476C">
      <w:pPr>
        <w:tabs>
          <w:tab w:val="left" w:pos="6540"/>
        </w:tabs>
        <w:ind w:left="426"/>
        <w:rPr>
          <w:rFonts w:ascii="Arial" w:hAnsi="Arial" w:cs="Arial"/>
          <w:sz w:val="28"/>
          <w:szCs w:val="28"/>
        </w:rPr>
      </w:pPr>
      <w:r w:rsidRPr="00285A02">
        <w:rPr>
          <w:rFonts w:ascii="Arial" w:hAnsi="Arial" w:cs="Arial"/>
          <w:b/>
          <w:bCs/>
          <w:sz w:val="28"/>
          <w:szCs w:val="28"/>
        </w:rPr>
        <w:t>Module code</w:t>
      </w:r>
      <w:r w:rsidRPr="00285A02">
        <w:rPr>
          <w:rFonts w:ascii="Arial" w:hAnsi="Arial" w:cs="Arial"/>
          <w:sz w:val="28"/>
          <w:szCs w:val="28"/>
        </w:rPr>
        <w:t>:</w:t>
      </w:r>
      <w:r w:rsidR="00B00476">
        <w:rPr>
          <w:rFonts w:ascii="Arial" w:hAnsi="Arial" w:cs="Arial"/>
          <w:sz w:val="28"/>
          <w:szCs w:val="28"/>
        </w:rPr>
        <w:t xml:space="preserve"> </w:t>
      </w:r>
      <w:r w:rsidR="00B00476" w:rsidRPr="00B00476">
        <w:rPr>
          <w:rFonts w:ascii="Arial" w:hAnsi="Arial" w:cs="Arial"/>
          <w:sz w:val="28"/>
          <w:szCs w:val="28"/>
        </w:rPr>
        <w:t>BMHP6020</w:t>
      </w:r>
    </w:p>
    <w:p w14:paraId="53F9CE46" w14:textId="77777777" w:rsidR="00C31D85" w:rsidRDefault="00CC0A8F" w:rsidP="00C6476C">
      <w:pPr>
        <w:jc w:val="center"/>
        <w:rPr>
          <w:rFonts w:ascii="Arial" w:hAnsi="Arial" w:cs="Arial"/>
          <w:b/>
          <w:bCs/>
        </w:rPr>
      </w:pPr>
      <w:r w:rsidRPr="00285A02">
        <w:rPr>
          <w:rFonts w:ascii="Arial" w:hAnsi="Arial" w:cs="Arial"/>
          <w:b/>
          <w:bCs/>
        </w:rPr>
        <w:br w:type="page"/>
      </w:r>
    </w:p>
    <w:p w14:paraId="797AAD4D" w14:textId="77777777" w:rsidR="00367A92" w:rsidRPr="00367A92" w:rsidRDefault="00367A92" w:rsidP="00367A92">
      <w:pPr>
        <w:rPr>
          <w:rFonts w:ascii="Arial" w:hAnsi="Arial" w:cs="Arial"/>
        </w:rPr>
      </w:pPr>
    </w:p>
    <w:p w14:paraId="1D9B8610" w14:textId="77777777" w:rsidR="00367A92" w:rsidRPr="00367A92" w:rsidRDefault="00367A92" w:rsidP="00367A92">
      <w:pPr>
        <w:rPr>
          <w:rFonts w:ascii="Arial" w:hAnsi="Arial" w:cs="Arial"/>
        </w:rPr>
      </w:pPr>
    </w:p>
    <w:p w14:paraId="3A201EDD" w14:textId="77777777" w:rsidR="00367A92" w:rsidRDefault="00367A92" w:rsidP="00367A92">
      <w:pPr>
        <w:rPr>
          <w:rFonts w:ascii="Arial" w:hAnsi="Arial" w:cs="Arial"/>
          <w:b/>
          <w:bCs/>
        </w:rPr>
      </w:pPr>
    </w:p>
    <w:p w14:paraId="07D2D03C" w14:textId="77777777" w:rsidR="00367A92" w:rsidRPr="00367A92" w:rsidRDefault="00367A92" w:rsidP="00367A92">
      <w:pPr>
        <w:rPr>
          <w:rFonts w:ascii="Arial" w:hAnsi="Arial" w:cs="Arial"/>
        </w:rPr>
      </w:pPr>
    </w:p>
    <w:p w14:paraId="20CCFDB1" w14:textId="191E59C1" w:rsidR="00367A92" w:rsidRDefault="00367A92" w:rsidP="005B286E">
      <w:pPr>
        <w:tabs>
          <w:tab w:val="left" w:pos="1790"/>
          <w:tab w:val="left" w:pos="6500"/>
        </w:tabs>
        <w:rPr>
          <w:rFonts w:ascii="Arial" w:hAnsi="Arial" w:cs="Arial"/>
          <w:b/>
          <w:bCs/>
        </w:rPr>
      </w:pPr>
      <w:r>
        <w:rPr>
          <w:rFonts w:ascii="Arial" w:hAnsi="Arial" w:cs="Arial"/>
          <w:b/>
          <w:bCs/>
        </w:rPr>
        <w:tab/>
      </w:r>
      <w:r w:rsidR="005B286E">
        <w:rPr>
          <w:rFonts w:ascii="Arial" w:hAnsi="Arial" w:cs="Arial"/>
          <w:b/>
          <w:bCs/>
        </w:rPr>
        <w:tab/>
      </w:r>
    </w:p>
    <w:p w14:paraId="41A4DC93" w14:textId="65AA91B2" w:rsidR="00367A92" w:rsidRPr="009F69E5" w:rsidRDefault="00367A92" w:rsidP="00367A92">
      <w:pPr>
        <w:tabs>
          <w:tab w:val="left" w:pos="6500"/>
        </w:tabs>
        <w:rPr>
          <w:rFonts w:ascii="Arial" w:hAnsi="Arial" w:cs="Arial"/>
          <w:b/>
          <w:bCs/>
        </w:rPr>
        <w:sectPr w:rsidR="00367A92" w:rsidRPr="009F69E5" w:rsidSect="00C31D85">
          <w:headerReference w:type="even" r:id="rId9"/>
          <w:headerReference w:type="default" r:id="rId10"/>
          <w:footerReference w:type="even" r:id="rId11"/>
          <w:footerReference w:type="default" r:id="rId12"/>
          <w:headerReference w:type="first" r:id="rId13"/>
          <w:footerReference w:type="first" r:id="rId14"/>
          <w:pgSz w:w="12240" w:h="15840" w:code="1"/>
          <w:pgMar w:top="720" w:right="576" w:bottom="720" w:left="720" w:header="432" w:footer="288" w:gutter="0"/>
          <w:cols w:space="720"/>
          <w:titlePg/>
          <w:docGrid w:linePitch="360"/>
        </w:sectPr>
      </w:pPr>
      <w:r>
        <w:rPr>
          <w:rFonts w:ascii="Arial" w:hAnsi="Arial" w:cs="Arial"/>
        </w:rPr>
        <w:tab/>
      </w:r>
      <w:r w:rsidR="009F69E5" w:rsidRPr="009F69E5">
        <w:rPr>
          <w:rFonts w:ascii="Arial" w:hAnsi="Arial" w:cs="Arial"/>
          <w:b/>
          <w:bCs/>
        </w:rPr>
        <w:t>Element 2 Poster</w:t>
      </w:r>
    </w:p>
    <w:tbl>
      <w:tblPr>
        <w:tblStyle w:val="TableGrid"/>
        <w:tblW w:w="14616" w:type="dxa"/>
        <w:tblLook w:val="04A0" w:firstRow="1" w:lastRow="0" w:firstColumn="1" w:lastColumn="0" w:noHBand="0" w:noVBand="1"/>
      </w:tblPr>
      <w:tblGrid>
        <w:gridCol w:w="7225"/>
        <w:gridCol w:w="7391"/>
      </w:tblGrid>
      <w:tr w:rsidR="00802FF1" w:rsidRPr="00285A02" w14:paraId="2F1EE6C0" w14:textId="77777777" w:rsidTr="00C6476C">
        <w:trPr>
          <w:trHeight w:val="597"/>
        </w:trPr>
        <w:tc>
          <w:tcPr>
            <w:tcW w:w="14616" w:type="dxa"/>
            <w:gridSpan w:val="2"/>
            <w:shd w:val="clear" w:color="auto" w:fill="E2EFD9" w:themeFill="accent6" w:themeFillTint="33"/>
            <w:vAlign w:val="center"/>
          </w:tcPr>
          <w:p w14:paraId="080E7EB0" w14:textId="7152E4BC" w:rsidR="00802FF1" w:rsidRPr="00285A02" w:rsidRDefault="00285A02" w:rsidP="00C6476C">
            <w:pPr>
              <w:spacing w:after="0"/>
              <w:jc w:val="center"/>
              <w:rPr>
                <w:rFonts w:ascii="Arial" w:hAnsi="Arial" w:cs="Arial"/>
                <w:b/>
                <w:bCs/>
                <w:sz w:val="36"/>
                <w:szCs w:val="36"/>
                <w:lang w:val="en-GB"/>
              </w:rPr>
            </w:pPr>
            <w:r w:rsidRPr="00285A02">
              <w:rPr>
                <w:rFonts w:ascii="Arial" w:hAnsi="Arial" w:cs="Arial"/>
                <w:b/>
                <w:bCs/>
                <w:sz w:val="36"/>
                <w:szCs w:val="36"/>
                <w:lang w:val="en-GB"/>
              </w:rPr>
              <w:lastRenderedPageBreak/>
              <w:t>An investigation into the role of applying AI-supported mental health triage systems to enhance Improving Access to Psychological Therapies (IAPT) for the patients suffering from Dementia in the UK healthcare industry: A case study of NHS hospitals</w:t>
            </w:r>
          </w:p>
        </w:tc>
      </w:tr>
      <w:tr w:rsidR="00D8245C" w:rsidRPr="00285A02" w14:paraId="51100EC3" w14:textId="77777777" w:rsidTr="004E2BD1">
        <w:trPr>
          <w:trHeight w:val="1856"/>
        </w:trPr>
        <w:tc>
          <w:tcPr>
            <w:tcW w:w="7225" w:type="dxa"/>
            <w:shd w:val="clear" w:color="auto" w:fill="FBE4D5" w:themeFill="accent2" w:themeFillTint="33"/>
          </w:tcPr>
          <w:p w14:paraId="7D5ABB49" w14:textId="1DE25D85" w:rsidR="00C31D85" w:rsidRPr="00367A92" w:rsidRDefault="00C31D85" w:rsidP="00C6476C">
            <w:pPr>
              <w:rPr>
                <w:rFonts w:ascii="Arial" w:hAnsi="Arial" w:cs="Arial"/>
                <w:b/>
                <w:bCs/>
              </w:rPr>
            </w:pPr>
            <w:r w:rsidRPr="00367A92">
              <w:rPr>
                <w:rFonts w:ascii="Arial" w:hAnsi="Arial" w:cs="Arial"/>
                <w:b/>
                <w:bCs/>
                <w:sz w:val="40"/>
                <w:szCs w:val="40"/>
              </w:rPr>
              <w:t>01</w:t>
            </w:r>
            <w:r w:rsidR="00890534" w:rsidRPr="00367A92">
              <w:rPr>
                <w:rFonts w:ascii="Arial" w:hAnsi="Arial" w:cs="Arial"/>
              </w:rPr>
              <w:t xml:space="preserve"> </w:t>
            </w:r>
            <w:r w:rsidR="00AB5409" w:rsidRPr="00367A92">
              <w:rPr>
                <w:rFonts w:ascii="Arial" w:hAnsi="Arial" w:cs="Arial"/>
              </w:rPr>
              <w:t xml:space="preserve"> </w:t>
            </w:r>
            <w:r w:rsidR="001A2DAB" w:rsidRPr="00367A92">
              <w:rPr>
                <w:rFonts w:ascii="Arial" w:hAnsi="Arial" w:cs="Arial"/>
                <w:b/>
                <w:bCs/>
              </w:rPr>
              <w:t xml:space="preserve">Introduction and </w:t>
            </w:r>
            <w:r w:rsidR="00AB5409" w:rsidRPr="00367A92">
              <w:rPr>
                <w:rFonts w:ascii="Arial" w:hAnsi="Arial" w:cs="Arial"/>
                <w:b/>
                <w:bCs/>
              </w:rPr>
              <w:t xml:space="preserve">Research </w:t>
            </w:r>
            <w:r w:rsidR="001A2DAB" w:rsidRPr="00367A92">
              <w:rPr>
                <w:rFonts w:ascii="Arial" w:hAnsi="Arial" w:cs="Arial"/>
                <w:b/>
                <w:bCs/>
              </w:rPr>
              <w:t xml:space="preserve">Aim </w:t>
            </w:r>
          </w:p>
          <w:p w14:paraId="69DCCBBE" w14:textId="77777777" w:rsidR="007049D8" w:rsidRPr="007049D8" w:rsidRDefault="00285A02" w:rsidP="007049D8">
            <w:pPr>
              <w:spacing w:after="0"/>
              <w:jc w:val="both"/>
              <w:rPr>
                <w:rFonts w:ascii="Arial" w:hAnsi="Arial" w:cs="Arial"/>
                <w:lang w:val="en-GB"/>
              </w:rPr>
            </w:pPr>
            <w:r w:rsidRPr="00367A92">
              <w:rPr>
                <w:rFonts w:ascii="Arial" w:hAnsi="Arial" w:cs="Arial"/>
                <w:b/>
                <w:bCs/>
                <w:i/>
                <w:iCs/>
                <w:u w:val="single"/>
                <w:lang w:val="en-GB"/>
              </w:rPr>
              <w:t>Brief Overview</w:t>
            </w:r>
            <w:r w:rsidRPr="00367A92">
              <w:rPr>
                <w:rFonts w:ascii="Arial" w:hAnsi="Arial" w:cs="Arial"/>
                <w:b/>
                <w:bCs/>
                <w:i/>
                <w:iCs/>
                <w:lang w:val="en-GB"/>
              </w:rPr>
              <w:t>:</w:t>
            </w:r>
            <w:r w:rsidRPr="00367A92">
              <w:rPr>
                <w:rFonts w:ascii="Arial" w:hAnsi="Arial" w:cs="Arial"/>
                <w:lang w:val="en-GB"/>
              </w:rPr>
              <w:t xml:space="preserve"> </w:t>
            </w:r>
            <w:r w:rsidR="007049D8" w:rsidRPr="00367A92">
              <w:rPr>
                <w:rFonts w:ascii="Arial" w:hAnsi="Arial" w:cs="Arial"/>
                <w:lang w:val="en-GB"/>
              </w:rPr>
              <w:t>Saunders’ Research Onion acted as the guide for methodological considerations, providing a sound structure at all stages. Key words and Boolean operators were selected in order to strike the balance between precision and comprehensiveness of the search. Databases selected included Google Scholar, PubMed, and NHS England databases owing to the relevance of their content for UK context. Credibility of sources was assessed using the CRAAP criterion</w:t>
            </w:r>
            <w:r w:rsidR="007049D8" w:rsidRPr="007049D8">
              <w:rPr>
                <w:rFonts w:ascii="Arial" w:hAnsi="Arial" w:cs="Arial"/>
                <w:highlight w:val="yellow"/>
                <w:lang w:val="en-GB"/>
              </w:rPr>
              <w:t>.</w:t>
            </w:r>
          </w:p>
          <w:p w14:paraId="4F873229" w14:textId="6EB3269A" w:rsidR="000E56ED" w:rsidRPr="00285A02" w:rsidRDefault="00285A02" w:rsidP="00C6476C">
            <w:pPr>
              <w:spacing w:after="0"/>
              <w:jc w:val="both"/>
              <w:rPr>
                <w:rFonts w:ascii="Arial" w:hAnsi="Arial" w:cs="Arial"/>
                <w:lang w:val="en-GB"/>
              </w:rPr>
            </w:pPr>
            <w:r w:rsidRPr="00285A02">
              <w:rPr>
                <w:rFonts w:ascii="Arial" w:hAnsi="Arial" w:cs="Arial"/>
                <w:b/>
                <w:bCs/>
                <w:i/>
                <w:iCs/>
                <w:u w:val="single"/>
                <w:lang w:val="en-GB"/>
              </w:rPr>
              <w:t xml:space="preserve">Research </w:t>
            </w:r>
            <w:r w:rsidR="00D8245C" w:rsidRPr="00285A02">
              <w:rPr>
                <w:rFonts w:ascii="Arial" w:hAnsi="Arial" w:cs="Arial"/>
                <w:b/>
                <w:bCs/>
                <w:i/>
                <w:iCs/>
                <w:u w:val="single"/>
                <w:lang w:val="en-GB"/>
              </w:rPr>
              <w:t>Aim:</w:t>
            </w:r>
            <w:r w:rsidR="00D8245C" w:rsidRPr="00285A02">
              <w:rPr>
                <w:rFonts w:ascii="Arial" w:hAnsi="Arial" w:cs="Arial"/>
                <w:lang w:val="en-GB"/>
              </w:rPr>
              <w:t xml:space="preserve"> The</w:t>
            </w:r>
            <w:r w:rsidRPr="00285A02">
              <w:rPr>
                <w:rFonts w:ascii="Arial" w:hAnsi="Arial" w:cs="Arial"/>
                <w:lang w:val="en-GB"/>
              </w:rPr>
              <w:t xml:space="preserve"> research study aims to examine the influence of AI-supported mental health triage systems on IAPT (Improving Access to Psychological Therapies) for increased Dementia care in the UK healthcare industry from the organisational context of NHS hospitals</w:t>
            </w:r>
          </w:p>
        </w:tc>
        <w:tc>
          <w:tcPr>
            <w:tcW w:w="7391" w:type="dxa"/>
            <w:shd w:val="clear" w:color="auto" w:fill="EDEDED" w:themeFill="accent3" w:themeFillTint="33"/>
          </w:tcPr>
          <w:p w14:paraId="512F9F0B" w14:textId="77777777" w:rsidR="00C31D85" w:rsidRPr="00285A02" w:rsidRDefault="00C31D85" w:rsidP="00C6476C">
            <w:pPr>
              <w:rPr>
                <w:rFonts w:ascii="Arial" w:hAnsi="Arial" w:cs="Arial"/>
              </w:rPr>
            </w:pPr>
            <w:r w:rsidRPr="00285A02">
              <w:rPr>
                <w:rFonts w:ascii="Arial" w:hAnsi="Arial" w:cs="Arial"/>
                <w:b/>
                <w:bCs/>
                <w:sz w:val="40"/>
                <w:szCs w:val="40"/>
              </w:rPr>
              <w:t>02</w:t>
            </w:r>
            <w:r w:rsidR="00AB5409" w:rsidRPr="00285A02">
              <w:rPr>
                <w:rFonts w:ascii="Arial" w:hAnsi="Arial" w:cs="Arial"/>
                <w:b/>
                <w:bCs/>
                <w:sz w:val="40"/>
                <w:szCs w:val="40"/>
              </w:rPr>
              <w:t xml:space="preserve"> </w:t>
            </w:r>
            <w:r w:rsidR="00AB5409" w:rsidRPr="00285A02">
              <w:rPr>
                <w:rFonts w:ascii="Arial" w:hAnsi="Arial" w:cs="Arial"/>
                <w:b/>
                <w:bCs/>
              </w:rPr>
              <w:t>Search Strategy</w:t>
            </w:r>
            <w:r w:rsidR="00AB5409" w:rsidRPr="00285A02">
              <w:rPr>
                <w:rFonts w:ascii="Arial" w:hAnsi="Arial" w:cs="Arial"/>
              </w:rPr>
              <w:t xml:space="preserve"> </w:t>
            </w:r>
          </w:p>
          <w:p w14:paraId="1CFF1E70" w14:textId="58D36828" w:rsidR="00285A02" w:rsidRDefault="00285A02" w:rsidP="00C6476C">
            <w:pPr>
              <w:spacing w:after="0"/>
              <w:jc w:val="both"/>
              <w:rPr>
                <w:rFonts w:ascii="Arial" w:hAnsi="Arial" w:cs="Arial"/>
                <w:lang w:val="en-GB"/>
              </w:rPr>
            </w:pPr>
            <w:r w:rsidRPr="00285A02">
              <w:rPr>
                <w:rFonts w:ascii="Arial" w:hAnsi="Arial" w:cs="Arial"/>
                <w:b/>
                <w:i/>
                <w:u w:val="single"/>
                <w:lang w:val="en-GB"/>
              </w:rPr>
              <w:t xml:space="preserve">Definition of </w:t>
            </w:r>
            <w:r w:rsidR="005F7D75" w:rsidRPr="00285A02">
              <w:rPr>
                <w:rFonts w:ascii="Arial" w:hAnsi="Arial" w:cs="Arial"/>
                <w:b/>
                <w:i/>
                <w:u w:val="single"/>
                <w:lang w:val="en-GB"/>
              </w:rPr>
              <w:t xml:space="preserve">search </w:t>
            </w:r>
            <w:r w:rsidRPr="00285A02">
              <w:rPr>
                <w:rFonts w:ascii="Arial" w:hAnsi="Arial" w:cs="Arial"/>
                <w:b/>
                <w:i/>
                <w:u w:val="single"/>
                <w:lang w:val="en-GB"/>
              </w:rPr>
              <w:t>strategy in secondary research</w:t>
            </w:r>
            <w:r>
              <w:rPr>
                <w:rFonts w:ascii="Arial" w:hAnsi="Arial" w:cs="Arial"/>
                <w:b/>
                <w:i/>
                <w:u w:val="single"/>
                <w:lang w:val="en-GB"/>
              </w:rPr>
              <w:t>:</w:t>
            </w:r>
            <w:r>
              <w:rPr>
                <w:rFonts w:ascii="Arial" w:hAnsi="Arial" w:cs="Arial"/>
                <w:lang w:val="en-GB"/>
              </w:rPr>
              <w:t xml:space="preserve"> </w:t>
            </w:r>
            <w:r w:rsidRPr="00285A02">
              <w:rPr>
                <w:rFonts w:ascii="Arial" w:hAnsi="Arial" w:cs="Arial"/>
                <w:lang w:val="en-GB"/>
              </w:rPr>
              <w:t>Search strategy in secondary research is a systematic process or method of finding the existing literature that is relevant by predetermined keywords, databases and filtering terms to ensure the information is accurate and relevant (Chigbu et al., 2023).</w:t>
            </w:r>
          </w:p>
          <w:p w14:paraId="109C23A4" w14:textId="337B112B" w:rsidR="0029329C" w:rsidRPr="00285A02" w:rsidRDefault="00285A02" w:rsidP="00C6476C">
            <w:pPr>
              <w:spacing w:after="0"/>
              <w:jc w:val="both"/>
              <w:rPr>
                <w:rFonts w:ascii="Arial" w:hAnsi="Arial" w:cs="Arial"/>
                <w:b/>
                <w:i/>
                <w:u w:val="single"/>
                <w:lang w:val="en-GB"/>
              </w:rPr>
            </w:pPr>
            <w:r w:rsidRPr="00285A02">
              <w:rPr>
                <w:rFonts w:ascii="Arial" w:hAnsi="Arial" w:cs="Arial"/>
                <w:b/>
                <w:i/>
                <w:u w:val="single"/>
                <w:lang w:val="en-GB"/>
              </w:rPr>
              <w:t>Use of</w:t>
            </w:r>
            <w:r w:rsidR="005F7D75" w:rsidRPr="00285A02">
              <w:rPr>
                <w:rFonts w:ascii="Arial" w:hAnsi="Arial" w:cs="Arial"/>
                <w:b/>
                <w:i/>
                <w:u w:val="single"/>
                <w:lang w:val="en-GB"/>
              </w:rPr>
              <w:t xml:space="preserve"> this strategy</w:t>
            </w:r>
            <w:r>
              <w:rPr>
                <w:rFonts w:ascii="Arial" w:hAnsi="Arial" w:cs="Arial"/>
                <w:b/>
                <w:i/>
                <w:u w:val="single"/>
                <w:lang w:val="en-GB"/>
              </w:rPr>
              <w:t>:</w:t>
            </w:r>
            <w:r>
              <w:rPr>
                <w:rFonts w:ascii="Arial" w:hAnsi="Arial" w:cs="Arial"/>
                <w:lang w:val="en-GB"/>
              </w:rPr>
              <w:t xml:space="preserve"> </w:t>
            </w:r>
            <w:r w:rsidRPr="00285A02">
              <w:rPr>
                <w:rFonts w:ascii="Arial" w:hAnsi="Arial" w:cs="Arial"/>
              </w:rPr>
              <w:t xml:space="preserve">The Boolean operators were used in Google Scholar, PubMed and NHS Evidence to identify </w:t>
            </w:r>
            <w:proofErr w:type="spellStart"/>
            <w:r w:rsidRPr="00285A02">
              <w:rPr>
                <w:rFonts w:ascii="Arial" w:hAnsi="Arial" w:cs="Arial"/>
              </w:rPr>
              <w:t>specialised</w:t>
            </w:r>
            <w:proofErr w:type="spellEnd"/>
            <w:r w:rsidRPr="00285A02">
              <w:rPr>
                <w:rFonts w:ascii="Arial" w:hAnsi="Arial" w:cs="Arial"/>
              </w:rPr>
              <w:t xml:space="preserve"> academic literature with key keywords (AI mental health triage, IAPT NHS, and therapy to dementia UK).</w:t>
            </w:r>
            <w:r w:rsidR="005F7D75" w:rsidRPr="00285A02">
              <w:rPr>
                <w:rFonts w:ascii="Arial" w:hAnsi="Arial" w:cs="Arial"/>
                <w:b/>
                <w:i/>
                <w:u w:val="single"/>
                <w:lang w:val="en-GB"/>
              </w:rPr>
              <w:t xml:space="preserve"> </w:t>
            </w:r>
          </w:p>
        </w:tc>
      </w:tr>
      <w:tr w:rsidR="00D8245C" w:rsidRPr="00285A02" w14:paraId="56FBFF17" w14:textId="77777777" w:rsidTr="004E2BD1">
        <w:trPr>
          <w:trHeight w:val="1856"/>
        </w:trPr>
        <w:tc>
          <w:tcPr>
            <w:tcW w:w="7225" w:type="dxa"/>
            <w:shd w:val="clear" w:color="auto" w:fill="E2EFD9" w:themeFill="accent6" w:themeFillTint="33"/>
          </w:tcPr>
          <w:p w14:paraId="30AEBD55" w14:textId="250F4B80" w:rsidR="00C31D85" w:rsidRPr="00285A02" w:rsidRDefault="00C31D85" w:rsidP="00C6476C">
            <w:pPr>
              <w:rPr>
                <w:rFonts w:ascii="Arial" w:hAnsi="Arial" w:cs="Arial"/>
              </w:rPr>
            </w:pPr>
            <w:r w:rsidRPr="00285A02">
              <w:rPr>
                <w:rFonts w:ascii="Arial" w:hAnsi="Arial" w:cs="Arial"/>
                <w:b/>
                <w:bCs/>
                <w:sz w:val="40"/>
                <w:szCs w:val="40"/>
              </w:rPr>
              <w:t>03</w:t>
            </w:r>
            <w:r w:rsidR="00AB5409" w:rsidRPr="00285A02">
              <w:rPr>
                <w:rFonts w:ascii="Arial" w:hAnsi="Arial" w:cs="Arial"/>
              </w:rPr>
              <w:t xml:space="preserve"> </w:t>
            </w:r>
            <w:r w:rsidR="00AB5409" w:rsidRPr="00285A02">
              <w:rPr>
                <w:rFonts w:ascii="Arial" w:hAnsi="Arial" w:cs="Arial"/>
                <w:b/>
                <w:bCs/>
              </w:rPr>
              <w:t>Searching for Information</w:t>
            </w:r>
            <w:r w:rsidR="00AB5409" w:rsidRPr="00285A02">
              <w:rPr>
                <w:rFonts w:ascii="Arial" w:hAnsi="Arial" w:cs="Arial"/>
              </w:rPr>
              <w:t xml:space="preserve"> </w:t>
            </w:r>
          </w:p>
          <w:p w14:paraId="2E210408" w14:textId="4ADB5CAD" w:rsidR="00285A02" w:rsidRPr="00285A02" w:rsidRDefault="00285A02" w:rsidP="00C6476C">
            <w:pPr>
              <w:spacing w:after="120"/>
              <w:jc w:val="both"/>
              <w:rPr>
                <w:rFonts w:ascii="Arial" w:hAnsi="Arial" w:cs="Arial"/>
                <w:b/>
                <w:i/>
                <w:u w:val="single"/>
                <w:lang w:val="en-GB"/>
              </w:rPr>
            </w:pPr>
            <w:r w:rsidRPr="00285A02">
              <w:rPr>
                <w:rFonts w:ascii="Arial" w:hAnsi="Arial" w:cs="Arial"/>
                <w:b/>
                <w:i/>
                <w:u w:val="single"/>
                <w:lang w:val="en-GB"/>
              </w:rPr>
              <w:t>Process of Searching</w:t>
            </w:r>
            <w:r>
              <w:rPr>
                <w:rFonts w:ascii="Arial" w:hAnsi="Arial" w:cs="Arial"/>
                <w:b/>
                <w:i/>
                <w:u w:val="single"/>
                <w:lang w:val="en-GB"/>
              </w:rPr>
              <w:t>:</w:t>
            </w:r>
            <w:r w:rsidRPr="00285A02">
              <w:rPr>
                <w:rFonts w:ascii="Arial" w:hAnsi="Arial" w:cs="Arial"/>
                <w:lang w:val="en-GB"/>
              </w:rPr>
              <w:t xml:space="preserve"> Peer-reviewed journals, NHS publications, UK healthcare policy documents were used to conduct information search to make sure that the information is contextual and relevant to organisations.</w:t>
            </w:r>
          </w:p>
          <w:p w14:paraId="4E53E3C1" w14:textId="77A6F991" w:rsidR="00285A02" w:rsidRPr="00285A02" w:rsidRDefault="00285A02" w:rsidP="00C6476C">
            <w:pPr>
              <w:spacing w:after="120"/>
              <w:jc w:val="both"/>
              <w:rPr>
                <w:rFonts w:ascii="Arial" w:hAnsi="Arial" w:cs="Arial"/>
                <w:b/>
                <w:bCs/>
                <w:i/>
                <w:u w:val="single"/>
                <w:lang w:val="en-GB"/>
              </w:rPr>
            </w:pPr>
            <w:r w:rsidRPr="00285A02">
              <w:rPr>
                <w:rFonts w:ascii="Arial" w:hAnsi="Arial" w:cs="Arial"/>
                <w:b/>
                <w:bCs/>
                <w:i/>
                <w:u w:val="single"/>
              </w:rPr>
              <w:t>Break down of the steps considered</w:t>
            </w:r>
          </w:p>
          <w:p w14:paraId="5D9C2C8F" w14:textId="77777777" w:rsidR="007049D8" w:rsidRPr="00367A92" w:rsidRDefault="007049D8" w:rsidP="007049D8">
            <w:pPr>
              <w:spacing w:after="120"/>
              <w:jc w:val="both"/>
              <w:rPr>
                <w:rFonts w:ascii="Arial" w:hAnsi="Arial" w:cs="Arial"/>
                <w:bCs/>
                <w:lang w:val="en-GB"/>
              </w:rPr>
            </w:pPr>
            <w:r w:rsidRPr="00367A92">
              <w:rPr>
                <w:rFonts w:ascii="Arial" w:hAnsi="Arial" w:cs="Arial"/>
                <w:bCs/>
                <w:lang w:val="en-GB"/>
              </w:rPr>
              <w:t>a. The search terms were evaluated based on the conversion of them to research goals, helping in choosing keywords and Boolean operators.</w:t>
            </w:r>
          </w:p>
          <w:p w14:paraId="4B665BB1" w14:textId="77777777" w:rsidR="007049D8" w:rsidRPr="00367A92" w:rsidRDefault="007049D8" w:rsidP="007049D8">
            <w:pPr>
              <w:spacing w:after="120"/>
              <w:jc w:val="both"/>
              <w:rPr>
                <w:rFonts w:ascii="Arial" w:hAnsi="Arial" w:cs="Arial"/>
                <w:bCs/>
                <w:lang w:val="en-GB"/>
              </w:rPr>
            </w:pPr>
            <w:r w:rsidRPr="00367A92">
              <w:rPr>
                <w:rFonts w:ascii="Arial" w:hAnsi="Arial" w:cs="Arial"/>
                <w:bCs/>
                <w:lang w:val="en-GB"/>
              </w:rPr>
              <w:t>b. The identified references were recorded on a Source Tracking Table (Appendix 1) by documenting the author, topic, and relevance of the resource.</w:t>
            </w:r>
          </w:p>
          <w:p w14:paraId="30D864CD" w14:textId="77777777" w:rsidR="007049D8" w:rsidRPr="00367A92" w:rsidRDefault="007049D8" w:rsidP="007049D8">
            <w:pPr>
              <w:spacing w:after="120"/>
              <w:jc w:val="both"/>
              <w:rPr>
                <w:rFonts w:ascii="Arial" w:hAnsi="Arial" w:cs="Arial"/>
                <w:bCs/>
                <w:lang w:val="en-GB"/>
              </w:rPr>
            </w:pPr>
            <w:r w:rsidRPr="00367A92">
              <w:rPr>
                <w:rFonts w:ascii="Arial" w:hAnsi="Arial" w:cs="Arial"/>
                <w:bCs/>
                <w:lang w:val="en-GB"/>
              </w:rPr>
              <w:t>c. Every resource was analysed using the CRAAP test for Currency, Relevance, Authority, Accuracy, and Purpose.</w:t>
            </w:r>
          </w:p>
          <w:p w14:paraId="789FDB98" w14:textId="77777777" w:rsidR="007049D8" w:rsidRPr="007049D8" w:rsidRDefault="007049D8" w:rsidP="007049D8">
            <w:pPr>
              <w:spacing w:after="120"/>
              <w:jc w:val="both"/>
              <w:rPr>
                <w:rFonts w:ascii="Arial" w:hAnsi="Arial" w:cs="Arial"/>
                <w:bCs/>
                <w:lang w:val="en-GB"/>
              </w:rPr>
            </w:pPr>
            <w:r w:rsidRPr="00367A92">
              <w:rPr>
                <w:rFonts w:ascii="Arial" w:hAnsi="Arial" w:cs="Arial"/>
                <w:bCs/>
                <w:lang w:val="en-GB"/>
              </w:rPr>
              <w:t>d. All screened resources were put together on a Results Summary table (Appendix 2).</w:t>
            </w:r>
          </w:p>
          <w:p w14:paraId="701333EA" w14:textId="1369D1A4" w:rsidR="0029329C" w:rsidRPr="00285A02" w:rsidRDefault="0029329C" w:rsidP="00C6476C">
            <w:pPr>
              <w:spacing w:after="120"/>
              <w:jc w:val="both"/>
              <w:rPr>
                <w:rFonts w:ascii="Arial" w:hAnsi="Arial" w:cs="Arial"/>
                <w:lang w:val="en-GB"/>
              </w:rPr>
            </w:pPr>
          </w:p>
        </w:tc>
        <w:tc>
          <w:tcPr>
            <w:tcW w:w="7391" w:type="dxa"/>
            <w:shd w:val="clear" w:color="auto" w:fill="D9E2F3" w:themeFill="accent1" w:themeFillTint="33"/>
          </w:tcPr>
          <w:p w14:paraId="54995ADA" w14:textId="428C4F05" w:rsidR="00C31D85" w:rsidRPr="00285A02" w:rsidRDefault="00C31D85" w:rsidP="00C6476C">
            <w:pPr>
              <w:rPr>
                <w:rFonts w:ascii="Arial" w:hAnsi="Arial" w:cs="Arial"/>
              </w:rPr>
            </w:pPr>
            <w:r w:rsidRPr="00285A02">
              <w:rPr>
                <w:rFonts w:ascii="Arial" w:hAnsi="Arial" w:cs="Arial"/>
                <w:b/>
                <w:bCs/>
                <w:sz w:val="40"/>
                <w:szCs w:val="40"/>
              </w:rPr>
              <w:t>04</w:t>
            </w:r>
            <w:r w:rsidR="00AB5409" w:rsidRPr="00285A02">
              <w:rPr>
                <w:rFonts w:ascii="Arial" w:hAnsi="Arial" w:cs="Arial"/>
              </w:rPr>
              <w:t xml:space="preserve"> </w:t>
            </w:r>
            <w:r w:rsidR="00AB5409" w:rsidRPr="00285A02">
              <w:rPr>
                <w:rFonts w:ascii="Arial" w:hAnsi="Arial" w:cs="Arial"/>
                <w:b/>
                <w:bCs/>
              </w:rPr>
              <w:t>Picture / Graph / Visual Aid / Statistics</w:t>
            </w:r>
            <w:r w:rsidR="00AB5409" w:rsidRPr="00285A02">
              <w:rPr>
                <w:rFonts w:ascii="Arial" w:hAnsi="Arial" w:cs="Arial"/>
              </w:rPr>
              <w:t xml:space="preserve"> </w:t>
            </w:r>
          </w:p>
          <w:p w14:paraId="13D12FB9" w14:textId="15D808E9" w:rsidR="005F7D75" w:rsidRDefault="00C6476C" w:rsidP="00C6476C">
            <w:pPr>
              <w:jc w:val="both"/>
              <w:rPr>
                <w:rFonts w:ascii="Arial" w:hAnsi="Arial" w:cs="Arial"/>
              </w:rPr>
            </w:pPr>
            <w:r>
              <w:rPr>
                <w:rFonts w:ascii="Arial" w:hAnsi="Arial" w:cs="Arial"/>
                <w:noProof/>
                <w:lang w:val="en-GB" w:eastAsia="en-GB"/>
              </w:rPr>
              <mc:AlternateContent>
                <mc:Choice Requires="wps">
                  <w:drawing>
                    <wp:anchor distT="0" distB="0" distL="114300" distR="114300" simplePos="0" relativeHeight="251662336" behindDoc="0" locked="0" layoutInCell="1" allowOverlap="1" wp14:anchorId="0B6D1081" wp14:editId="77E69ADD">
                      <wp:simplePos x="0" y="0"/>
                      <wp:positionH relativeFrom="column">
                        <wp:posOffset>1254125</wp:posOffset>
                      </wp:positionH>
                      <wp:positionV relativeFrom="paragraph">
                        <wp:posOffset>1426210</wp:posOffset>
                      </wp:positionV>
                      <wp:extent cx="1581150" cy="295275"/>
                      <wp:effectExtent l="0" t="0" r="0" b="0"/>
                      <wp:wrapNone/>
                      <wp:docPr id="5" name="Text Box 5"/>
                      <wp:cNvGraphicFramePr/>
                      <a:graphic xmlns:a="http://schemas.openxmlformats.org/drawingml/2006/main">
                        <a:graphicData uri="http://schemas.microsoft.com/office/word/2010/wordprocessingShape">
                          <wps:wsp>
                            <wps:cNvSpPr txBox="1"/>
                            <wps:spPr>
                              <a:xfrm>
                                <a:off x="0" y="0"/>
                                <a:ext cx="1581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00853" w14:textId="77777777" w:rsidR="00C6476C" w:rsidRPr="004E2BD1" w:rsidRDefault="00C6476C" w:rsidP="00C6476C">
                                  <w:pPr>
                                    <w:rPr>
                                      <w:rFonts w:ascii="Arial" w:hAnsi="Arial" w:cs="Arial"/>
                                      <w:sz w:val="16"/>
                                    </w:rPr>
                                  </w:pPr>
                                  <w:r w:rsidRPr="004E2BD1">
                                    <w:rPr>
                                      <w:rFonts w:ascii="Arial" w:hAnsi="Arial" w:cs="Arial"/>
                                      <w:sz w:val="16"/>
                                    </w:rPr>
                                    <w:t>Source: NHS England,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6D1081" id="_x0000_t202" coordsize="21600,21600" o:spt="202" path="m,l,21600r21600,l21600,xe">
                      <v:stroke joinstyle="miter"/>
                      <v:path gradientshapeok="t" o:connecttype="rect"/>
                    </v:shapetype>
                    <v:shape id="Text Box 5" o:spid="_x0000_s1026" type="#_x0000_t202" style="position:absolute;left:0;text-align:left;margin-left:98.75pt;margin-top:112.3pt;width:124.5pt;height:23.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XVZgIAAD0FAAAOAAAAZHJzL2Uyb0RvYy54bWysVEtvGyEQvlfqf0Dcm7VdOw/L68hN5KpS&#10;lER1qpwxC/aqLENh7F3313dg14+6vaTqBQbmm495MrltKsO2yocSbM77Fz3OlJVQlHaV828v8w/X&#10;nAUUthAGrMr5TgV+O33/blK7sRrAGkyhPCMSG8a1y/ka0Y2zLMi1qkS4AKcsKTX4SiAd/SorvKiJ&#10;vTLZoNe7zGrwhfMgVQh0e98q+TTxa60kPmkdFDKTc/IN0+rTuoxrNp2I8coLty5l54b4By8qUVp6&#10;9EB1L1CwjS//oKpK6SGAxgsJVQZal1KlGCiafu8smsVaOJVioeQEd0hT+H+08nG7cM+eYfMJGipg&#10;TEjtwjjQZYyn0b6KO3nKSE8p3B3SphpkMhqNrvv9Eakk6QY3o8HVKNJkR2vnA35WULEo5NxTWVK2&#10;xPYhYAvdQ+JjFualMak0xrI655cfif43DZEbG29UKnJHc/Q8SbgzKmKM/ao0K4sUQLxI7aXujGdb&#10;QY0hpFQWU+yJl9ARpcmJtxh2+KNXbzFu49i/DBYPxlVpwafoz9wuvu9d1i2ecn4SdxSxWTZdRZdQ&#10;7KjQHtoZCE7OS6rGgwj4LDw1PRWQBhmfaNEGKOvQSZytwf/8233EUy+SlrOahijn4cdGeMWZ+WKp&#10;S2/6w2GcunQYjq4GdPCnmuWpxm6qO6By9OnLcDKJEY9mL2oP1SvN+yy+SiphJb2dc9yLd9iONv0X&#10;Us1mCURz5gQ+2IWTkTpWJ/baS/MqvOsaEqmVH2E/bmJ81pctNlpamG0QdJmaNia4zWqXeJrR1Pbd&#10;fxI/gdNzQh1/vekvAAAA//8DAFBLAwQUAAYACAAAACEAbmWSJ+IAAAALAQAADwAAAGRycy9kb3du&#10;cmV2LnhtbEyPzU7DMBCE70i8g7VI3KiTKE1LGqeqIlVICA4tvXDbxG4S1T8hdtvA07OcynFmP83O&#10;FOvJaHZRo++dFRDPImDKNk72thVw+Ng+LYH5gFaidlYJ+FYe1uX9XYG5dFe7U5d9aBmFWJ+jgC6E&#10;IefcN50y6GduUJZuRzcaDCTHlssRrxRuNE+iKOMGe0sfOhxU1anmtD8bAa/V9h13dWKWP7p6eTtu&#10;hq/D51yIx4dpswIW1BRuMPzVp+pQUqfana30TJN+XswJFZAkaQaMiDTNyKnJWcQx8LLg/zeUvwAA&#10;AP//AwBQSwECLQAUAAYACAAAACEAtoM4kv4AAADhAQAAEwAAAAAAAAAAAAAAAAAAAAAAW0NvbnRl&#10;bnRfVHlwZXNdLnhtbFBLAQItABQABgAIAAAAIQA4/SH/1gAAAJQBAAALAAAAAAAAAAAAAAAAAC8B&#10;AABfcmVscy8ucmVsc1BLAQItABQABgAIAAAAIQDBEbXVZgIAAD0FAAAOAAAAAAAAAAAAAAAAAC4C&#10;AABkcnMvZTJvRG9jLnhtbFBLAQItABQABgAIAAAAIQBuZZIn4gAAAAsBAAAPAAAAAAAAAAAAAAAA&#10;AMAEAABkcnMvZG93bnJldi54bWxQSwUGAAAAAAQABADzAAAAzwUAAAAA&#10;" filled="f" stroked="f" strokeweight=".5pt">
                      <v:textbox>
                        <w:txbxContent>
                          <w:p w14:paraId="71A00853" w14:textId="77777777" w:rsidR="00C6476C" w:rsidRPr="004E2BD1" w:rsidRDefault="00C6476C" w:rsidP="00C6476C">
                            <w:pPr>
                              <w:rPr>
                                <w:rFonts w:ascii="Arial" w:hAnsi="Arial" w:cs="Arial"/>
                                <w:sz w:val="16"/>
                              </w:rPr>
                            </w:pPr>
                            <w:r w:rsidRPr="004E2BD1">
                              <w:rPr>
                                <w:rFonts w:ascii="Arial" w:hAnsi="Arial" w:cs="Arial"/>
                                <w:sz w:val="16"/>
                              </w:rPr>
                              <w:t>Source: NHS England, 2026</w:t>
                            </w:r>
                          </w:p>
                        </w:txbxContent>
                      </v:textbox>
                    </v:shape>
                  </w:pict>
                </mc:Fallback>
              </mc:AlternateContent>
            </w:r>
            <w:r>
              <w:rPr>
                <w:noProof/>
                <w:lang w:val="en-GB" w:eastAsia="en-GB"/>
              </w:rPr>
              <w:drawing>
                <wp:anchor distT="0" distB="0" distL="114300" distR="114300" simplePos="0" relativeHeight="251660288" behindDoc="0" locked="0" layoutInCell="1" allowOverlap="1" wp14:anchorId="4A193D8C" wp14:editId="5985E6D2">
                  <wp:simplePos x="0" y="0"/>
                  <wp:positionH relativeFrom="column">
                    <wp:posOffset>2245995</wp:posOffset>
                  </wp:positionH>
                  <wp:positionV relativeFrom="paragraph">
                    <wp:posOffset>22225</wp:posOffset>
                  </wp:positionV>
                  <wp:extent cx="1984375" cy="1216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4375" cy="1216660"/>
                          </a:xfrm>
                          <a:prstGeom prst="rect">
                            <a:avLst/>
                          </a:prstGeom>
                        </pic:spPr>
                      </pic:pic>
                    </a:graphicData>
                  </a:graphic>
                  <wp14:sizeRelH relativeFrom="margin">
                    <wp14:pctWidth>0</wp14:pctWidth>
                  </wp14:sizeRelH>
                  <wp14:sizeRelV relativeFrom="margin">
                    <wp14:pctHeight>0</wp14:pctHeight>
                  </wp14:sizeRelV>
                </wp:anchor>
              </w:drawing>
            </w:r>
            <w:r w:rsidR="00D8245C">
              <w:rPr>
                <w:noProof/>
                <w:lang w:val="en-GB" w:eastAsia="en-GB"/>
              </w:rPr>
              <w:drawing>
                <wp:inline distT="0" distB="0" distL="0" distR="0" wp14:anchorId="78A19E4E" wp14:editId="2C9FB9F2">
                  <wp:extent cx="2028825" cy="1236119"/>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43734" cy="1245203"/>
                          </a:xfrm>
                          <a:prstGeom prst="rect">
                            <a:avLst/>
                          </a:prstGeom>
                        </pic:spPr>
                      </pic:pic>
                    </a:graphicData>
                  </a:graphic>
                </wp:inline>
              </w:drawing>
            </w:r>
          </w:p>
          <w:p w14:paraId="2BBB997C" w14:textId="55EE7FCD" w:rsidR="004E2BD1" w:rsidRPr="00285A02" w:rsidRDefault="007049D8" w:rsidP="00C6476C">
            <w:pPr>
              <w:jc w:val="both"/>
              <w:rPr>
                <w:rFonts w:ascii="Arial" w:hAnsi="Arial" w:cs="Arial"/>
              </w:rPr>
            </w:pPr>
            <w:r>
              <w:rPr>
                <w:noProof/>
                <w:lang w:eastAsia="en-GB"/>
              </w:rPr>
              <w:lastRenderedPageBreak/>
              <w:drawing>
                <wp:inline distT="0" distB="0" distL="0" distR="0" wp14:anchorId="1601AD06" wp14:editId="2470A8C1">
                  <wp:extent cx="2934269" cy="32850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grayscl/>
                            <a:extLst>
                              <a:ext uri="{28A0092B-C50C-407E-A947-70E740481C1C}">
                                <a14:useLocalDpi xmlns:a14="http://schemas.microsoft.com/office/drawing/2010/main" val="0"/>
                              </a:ext>
                            </a:extLst>
                          </a:blip>
                          <a:stretch>
                            <a:fillRect/>
                          </a:stretch>
                        </pic:blipFill>
                        <pic:spPr>
                          <a:xfrm>
                            <a:off x="0" y="0"/>
                            <a:ext cx="2934269" cy="3285033"/>
                          </a:xfrm>
                          <a:prstGeom prst="rect">
                            <a:avLst/>
                          </a:prstGeom>
                        </pic:spPr>
                      </pic:pic>
                    </a:graphicData>
                  </a:graphic>
                </wp:inline>
              </w:drawing>
            </w:r>
          </w:p>
        </w:tc>
      </w:tr>
      <w:tr w:rsidR="00C31D85" w:rsidRPr="00285A02" w14:paraId="71279A0E" w14:textId="77777777" w:rsidTr="004E2BD1">
        <w:trPr>
          <w:trHeight w:val="983"/>
        </w:trPr>
        <w:tc>
          <w:tcPr>
            <w:tcW w:w="14616" w:type="dxa"/>
            <w:gridSpan w:val="2"/>
            <w:shd w:val="clear" w:color="auto" w:fill="FFF2CC" w:themeFill="accent4" w:themeFillTint="33"/>
          </w:tcPr>
          <w:p w14:paraId="559B5E23" w14:textId="77777777" w:rsidR="00C31D85" w:rsidRPr="00285A02" w:rsidRDefault="00C31D85" w:rsidP="00C6476C">
            <w:pPr>
              <w:spacing w:after="0"/>
              <w:jc w:val="center"/>
              <w:rPr>
                <w:rFonts w:ascii="Arial" w:hAnsi="Arial" w:cs="Arial"/>
                <w:b/>
                <w:bCs/>
              </w:rPr>
            </w:pPr>
            <w:r w:rsidRPr="00285A02">
              <w:rPr>
                <w:rFonts w:ascii="Arial" w:hAnsi="Arial" w:cs="Arial"/>
                <w:b/>
                <w:bCs/>
                <w:sz w:val="40"/>
                <w:szCs w:val="40"/>
              </w:rPr>
              <w:lastRenderedPageBreak/>
              <w:t>05</w:t>
            </w:r>
            <w:r w:rsidR="00AB5409" w:rsidRPr="00285A02">
              <w:rPr>
                <w:rFonts w:ascii="Arial" w:hAnsi="Arial" w:cs="Arial"/>
              </w:rPr>
              <w:t xml:space="preserve"> </w:t>
            </w:r>
            <w:r w:rsidR="00AB5409" w:rsidRPr="00285A02">
              <w:rPr>
                <w:rFonts w:ascii="Arial" w:hAnsi="Arial" w:cs="Arial"/>
                <w:b/>
                <w:bCs/>
              </w:rPr>
              <w:t>Research Validation and Analysis</w:t>
            </w:r>
          </w:p>
          <w:p w14:paraId="00EABA54" w14:textId="228C85E7" w:rsidR="00285A02" w:rsidRPr="00285A02" w:rsidRDefault="00285A02" w:rsidP="00C6476C">
            <w:pPr>
              <w:spacing w:after="0"/>
              <w:jc w:val="both"/>
              <w:rPr>
                <w:rFonts w:ascii="Arial" w:hAnsi="Arial" w:cs="Arial"/>
                <w:lang w:val="en-GB"/>
              </w:rPr>
            </w:pPr>
            <w:r w:rsidRPr="00367A92">
              <w:rPr>
                <w:rFonts w:ascii="Arial" w:hAnsi="Arial" w:cs="Arial"/>
                <w:b/>
                <w:bCs/>
                <w:i/>
                <w:iCs/>
                <w:u w:val="single"/>
                <w:lang w:val="en-GB"/>
              </w:rPr>
              <w:t>Definition of validation:</w:t>
            </w:r>
            <w:r w:rsidRPr="00367A92">
              <w:rPr>
                <w:rFonts w:ascii="Arial" w:hAnsi="Arial" w:cs="Arial"/>
                <w:b/>
                <w:bCs/>
                <w:lang w:val="en-GB"/>
              </w:rPr>
              <w:t xml:space="preserve"> </w:t>
            </w:r>
            <w:r w:rsidR="00F02845" w:rsidRPr="00367A92">
              <w:rPr>
                <w:rFonts w:ascii="Arial" w:hAnsi="Arial" w:cs="Arial"/>
                <w:bCs/>
                <w:lang w:val="en-GB"/>
              </w:rPr>
              <w:t>The CRAAP test was conducted on all the sources that had been identified during this evaluation. This process involved evaluating the sources based on currency, relevance, authority, accuracy, and purpose. The sources that satisfied these criteria were retained while the rest were disposed of</w:t>
            </w:r>
            <w:r w:rsidR="00F02845" w:rsidRPr="00367A92">
              <w:rPr>
                <w:rFonts w:ascii="Arial" w:hAnsi="Arial" w:cs="Arial"/>
                <w:b/>
                <w:bCs/>
                <w:lang w:val="en-GB"/>
              </w:rPr>
              <w:t xml:space="preserve"> </w:t>
            </w:r>
            <w:r w:rsidR="00F02845" w:rsidRPr="00367A92">
              <w:rPr>
                <w:rFonts w:ascii="Arial" w:hAnsi="Arial" w:cs="Arial"/>
                <w:lang w:val="en-GB"/>
              </w:rPr>
              <w:t xml:space="preserve">(Shaheen </w:t>
            </w:r>
            <w:r w:rsidR="00F02845" w:rsidRPr="00367A92">
              <w:rPr>
                <w:rFonts w:ascii="Arial" w:hAnsi="Arial" w:cs="Arial"/>
                <w:i/>
                <w:iCs/>
                <w:lang w:val="en-GB"/>
              </w:rPr>
              <w:t>et al</w:t>
            </w:r>
            <w:r w:rsidR="00F02845" w:rsidRPr="00367A92">
              <w:rPr>
                <w:rFonts w:ascii="Arial" w:hAnsi="Arial" w:cs="Arial"/>
                <w:lang w:val="en-GB"/>
              </w:rPr>
              <w:t>., 2023).</w:t>
            </w:r>
          </w:p>
          <w:p w14:paraId="47FAE8F4" w14:textId="77777777" w:rsidR="00285A02" w:rsidRPr="00285A02" w:rsidRDefault="00285A02" w:rsidP="00C6476C">
            <w:pPr>
              <w:spacing w:after="0"/>
              <w:jc w:val="both"/>
              <w:rPr>
                <w:rFonts w:ascii="Arial" w:hAnsi="Arial" w:cs="Arial"/>
                <w:lang w:val="en-GB"/>
              </w:rPr>
            </w:pPr>
            <w:r w:rsidRPr="00285A02">
              <w:rPr>
                <w:rFonts w:ascii="Arial" w:hAnsi="Arial" w:cs="Arial"/>
                <w:b/>
                <w:bCs/>
                <w:i/>
                <w:iCs/>
                <w:u w:val="single"/>
                <w:lang w:val="en-GB"/>
              </w:rPr>
              <w:t>Credibility and Reliability of importance:</w:t>
            </w:r>
            <w:r w:rsidRPr="00285A02">
              <w:rPr>
                <w:rFonts w:ascii="Arial" w:hAnsi="Arial" w:cs="Arial"/>
                <w:lang w:val="en-GB"/>
              </w:rPr>
              <w:t xml:space="preserve"> Healthy academic integrity ensures credible and reliable information, valid conclusions, minimises bias, increases the transparency of the research, boosts trust in the readers, and enhances the overall quality of the dissertation in a remarkable way (</w:t>
            </w:r>
            <w:proofErr w:type="spellStart"/>
            <w:r w:rsidRPr="00285A02">
              <w:rPr>
                <w:rFonts w:ascii="Arial" w:hAnsi="Arial" w:cs="Arial"/>
                <w:lang w:val="en-GB"/>
              </w:rPr>
              <w:t>Zhaksylyk</w:t>
            </w:r>
            <w:proofErr w:type="spellEnd"/>
            <w:r w:rsidRPr="00285A02">
              <w:rPr>
                <w:rFonts w:ascii="Arial" w:hAnsi="Arial" w:cs="Arial"/>
                <w:lang w:val="en-GB"/>
              </w:rPr>
              <w:t xml:space="preserve"> et al., 2023).</w:t>
            </w:r>
          </w:p>
          <w:p w14:paraId="12C9B6E2" w14:textId="77777777" w:rsidR="00285A02" w:rsidRDefault="00285A02" w:rsidP="00C6476C">
            <w:pPr>
              <w:spacing w:after="0"/>
              <w:jc w:val="both"/>
              <w:rPr>
                <w:rFonts w:ascii="Arial" w:hAnsi="Arial" w:cs="Arial"/>
                <w:lang w:val="en-GB"/>
              </w:rPr>
            </w:pPr>
            <w:r w:rsidRPr="00285A02">
              <w:rPr>
                <w:rFonts w:ascii="Arial" w:hAnsi="Arial" w:cs="Arial"/>
                <w:b/>
                <w:bCs/>
                <w:i/>
                <w:iCs/>
                <w:u w:val="single"/>
                <w:lang w:val="en-GB"/>
              </w:rPr>
              <w:t>Benefits and limitations:</w:t>
            </w:r>
            <w:r w:rsidRPr="00285A02">
              <w:rPr>
                <w:rFonts w:ascii="Arial" w:hAnsi="Arial" w:cs="Arial"/>
                <w:lang w:val="en-GB"/>
              </w:rPr>
              <w:t xml:space="preserve"> Credible sources make arguments stronger, accurate, add more confidence and scholarly rigour and require relying on them which limits the range of views, blocks future studies, and is more time-consuming (Lim, 2024).</w:t>
            </w:r>
          </w:p>
          <w:p w14:paraId="7454B819" w14:textId="4F38329C" w:rsidR="00516CC0" w:rsidRPr="00F02845" w:rsidRDefault="00F02845" w:rsidP="00C6476C">
            <w:pPr>
              <w:spacing w:after="0"/>
              <w:jc w:val="both"/>
              <w:rPr>
                <w:rFonts w:ascii="Arial" w:hAnsi="Arial" w:cs="Arial"/>
                <w:lang w:val="en-GB"/>
              </w:rPr>
            </w:pPr>
            <w:r w:rsidRPr="00367A92">
              <w:rPr>
                <w:rFonts w:ascii="Arial" w:hAnsi="Arial" w:cs="Arial"/>
                <w:b/>
                <w:i/>
                <w:u w:val="single"/>
                <w:lang w:val="en-GB"/>
              </w:rPr>
              <w:t>Explanation of Drawing themes:</w:t>
            </w:r>
            <w:r w:rsidRPr="00367A92">
              <w:rPr>
                <w:rFonts w:ascii="Arial" w:hAnsi="Arial" w:cs="Arial"/>
                <w:lang w:val="en-GB"/>
              </w:rPr>
              <w:t xml:space="preserve"> Codes formed groups based on four themes including policy integration, care relationships, operational restrictions, and institutional readiness, described in the Result Summary table referring to the appendix section in the assignment. The application of the Braun and Clarke model to analyse the theme generation from the Boolean Coding was applied for gaining </w:t>
            </w:r>
            <w:r w:rsidRPr="00F02845">
              <w:rPr>
                <w:rFonts w:ascii="Arial" w:hAnsi="Arial" w:cs="Arial"/>
                <w:highlight w:val="yellow"/>
                <w:lang w:val="en-GB"/>
              </w:rPr>
              <w:t>f</w:t>
            </w:r>
            <w:r w:rsidRPr="00367A92">
              <w:rPr>
                <w:rFonts w:ascii="Arial" w:hAnsi="Arial" w:cs="Arial"/>
                <w:lang w:val="en-GB"/>
              </w:rPr>
              <w:t>easibilit</w:t>
            </w:r>
            <w:r w:rsidRPr="00367A92">
              <w:rPr>
                <w:rFonts w:ascii="Arial" w:hAnsi="Arial" w:cs="Arial"/>
                <w:highlight w:val="yellow"/>
                <w:lang w:val="en-GB"/>
              </w:rPr>
              <w:t>y</w:t>
            </w:r>
            <w:r w:rsidRPr="00367A92">
              <w:rPr>
                <w:rFonts w:ascii="Arial" w:hAnsi="Arial" w:cs="Arial"/>
                <w:lang w:val="en-GB"/>
              </w:rPr>
              <w:t xml:space="preserve"> in the research process</w:t>
            </w:r>
            <w:r w:rsidRPr="00F02845">
              <w:rPr>
                <w:rFonts w:ascii="Arial" w:hAnsi="Arial" w:cs="Arial"/>
                <w:highlight w:val="yellow"/>
                <w:lang w:val="en-GB"/>
              </w:rPr>
              <w:t>.</w:t>
            </w:r>
          </w:p>
        </w:tc>
      </w:tr>
      <w:tr w:rsidR="002751F3" w:rsidRPr="00285A02" w14:paraId="1159AF67" w14:textId="77777777" w:rsidTr="004E2BD1">
        <w:trPr>
          <w:trHeight w:val="841"/>
        </w:trPr>
        <w:tc>
          <w:tcPr>
            <w:tcW w:w="7225" w:type="dxa"/>
            <w:shd w:val="clear" w:color="auto" w:fill="FBE4D5" w:themeFill="accent2" w:themeFillTint="33"/>
          </w:tcPr>
          <w:p w14:paraId="398EE9B0" w14:textId="77777777" w:rsidR="00AB5409" w:rsidRPr="00285A02" w:rsidRDefault="00AB5409" w:rsidP="00C6476C">
            <w:pPr>
              <w:rPr>
                <w:rFonts w:ascii="Arial" w:hAnsi="Arial" w:cs="Arial"/>
              </w:rPr>
            </w:pPr>
            <w:r w:rsidRPr="00285A02">
              <w:rPr>
                <w:rFonts w:ascii="Arial" w:hAnsi="Arial" w:cs="Arial"/>
                <w:b/>
                <w:bCs/>
                <w:sz w:val="40"/>
                <w:szCs w:val="40"/>
              </w:rPr>
              <w:t>06</w:t>
            </w:r>
            <w:r w:rsidRPr="00285A02">
              <w:rPr>
                <w:rFonts w:ascii="Arial" w:hAnsi="Arial" w:cs="Arial"/>
              </w:rPr>
              <w:t xml:space="preserve"> </w:t>
            </w:r>
            <w:r w:rsidRPr="00285A02">
              <w:rPr>
                <w:rFonts w:ascii="Arial" w:hAnsi="Arial" w:cs="Arial"/>
                <w:b/>
                <w:bCs/>
              </w:rPr>
              <w:t>Inclusion Criteria</w:t>
            </w:r>
            <w:r w:rsidRPr="00285A02">
              <w:rPr>
                <w:rFonts w:ascii="Arial" w:hAnsi="Arial" w:cs="Arial"/>
              </w:rPr>
              <w:t xml:space="preserve"> </w:t>
            </w:r>
          </w:p>
          <w:p w14:paraId="00628477" w14:textId="7ABAEF3A" w:rsidR="00516CC0" w:rsidRPr="00285A02" w:rsidRDefault="00285A02" w:rsidP="00C6476C">
            <w:pPr>
              <w:contextualSpacing/>
              <w:jc w:val="both"/>
              <w:rPr>
                <w:rFonts w:ascii="Arial" w:hAnsi="Arial" w:cs="Arial"/>
                <w:bCs/>
                <w:color w:val="FF0000"/>
                <w:lang w:val="en-GB"/>
              </w:rPr>
            </w:pPr>
            <w:r w:rsidRPr="00285A02">
              <w:rPr>
                <w:rFonts w:ascii="Arial" w:hAnsi="Arial" w:cs="Arial"/>
                <w:bCs/>
                <w:color w:val="000000" w:themeColor="text1"/>
                <w:lang w:val="en-GB"/>
              </w:rPr>
              <w:t>The research will involve 10 sources, peer-reviewed scholarly research papers, NHS reports, and documents of healthcare policies in the UK that have been published within the past 5 years. The literature on AI-assisted triage tools, mental health intervention related to dementia, IAPT frameworks and NHS organisational background were given priority. </w:t>
            </w:r>
          </w:p>
        </w:tc>
        <w:tc>
          <w:tcPr>
            <w:tcW w:w="7391" w:type="dxa"/>
            <w:shd w:val="clear" w:color="auto" w:fill="E2EFD9" w:themeFill="accent6" w:themeFillTint="33"/>
          </w:tcPr>
          <w:p w14:paraId="51867809" w14:textId="77777777" w:rsidR="00AB5409" w:rsidRPr="00285A02" w:rsidRDefault="00AB5409" w:rsidP="00C6476C">
            <w:pPr>
              <w:rPr>
                <w:rFonts w:ascii="Arial" w:hAnsi="Arial" w:cs="Arial"/>
              </w:rPr>
            </w:pPr>
            <w:r w:rsidRPr="00285A02">
              <w:rPr>
                <w:rFonts w:ascii="Arial" w:hAnsi="Arial" w:cs="Arial"/>
                <w:b/>
                <w:bCs/>
                <w:sz w:val="40"/>
                <w:szCs w:val="40"/>
              </w:rPr>
              <w:t>07</w:t>
            </w:r>
            <w:r w:rsidRPr="00285A02">
              <w:rPr>
                <w:rFonts w:ascii="Arial" w:hAnsi="Arial" w:cs="Arial"/>
              </w:rPr>
              <w:t xml:space="preserve"> </w:t>
            </w:r>
            <w:r w:rsidRPr="00285A02">
              <w:rPr>
                <w:rFonts w:ascii="Arial" w:hAnsi="Arial" w:cs="Arial"/>
                <w:b/>
                <w:bCs/>
              </w:rPr>
              <w:t>Exclusion Criteria</w:t>
            </w:r>
            <w:r w:rsidRPr="00285A02">
              <w:rPr>
                <w:rFonts w:ascii="Arial" w:hAnsi="Arial" w:cs="Arial"/>
              </w:rPr>
              <w:t xml:space="preserve"> </w:t>
            </w:r>
          </w:p>
          <w:p w14:paraId="253F8839" w14:textId="086762C9" w:rsidR="00516CC0" w:rsidRPr="00285A02" w:rsidRDefault="00285A02" w:rsidP="00C6476C">
            <w:pPr>
              <w:contextualSpacing/>
              <w:jc w:val="both"/>
              <w:rPr>
                <w:rFonts w:ascii="Arial" w:hAnsi="Arial" w:cs="Arial"/>
                <w:color w:val="000000" w:themeColor="text1"/>
              </w:rPr>
            </w:pPr>
            <w:r w:rsidRPr="00285A02">
              <w:rPr>
                <w:rFonts w:ascii="Arial" w:hAnsi="Arial" w:cs="Arial"/>
                <w:color w:val="000000" w:themeColor="text1"/>
              </w:rPr>
              <w:t xml:space="preserve">The research will also disqualify 10 sources, the excluded materials will be </w:t>
            </w:r>
            <w:r w:rsidR="00C6476C" w:rsidRPr="00285A02">
              <w:rPr>
                <w:rFonts w:ascii="Arial" w:hAnsi="Arial" w:cs="Arial"/>
                <w:color w:val="000000" w:themeColor="text1"/>
              </w:rPr>
              <w:t>outdated</w:t>
            </w:r>
            <w:r w:rsidRPr="00285A02">
              <w:rPr>
                <w:rFonts w:ascii="Arial" w:hAnsi="Arial" w:cs="Arial"/>
                <w:color w:val="000000" w:themeColor="text1"/>
              </w:rPr>
              <w:t xml:space="preserve"> publications older than 5 years, non-essential theoretically, non-UK healthcare research, lack of empirical evidence articles, sources that are not in full text. The research that had no relation to mental health triage or dementia care pathways were also eliminated to ensure conceptual consistency with the research objectives.</w:t>
            </w:r>
          </w:p>
        </w:tc>
      </w:tr>
      <w:tr w:rsidR="00C31D85" w:rsidRPr="00285A02" w14:paraId="583C9C87" w14:textId="77777777" w:rsidTr="005B286E">
        <w:trPr>
          <w:trHeight w:val="1798"/>
        </w:trPr>
        <w:tc>
          <w:tcPr>
            <w:tcW w:w="14616" w:type="dxa"/>
            <w:gridSpan w:val="2"/>
            <w:tcBorders>
              <w:bottom w:val="nil"/>
            </w:tcBorders>
            <w:shd w:val="clear" w:color="auto" w:fill="FFF2CC" w:themeFill="accent4" w:themeFillTint="33"/>
          </w:tcPr>
          <w:p w14:paraId="44C8BC9D" w14:textId="77777777" w:rsidR="00C31D85" w:rsidRDefault="00C31D85" w:rsidP="00C6476C">
            <w:pPr>
              <w:jc w:val="center"/>
              <w:rPr>
                <w:rFonts w:ascii="Arial" w:hAnsi="Arial" w:cs="Arial"/>
                <w:b/>
                <w:bCs/>
              </w:rPr>
            </w:pPr>
            <w:r w:rsidRPr="00285A02">
              <w:rPr>
                <w:rFonts w:ascii="Arial" w:hAnsi="Arial" w:cs="Arial"/>
                <w:b/>
                <w:bCs/>
                <w:sz w:val="40"/>
                <w:szCs w:val="40"/>
              </w:rPr>
              <w:lastRenderedPageBreak/>
              <w:t>0</w:t>
            </w:r>
            <w:r w:rsidR="00AB5409" w:rsidRPr="00285A02">
              <w:rPr>
                <w:rFonts w:ascii="Arial" w:hAnsi="Arial" w:cs="Arial"/>
                <w:b/>
                <w:bCs/>
                <w:sz w:val="40"/>
                <w:szCs w:val="40"/>
              </w:rPr>
              <w:t>8</w:t>
            </w:r>
            <w:r w:rsidR="00AB5409" w:rsidRPr="00285A02">
              <w:rPr>
                <w:rFonts w:ascii="Arial" w:hAnsi="Arial" w:cs="Arial"/>
              </w:rPr>
              <w:t xml:space="preserve"> </w:t>
            </w:r>
            <w:r w:rsidR="00AB5409" w:rsidRPr="00285A02">
              <w:rPr>
                <w:rFonts w:ascii="Arial" w:hAnsi="Arial" w:cs="Arial"/>
                <w:b/>
                <w:bCs/>
              </w:rPr>
              <w:t>Ethical Considerations</w:t>
            </w:r>
          </w:p>
          <w:p w14:paraId="393F9F3B" w14:textId="64BBBC4D" w:rsidR="0034638E" w:rsidRPr="0034638E" w:rsidRDefault="0034638E" w:rsidP="00C6476C">
            <w:pPr>
              <w:rPr>
                <w:rFonts w:ascii="Arial" w:hAnsi="Arial" w:cs="Arial"/>
                <w:bCs/>
                <w:lang w:val="en-GB"/>
              </w:rPr>
            </w:pPr>
            <w:r w:rsidRPr="0034638E">
              <w:rPr>
                <w:rFonts w:ascii="Arial" w:hAnsi="Arial" w:cs="Arial"/>
                <w:bCs/>
                <w:lang w:val="en-GB"/>
              </w:rPr>
              <w:t>In secondary research, some of the ethical challenges include an accountable treatment of pre-existing data and upholding academic honesty and openness. Other ethical behaviours included proper references, objective analysis of findings, and avoidance of plagiarism and attentive representation of the information on the dementia patient (David et al., 2024).</w:t>
            </w:r>
          </w:p>
          <w:p w14:paraId="004AD4AC" w14:textId="77777777" w:rsidR="0034638E" w:rsidRDefault="008C1616" w:rsidP="00C6476C">
            <w:pPr>
              <w:rPr>
                <w:rFonts w:ascii="Arial" w:eastAsia="Times New Roman" w:hAnsi="Arial" w:cs="Arial"/>
                <w:color w:val="222222"/>
                <w:sz w:val="24"/>
                <w:szCs w:val="24"/>
                <w:lang w:val="en-GB" w:eastAsia="en-GB"/>
              </w:rPr>
            </w:pPr>
            <w:r w:rsidRPr="00285A02">
              <w:rPr>
                <w:rFonts w:ascii="Arial" w:hAnsi="Arial" w:cs="Arial"/>
                <w:noProof/>
                <w:lang w:val="en-GB" w:eastAsia="en-GB"/>
              </w:rPr>
              <w:drawing>
                <wp:inline distT="0" distB="0" distL="0" distR="0" wp14:anchorId="7F4D7F16" wp14:editId="090A9A29">
                  <wp:extent cx="8886825" cy="2124075"/>
                  <wp:effectExtent l="19050" t="0" r="9525" b="0"/>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sidR="00285A02" w:rsidRPr="00285A02">
              <w:rPr>
                <w:rFonts w:ascii="Arial" w:eastAsia="Times New Roman" w:hAnsi="Arial" w:cs="Arial"/>
                <w:color w:val="222222"/>
                <w:sz w:val="24"/>
                <w:szCs w:val="24"/>
                <w:lang w:val="en-GB" w:eastAsia="en-GB"/>
              </w:rPr>
              <w:t xml:space="preserve"> </w:t>
            </w:r>
          </w:p>
          <w:p w14:paraId="28D04039" w14:textId="187C19B3" w:rsidR="00F52F83" w:rsidRPr="00285A02" w:rsidRDefault="00F52F83" w:rsidP="00C6476C">
            <w:pPr>
              <w:rPr>
                <w:rFonts w:ascii="Arial" w:hAnsi="Arial" w:cs="Arial"/>
                <w:lang w:val="en-GB"/>
              </w:rPr>
            </w:pPr>
          </w:p>
        </w:tc>
      </w:tr>
    </w:tbl>
    <w:p w14:paraId="53F82A21" w14:textId="77777777" w:rsidR="00C31D85" w:rsidRPr="00285A02" w:rsidRDefault="00C31D85" w:rsidP="00C6476C">
      <w:pPr>
        <w:rPr>
          <w:rFonts w:ascii="Arial" w:hAnsi="Arial" w:cs="Arial"/>
        </w:rPr>
        <w:sectPr w:rsidR="00C31D85" w:rsidRPr="00285A02" w:rsidSect="00C31D85">
          <w:pgSz w:w="15840" w:h="12240" w:orient="landscape" w:code="1"/>
          <w:pgMar w:top="720" w:right="720" w:bottom="576" w:left="720" w:header="432" w:footer="288" w:gutter="0"/>
          <w:cols w:space="720"/>
          <w:titlePg/>
          <w:docGrid w:linePitch="360"/>
        </w:sectPr>
      </w:pPr>
    </w:p>
    <w:p w14:paraId="364E780A" w14:textId="53E72601" w:rsidR="00EB6F36" w:rsidRPr="00BA2394" w:rsidRDefault="00ED1049" w:rsidP="00C6476C">
      <w:pPr>
        <w:rPr>
          <w:rFonts w:ascii="Arial" w:hAnsi="Arial" w:cs="Arial"/>
        </w:rPr>
      </w:pPr>
      <w:r w:rsidRPr="00285A02">
        <w:rPr>
          <w:rFonts w:ascii="Arial" w:hAnsi="Arial" w:cs="Arial"/>
          <w:b/>
          <w:bCs/>
          <w:sz w:val="28"/>
          <w:szCs w:val="28"/>
        </w:rPr>
        <w:lastRenderedPageBreak/>
        <w:t>References</w:t>
      </w:r>
    </w:p>
    <w:p w14:paraId="6E1F96F5" w14:textId="77777777" w:rsidR="004E2BD1" w:rsidRPr="004E2BD1" w:rsidRDefault="004E2BD1" w:rsidP="008213A7">
      <w:pPr>
        <w:jc w:val="both"/>
        <w:rPr>
          <w:rFonts w:ascii="Arial" w:hAnsi="Arial" w:cs="Arial"/>
          <w:szCs w:val="24"/>
          <w:lang w:val="en-GB"/>
        </w:rPr>
      </w:pPr>
      <w:r w:rsidRPr="004E2BD1">
        <w:rPr>
          <w:rFonts w:ascii="Arial" w:hAnsi="Arial" w:cs="Arial"/>
          <w:szCs w:val="24"/>
          <w:lang w:val="en-GB"/>
        </w:rPr>
        <w:t xml:space="preserve">Chigbu, U.E., Atiku, S.O. and Du Plessis, C.C. (2023) ‘The Science of Literature Reviews: Searching, Identifying, Selecting, and Synthesising’, </w:t>
      </w:r>
      <w:r w:rsidRPr="004E2BD1">
        <w:rPr>
          <w:rFonts w:ascii="Arial" w:hAnsi="Arial" w:cs="Arial"/>
          <w:i/>
          <w:iCs/>
          <w:szCs w:val="24"/>
          <w:lang w:val="en-GB"/>
        </w:rPr>
        <w:t>Publications</w:t>
      </w:r>
      <w:r w:rsidRPr="004E2BD1">
        <w:rPr>
          <w:rFonts w:ascii="Arial" w:hAnsi="Arial" w:cs="Arial"/>
          <w:szCs w:val="24"/>
          <w:lang w:val="en-GB"/>
        </w:rPr>
        <w:t>, 11(1), p. 2. Available at: https://doi.org/10.3390/publications11010002.</w:t>
      </w:r>
    </w:p>
    <w:p w14:paraId="4CEF1716" w14:textId="77777777" w:rsidR="004E2BD1" w:rsidRPr="004E2BD1" w:rsidRDefault="004E2BD1" w:rsidP="008213A7">
      <w:pPr>
        <w:jc w:val="both"/>
        <w:rPr>
          <w:rFonts w:ascii="Arial" w:hAnsi="Arial" w:cs="Arial"/>
          <w:szCs w:val="24"/>
          <w:lang w:val="en-GB"/>
        </w:rPr>
      </w:pPr>
      <w:r w:rsidRPr="004E2BD1">
        <w:rPr>
          <w:rFonts w:ascii="Arial" w:hAnsi="Arial" w:cs="Arial"/>
          <w:szCs w:val="24"/>
          <w:lang w:val="en-GB"/>
        </w:rPr>
        <w:t xml:space="preserve">David, M.C.B., Giovane, M.D., Wilson, D., Truman, T., Huntley, J.D., Suleman, M., Keene, A.R., Parker, M., Sharp, D.J. and Malhotra, P.A. (2024) ‘Considerations for legal, ethical, and effective practice in dementia research’, </w:t>
      </w:r>
      <w:r w:rsidRPr="004E2BD1">
        <w:rPr>
          <w:rFonts w:ascii="Arial" w:hAnsi="Arial" w:cs="Arial"/>
          <w:i/>
          <w:iCs/>
          <w:szCs w:val="24"/>
          <w:lang w:val="en-GB"/>
        </w:rPr>
        <w:t>Brain communications</w:t>
      </w:r>
      <w:r w:rsidRPr="004E2BD1">
        <w:rPr>
          <w:rFonts w:ascii="Arial" w:hAnsi="Arial" w:cs="Arial"/>
          <w:szCs w:val="24"/>
          <w:lang w:val="en-GB"/>
        </w:rPr>
        <w:t>, 6(4). Available at: https://doi.org/10.1093/braincomms/fcae211.</w:t>
      </w:r>
    </w:p>
    <w:p w14:paraId="0B5577FE" w14:textId="77777777" w:rsidR="004E2BD1" w:rsidRPr="004E2BD1" w:rsidRDefault="004E2BD1" w:rsidP="008213A7">
      <w:pPr>
        <w:jc w:val="both"/>
        <w:rPr>
          <w:rFonts w:ascii="Arial" w:hAnsi="Arial" w:cs="Arial"/>
          <w:szCs w:val="24"/>
          <w:lang w:val="en-GB"/>
        </w:rPr>
      </w:pPr>
      <w:r w:rsidRPr="004E2BD1">
        <w:rPr>
          <w:rFonts w:ascii="Arial" w:hAnsi="Arial" w:cs="Arial"/>
          <w:szCs w:val="24"/>
          <w:lang w:val="en-GB"/>
        </w:rPr>
        <w:t xml:space="preserve">Lim, W.M. (2024) ‘What Is Qualitative research? an Overview and Guidelines’, </w:t>
      </w:r>
      <w:r w:rsidRPr="004E2BD1">
        <w:rPr>
          <w:rFonts w:ascii="Arial" w:hAnsi="Arial" w:cs="Arial"/>
          <w:i/>
          <w:iCs/>
          <w:szCs w:val="24"/>
          <w:lang w:val="en-GB"/>
        </w:rPr>
        <w:t>Australasian Marketing Journal (AMJ)</w:t>
      </w:r>
      <w:r w:rsidRPr="004E2BD1">
        <w:rPr>
          <w:rFonts w:ascii="Arial" w:hAnsi="Arial" w:cs="Arial"/>
          <w:szCs w:val="24"/>
          <w:lang w:val="en-GB"/>
        </w:rPr>
        <w:t>, 33(2), pp. 199–229. Available at: https://doi.org/10.1177/14413582241264619.</w:t>
      </w:r>
    </w:p>
    <w:p w14:paraId="68E90C4F" w14:textId="77777777" w:rsidR="004E2BD1" w:rsidRPr="004E2BD1" w:rsidRDefault="004E2BD1" w:rsidP="008213A7">
      <w:pPr>
        <w:jc w:val="both"/>
        <w:rPr>
          <w:rFonts w:ascii="Arial" w:hAnsi="Arial" w:cs="Arial"/>
          <w:szCs w:val="24"/>
          <w:lang w:val="en-GB"/>
        </w:rPr>
      </w:pPr>
      <w:r w:rsidRPr="004E2BD1">
        <w:rPr>
          <w:rFonts w:ascii="Arial" w:hAnsi="Arial" w:cs="Arial"/>
          <w:szCs w:val="24"/>
          <w:lang w:val="en-GB"/>
        </w:rPr>
        <w:t xml:space="preserve">Shaheen, N., Shaheen, A., Ramadan, A., Hefnawy, M.T., Ramadan, A., Ibrahim, I., Hassanein, M., Ashour, M.E. and Flouty, O. (2023) ‘Appraising Systematic reviews: a Comprehensive Guide to Ensuring Validity and Reliability’, </w:t>
      </w:r>
      <w:r w:rsidRPr="004E2BD1">
        <w:rPr>
          <w:rFonts w:ascii="Arial" w:hAnsi="Arial" w:cs="Arial"/>
          <w:i/>
          <w:iCs/>
          <w:szCs w:val="24"/>
          <w:lang w:val="en-GB"/>
        </w:rPr>
        <w:t>Frontiers in Research Metrics and Analytics</w:t>
      </w:r>
      <w:r w:rsidRPr="004E2BD1">
        <w:rPr>
          <w:rFonts w:ascii="Arial" w:hAnsi="Arial" w:cs="Arial"/>
          <w:szCs w:val="24"/>
          <w:lang w:val="en-GB"/>
        </w:rPr>
        <w:t>, 8(8). Available at: https://doi.org/10.3389/frma.2023.1268045.</w:t>
      </w:r>
    </w:p>
    <w:p w14:paraId="03F0D60E" w14:textId="555CD669" w:rsidR="00582081" w:rsidRPr="00C6476C" w:rsidRDefault="004E2BD1" w:rsidP="008213A7">
      <w:pPr>
        <w:jc w:val="both"/>
        <w:rPr>
          <w:rFonts w:ascii="Arial" w:hAnsi="Arial" w:cs="Arial"/>
          <w:szCs w:val="24"/>
          <w:lang w:val="en-GB"/>
        </w:rPr>
      </w:pPr>
      <w:r w:rsidRPr="004E2BD1">
        <w:rPr>
          <w:rFonts w:ascii="Arial" w:hAnsi="Arial" w:cs="Arial"/>
          <w:szCs w:val="24"/>
          <w:lang w:val="en-GB"/>
        </w:rPr>
        <w:t xml:space="preserve">Zhaksylyk, A., Zimba, O., Yessirkepov, M. and Koçyiğit, B.F. (2023) ‘Research Integrity: Where We Are and Where We Are Heading’, </w:t>
      </w:r>
      <w:r w:rsidRPr="004E2BD1">
        <w:rPr>
          <w:rFonts w:ascii="Arial" w:hAnsi="Arial" w:cs="Arial"/>
          <w:i/>
          <w:iCs/>
          <w:szCs w:val="24"/>
          <w:lang w:val="en-GB"/>
        </w:rPr>
        <w:t>Journal of Korean Medical Science</w:t>
      </w:r>
      <w:r w:rsidRPr="004E2BD1">
        <w:rPr>
          <w:rFonts w:ascii="Arial" w:hAnsi="Arial" w:cs="Arial"/>
          <w:szCs w:val="24"/>
          <w:lang w:val="en-GB"/>
        </w:rPr>
        <w:t>, 38(47). Available at: https://doi.org/10.3346/jkms.2023.38.e405.</w:t>
      </w:r>
    </w:p>
    <w:sectPr w:rsidR="00582081" w:rsidRPr="00C6476C"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B405E" w14:textId="77777777" w:rsidR="00CD2FB5" w:rsidRDefault="00CD2FB5" w:rsidP="00D210FA">
      <w:pPr>
        <w:spacing w:after="0"/>
      </w:pPr>
      <w:r>
        <w:separator/>
      </w:r>
    </w:p>
  </w:endnote>
  <w:endnote w:type="continuationSeparator" w:id="0">
    <w:p w14:paraId="3A4C28C3" w14:textId="77777777" w:rsidR="00CD2FB5" w:rsidRDefault="00CD2FB5"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32D1F" w14:textId="77777777" w:rsidR="00327E66" w:rsidRDefault="00327E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A29E4" w14:textId="77777777" w:rsidR="00327E66" w:rsidRDefault="00327E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EA22" w14:textId="77777777" w:rsidR="00327E66" w:rsidRDefault="00327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CF855" w14:textId="77777777" w:rsidR="00CD2FB5" w:rsidRDefault="00CD2FB5" w:rsidP="00D210FA">
      <w:pPr>
        <w:spacing w:after="0"/>
      </w:pPr>
      <w:r>
        <w:separator/>
      </w:r>
    </w:p>
  </w:footnote>
  <w:footnote w:type="continuationSeparator" w:id="0">
    <w:p w14:paraId="672582ED" w14:textId="77777777" w:rsidR="00CD2FB5" w:rsidRDefault="00CD2FB5"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115C3" w14:textId="77777777" w:rsidR="00327E66" w:rsidRDefault="00327E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7171146">
    <w:abstractNumId w:val="4"/>
  </w:num>
  <w:num w:numId="2" w16cid:durableId="654188090">
    <w:abstractNumId w:val="3"/>
  </w:num>
  <w:num w:numId="3" w16cid:durableId="554052200">
    <w:abstractNumId w:val="11"/>
  </w:num>
  <w:num w:numId="4" w16cid:durableId="210114263">
    <w:abstractNumId w:val="12"/>
  </w:num>
  <w:num w:numId="5" w16cid:durableId="1917200541">
    <w:abstractNumId w:val="7"/>
  </w:num>
  <w:num w:numId="6" w16cid:durableId="740491417">
    <w:abstractNumId w:val="6"/>
  </w:num>
  <w:num w:numId="7" w16cid:durableId="761726882">
    <w:abstractNumId w:val="9"/>
  </w:num>
  <w:num w:numId="8" w16cid:durableId="1023290963">
    <w:abstractNumId w:val="8"/>
  </w:num>
  <w:num w:numId="9" w16cid:durableId="968975170">
    <w:abstractNumId w:val="2"/>
  </w:num>
  <w:num w:numId="10" w16cid:durableId="744962134">
    <w:abstractNumId w:val="0"/>
  </w:num>
  <w:num w:numId="11" w16cid:durableId="1427535205">
    <w:abstractNumId w:val="5"/>
  </w:num>
  <w:num w:numId="12" w16cid:durableId="310840312">
    <w:abstractNumId w:val="1"/>
  </w:num>
  <w:num w:numId="13" w16cid:durableId="16358705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23293"/>
    <w:rsid w:val="000407ED"/>
    <w:rsid w:val="00061977"/>
    <w:rsid w:val="00063B85"/>
    <w:rsid w:val="0008782A"/>
    <w:rsid w:val="000A065A"/>
    <w:rsid w:val="000E56ED"/>
    <w:rsid w:val="000F0CAC"/>
    <w:rsid w:val="00106FC5"/>
    <w:rsid w:val="0011633B"/>
    <w:rsid w:val="00120DEC"/>
    <w:rsid w:val="00123C19"/>
    <w:rsid w:val="001A2DAB"/>
    <w:rsid w:val="001C55B6"/>
    <w:rsid w:val="001D6CC4"/>
    <w:rsid w:val="00206405"/>
    <w:rsid w:val="002341AD"/>
    <w:rsid w:val="00244FD7"/>
    <w:rsid w:val="00253267"/>
    <w:rsid w:val="002751F3"/>
    <w:rsid w:val="002823CD"/>
    <w:rsid w:val="00285A02"/>
    <w:rsid w:val="00287787"/>
    <w:rsid w:val="00291685"/>
    <w:rsid w:val="0029329C"/>
    <w:rsid w:val="002B0A3D"/>
    <w:rsid w:val="002F26AB"/>
    <w:rsid w:val="003007A7"/>
    <w:rsid w:val="00306D99"/>
    <w:rsid w:val="003257E1"/>
    <w:rsid w:val="00325DEC"/>
    <w:rsid w:val="00327E66"/>
    <w:rsid w:val="00345B0B"/>
    <w:rsid w:val="0034638E"/>
    <w:rsid w:val="00346FFA"/>
    <w:rsid w:val="00367A92"/>
    <w:rsid w:val="00385494"/>
    <w:rsid w:val="003A3069"/>
    <w:rsid w:val="003C20B5"/>
    <w:rsid w:val="003D6B2A"/>
    <w:rsid w:val="003E545F"/>
    <w:rsid w:val="003F03D2"/>
    <w:rsid w:val="003F1E1A"/>
    <w:rsid w:val="004045E5"/>
    <w:rsid w:val="00421496"/>
    <w:rsid w:val="00422C27"/>
    <w:rsid w:val="0044367C"/>
    <w:rsid w:val="0044412C"/>
    <w:rsid w:val="004642F0"/>
    <w:rsid w:val="004E2BD1"/>
    <w:rsid w:val="00500564"/>
    <w:rsid w:val="0051102B"/>
    <w:rsid w:val="00516CC0"/>
    <w:rsid w:val="005475F0"/>
    <w:rsid w:val="00582081"/>
    <w:rsid w:val="005838BC"/>
    <w:rsid w:val="005B286E"/>
    <w:rsid w:val="005B57E1"/>
    <w:rsid w:val="005E4E76"/>
    <w:rsid w:val="005E61E0"/>
    <w:rsid w:val="005F0F31"/>
    <w:rsid w:val="005F169B"/>
    <w:rsid w:val="005F7D75"/>
    <w:rsid w:val="006024ED"/>
    <w:rsid w:val="0061793F"/>
    <w:rsid w:val="0062123A"/>
    <w:rsid w:val="00624F58"/>
    <w:rsid w:val="006605F8"/>
    <w:rsid w:val="006676A1"/>
    <w:rsid w:val="006833BD"/>
    <w:rsid w:val="006D2642"/>
    <w:rsid w:val="006E2D42"/>
    <w:rsid w:val="007049D8"/>
    <w:rsid w:val="00720FEE"/>
    <w:rsid w:val="00764B6F"/>
    <w:rsid w:val="007C7319"/>
    <w:rsid w:val="007D43B3"/>
    <w:rsid w:val="007F20B4"/>
    <w:rsid w:val="007F525E"/>
    <w:rsid w:val="00802FF1"/>
    <w:rsid w:val="008031EB"/>
    <w:rsid w:val="008213A7"/>
    <w:rsid w:val="0082695D"/>
    <w:rsid w:val="0083044C"/>
    <w:rsid w:val="00846694"/>
    <w:rsid w:val="0085182D"/>
    <w:rsid w:val="00867E5F"/>
    <w:rsid w:val="008709F5"/>
    <w:rsid w:val="00877A91"/>
    <w:rsid w:val="00884E86"/>
    <w:rsid w:val="00890534"/>
    <w:rsid w:val="00891124"/>
    <w:rsid w:val="008927FF"/>
    <w:rsid w:val="008A7975"/>
    <w:rsid w:val="008B0F18"/>
    <w:rsid w:val="008C1616"/>
    <w:rsid w:val="008E3921"/>
    <w:rsid w:val="0090027B"/>
    <w:rsid w:val="00905238"/>
    <w:rsid w:val="0094702A"/>
    <w:rsid w:val="00967DAB"/>
    <w:rsid w:val="00990E76"/>
    <w:rsid w:val="00991A53"/>
    <w:rsid w:val="00996F4E"/>
    <w:rsid w:val="009F69E5"/>
    <w:rsid w:val="009F71FE"/>
    <w:rsid w:val="00A27D8D"/>
    <w:rsid w:val="00A31F33"/>
    <w:rsid w:val="00A70A62"/>
    <w:rsid w:val="00A71DA8"/>
    <w:rsid w:val="00A90A7A"/>
    <w:rsid w:val="00AB1210"/>
    <w:rsid w:val="00AB5409"/>
    <w:rsid w:val="00AB770D"/>
    <w:rsid w:val="00AF2088"/>
    <w:rsid w:val="00AF5FB0"/>
    <w:rsid w:val="00B00476"/>
    <w:rsid w:val="00B0080A"/>
    <w:rsid w:val="00B0538C"/>
    <w:rsid w:val="00B376E4"/>
    <w:rsid w:val="00B37AB8"/>
    <w:rsid w:val="00B418DE"/>
    <w:rsid w:val="00B47FE7"/>
    <w:rsid w:val="00B67824"/>
    <w:rsid w:val="00BA2394"/>
    <w:rsid w:val="00BE15BA"/>
    <w:rsid w:val="00C20ED0"/>
    <w:rsid w:val="00C31D85"/>
    <w:rsid w:val="00C348A8"/>
    <w:rsid w:val="00C34FA0"/>
    <w:rsid w:val="00C46111"/>
    <w:rsid w:val="00C47DCC"/>
    <w:rsid w:val="00C6476C"/>
    <w:rsid w:val="00C83332"/>
    <w:rsid w:val="00C95E04"/>
    <w:rsid w:val="00CC0A8F"/>
    <w:rsid w:val="00CC24B6"/>
    <w:rsid w:val="00CD2FB5"/>
    <w:rsid w:val="00CD3A64"/>
    <w:rsid w:val="00CE08CD"/>
    <w:rsid w:val="00D0664A"/>
    <w:rsid w:val="00D210FA"/>
    <w:rsid w:val="00D30F1D"/>
    <w:rsid w:val="00D57231"/>
    <w:rsid w:val="00D8245C"/>
    <w:rsid w:val="00D87B48"/>
    <w:rsid w:val="00D91203"/>
    <w:rsid w:val="00D94FD1"/>
    <w:rsid w:val="00DF036C"/>
    <w:rsid w:val="00E41692"/>
    <w:rsid w:val="00E55D74"/>
    <w:rsid w:val="00E81234"/>
    <w:rsid w:val="00E9037E"/>
    <w:rsid w:val="00EA120D"/>
    <w:rsid w:val="00EA49C3"/>
    <w:rsid w:val="00EB5E14"/>
    <w:rsid w:val="00EB6F36"/>
    <w:rsid w:val="00ED1049"/>
    <w:rsid w:val="00EE19D9"/>
    <w:rsid w:val="00EF26FC"/>
    <w:rsid w:val="00F02845"/>
    <w:rsid w:val="00F21AAB"/>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285A0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4212">
      <w:bodyDiv w:val="1"/>
      <w:marLeft w:val="0"/>
      <w:marRight w:val="0"/>
      <w:marTop w:val="0"/>
      <w:marBottom w:val="0"/>
      <w:divBdr>
        <w:top w:val="none" w:sz="0" w:space="0" w:color="auto"/>
        <w:left w:val="none" w:sz="0" w:space="0" w:color="auto"/>
        <w:bottom w:val="none" w:sz="0" w:space="0" w:color="auto"/>
        <w:right w:val="none" w:sz="0" w:space="0" w:color="auto"/>
      </w:divBdr>
    </w:div>
    <w:div w:id="38941220">
      <w:bodyDiv w:val="1"/>
      <w:marLeft w:val="0"/>
      <w:marRight w:val="0"/>
      <w:marTop w:val="0"/>
      <w:marBottom w:val="0"/>
      <w:divBdr>
        <w:top w:val="none" w:sz="0" w:space="0" w:color="auto"/>
        <w:left w:val="none" w:sz="0" w:space="0" w:color="auto"/>
        <w:bottom w:val="none" w:sz="0" w:space="0" w:color="auto"/>
        <w:right w:val="none" w:sz="0" w:space="0" w:color="auto"/>
      </w:divBdr>
    </w:div>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37709440">
      <w:bodyDiv w:val="1"/>
      <w:marLeft w:val="0"/>
      <w:marRight w:val="0"/>
      <w:marTop w:val="0"/>
      <w:marBottom w:val="0"/>
      <w:divBdr>
        <w:top w:val="none" w:sz="0" w:space="0" w:color="auto"/>
        <w:left w:val="none" w:sz="0" w:space="0" w:color="auto"/>
        <w:bottom w:val="none" w:sz="0" w:space="0" w:color="auto"/>
        <w:right w:val="none" w:sz="0" w:space="0" w:color="auto"/>
      </w:divBdr>
    </w:div>
    <w:div w:id="268203698">
      <w:bodyDiv w:val="1"/>
      <w:marLeft w:val="0"/>
      <w:marRight w:val="0"/>
      <w:marTop w:val="0"/>
      <w:marBottom w:val="0"/>
      <w:divBdr>
        <w:top w:val="none" w:sz="0" w:space="0" w:color="auto"/>
        <w:left w:val="none" w:sz="0" w:space="0" w:color="auto"/>
        <w:bottom w:val="none" w:sz="0" w:space="0" w:color="auto"/>
        <w:right w:val="none" w:sz="0" w:space="0" w:color="auto"/>
      </w:divBdr>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656611798">
      <w:bodyDiv w:val="1"/>
      <w:marLeft w:val="0"/>
      <w:marRight w:val="0"/>
      <w:marTop w:val="0"/>
      <w:marBottom w:val="0"/>
      <w:divBdr>
        <w:top w:val="none" w:sz="0" w:space="0" w:color="auto"/>
        <w:left w:val="none" w:sz="0" w:space="0" w:color="auto"/>
        <w:bottom w:val="none" w:sz="0" w:space="0" w:color="auto"/>
        <w:right w:val="none" w:sz="0" w:space="0" w:color="auto"/>
      </w:divBdr>
      <w:divsChild>
        <w:div w:id="519703891">
          <w:marLeft w:val="0"/>
          <w:marRight w:val="0"/>
          <w:marTop w:val="0"/>
          <w:marBottom w:val="0"/>
          <w:divBdr>
            <w:top w:val="none" w:sz="0" w:space="0" w:color="auto"/>
            <w:left w:val="none" w:sz="0" w:space="0" w:color="auto"/>
            <w:bottom w:val="none" w:sz="0" w:space="0" w:color="auto"/>
            <w:right w:val="none" w:sz="0" w:space="0" w:color="auto"/>
          </w:divBdr>
        </w:div>
      </w:divsChild>
    </w:div>
    <w:div w:id="666979851">
      <w:bodyDiv w:val="1"/>
      <w:marLeft w:val="0"/>
      <w:marRight w:val="0"/>
      <w:marTop w:val="0"/>
      <w:marBottom w:val="0"/>
      <w:divBdr>
        <w:top w:val="none" w:sz="0" w:space="0" w:color="auto"/>
        <w:left w:val="none" w:sz="0" w:space="0" w:color="auto"/>
        <w:bottom w:val="none" w:sz="0" w:space="0" w:color="auto"/>
        <w:right w:val="none" w:sz="0" w:space="0" w:color="auto"/>
      </w:divBdr>
    </w:div>
    <w:div w:id="687482823">
      <w:bodyDiv w:val="1"/>
      <w:marLeft w:val="0"/>
      <w:marRight w:val="0"/>
      <w:marTop w:val="0"/>
      <w:marBottom w:val="0"/>
      <w:divBdr>
        <w:top w:val="none" w:sz="0" w:space="0" w:color="auto"/>
        <w:left w:val="none" w:sz="0" w:space="0" w:color="auto"/>
        <w:bottom w:val="none" w:sz="0" w:space="0" w:color="auto"/>
        <w:right w:val="none" w:sz="0" w:space="0" w:color="auto"/>
      </w:divBdr>
    </w:div>
    <w:div w:id="731998722">
      <w:bodyDiv w:val="1"/>
      <w:marLeft w:val="0"/>
      <w:marRight w:val="0"/>
      <w:marTop w:val="0"/>
      <w:marBottom w:val="0"/>
      <w:divBdr>
        <w:top w:val="none" w:sz="0" w:space="0" w:color="auto"/>
        <w:left w:val="none" w:sz="0" w:space="0" w:color="auto"/>
        <w:bottom w:val="none" w:sz="0" w:space="0" w:color="auto"/>
        <w:right w:val="none" w:sz="0" w:space="0" w:color="auto"/>
      </w:divBdr>
    </w:div>
    <w:div w:id="743258069">
      <w:bodyDiv w:val="1"/>
      <w:marLeft w:val="0"/>
      <w:marRight w:val="0"/>
      <w:marTop w:val="0"/>
      <w:marBottom w:val="0"/>
      <w:divBdr>
        <w:top w:val="none" w:sz="0" w:space="0" w:color="auto"/>
        <w:left w:val="none" w:sz="0" w:space="0" w:color="auto"/>
        <w:bottom w:val="none" w:sz="0" w:space="0" w:color="auto"/>
        <w:right w:val="none" w:sz="0" w:space="0" w:color="auto"/>
      </w:divBdr>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811677181">
      <w:bodyDiv w:val="1"/>
      <w:marLeft w:val="0"/>
      <w:marRight w:val="0"/>
      <w:marTop w:val="0"/>
      <w:marBottom w:val="0"/>
      <w:divBdr>
        <w:top w:val="none" w:sz="0" w:space="0" w:color="auto"/>
        <w:left w:val="none" w:sz="0" w:space="0" w:color="auto"/>
        <w:bottom w:val="none" w:sz="0" w:space="0" w:color="auto"/>
        <w:right w:val="none" w:sz="0" w:space="0" w:color="auto"/>
      </w:divBdr>
    </w:div>
    <w:div w:id="984043827">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272084574">
      <w:bodyDiv w:val="1"/>
      <w:marLeft w:val="0"/>
      <w:marRight w:val="0"/>
      <w:marTop w:val="0"/>
      <w:marBottom w:val="0"/>
      <w:divBdr>
        <w:top w:val="none" w:sz="0" w:space="0" w:color="auto"/>
        <w:left w:val="none" w:sz="0" w:space="0" w:color="auto"/>
        <w:bottom w:val="none" w:sz="0" w:space="0" w:color="auto"/>
        <w:right w:val="none" w:sz="0" w:space="0" w:color="auto"/>
      </w:divBdr>
    </w:div>
    <w:div w:id="1346787844">
      <w:bodyDiv w:val="1"/>
      <w:marLeft w:val="0"/>
      <w:marRight w:val="0"/>
      <w:marTop w:val="0"/>
      <w:marBottom w:val="0"/>
      <w:divBdr>
        <w:top w:val="none" w:sz="0" w:space="0" w:color="auto"/>
        <w:left w:val="none" w:sz="0" w:space="0" w:color="auto"/>
        <w:bottom w:val="none" w:sz="0" w:space="0" w:color="auto"/>
        <w:right w:val="none" w:sz="0" w:space="0" w:color="auto"/>
      </w:divBdr>
    </w:div>
    <w:div w:id="1391463220">
      <w:bodyDiv w:val="1"/>
      <w:marLeft w:val="0"/>
      <w:marRight w:val="0"/>
      <w:marTop w:val="0"/>
      <w:marBottom w:val="0"/>
      <w:divBdr>
        <w:top w:val="none" w:sz="0" w:space="0" w:color="auto"/>
        <w:left w:val="none" w:sz="0" w:space="0" w:color="auto"/>
        <w:bottom w:val="none" w:sz="0" w:space="0" w:color="auto"/>
        <w:right w:val="none" w:sz="0" w:space="0" w:color="auto"/>
      </w:divBdr>
    </w:div>
    <w:div w:id="1407462444">
      <w:bodyDiv w:val="1"/>
      <w:marLeft w:val="0"/>
      <w:marRight w:val="0"/>
      <w:marTop w:val="0"/>
      <w:marBottom w:val="0"/>
      <w:divBdr>
        <w:top w:val="none" w:sz="0" w:space="0" w:color="auto"/>
        <w:left w:val="none" w:sz="0" w:space="0" w:color="auto"/>
        <w:bottom w:val="none" w:sz="0" w:space="0" w:color="auto"/>
        <w:right w:val="none" w:sz="0" w:space="0" w:color="auto"/>
      </w:divBdr>
    </w:div>
    <w:div w:id="1654991964">
      <w:bodyDiv w:val="1"/>
      <w:marLeft w:val="0"/>
      <w:marRight w:val="0"/>
      <w:marTop w:val="0"/>
      <w:marBottom w:val="0"/>
      <w:divBdr>
        <w:top w:val="none" w:sz="0" w:space="0" w:color="auto"/>
        <w:left w:val="none" w:sz="0" w:space="0" w:color="auto"/>
        <w:bottom w:val="none" w:sz="0" w:space="0" w:color="auto"/>
        <w:right w:val="none" w:sz="0" w:space="0" w:color="auto"/>
      </w:divBdr>
    </w:div>
    <w:div w:id="1732389493">
      <w:bodyDiv w:val="1"/>
      <w:marLeft w:val="0"/>
      <w:marRight w:val="0"/>
      <w:marTop w:val="0"/>
      <w:marBottom w:val="0"/>
      <w:divBdr>
        <w:top w:val="none" w:sz="0" w:space="0" w:color="auto"/>
        <w:left w:val="none" w:sz="0" w:space="0" w:color="auto"/>
        <w:bottom w:val="none" w:sz="0" w:space="0" w:color="auto"/>
        <w:right w:val="none" w:sz="0" w:space="0" w:color="auto"/>
      </w:divBdr>
    </w:div>
    <w:div w:id="1746029425">
      <w:bodyDiv w:val="1"/>
      <w:marLeft w:val="0"/>
      <w:marRight w:val="0"/>
      <w:marTop w:val="0"/>
      <w:marBottom w:val="0"/>
      <w:divBdr>
        <w:top w:val="none" w:sz="0" w:space="0" w:color="auto"/>
        <w:left w:val="none" w:sz="0" w:space="0" w:color="auto"/>
        <w:bottom w:val="none" w:sz="0" w:space="0" w:color="auto"/>
        <w:right w:val="none" w:sz="0" w:space="0" w:color="auto"/>
      </w:divBdr>
    </w:div>
    <w:div w:id="1861701401">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 w:id="2063285793">
      <w:bodyDiv w:val="1"/>
      <w:marLeft w:val="0"/>
      <w:marRight w:val="0"/>
      <w:marTop w:val="0"/>
      <w:marBottom w:val="0"/>
      <w:divBdr>
        <w:top w:val="none" w:sz="0" w:space="0" w:color="auto"/>
        <w:left w:val="none" w:sz="0" w:space="0" w:color="auto"/>
        <w:bottom w:val="none" w:sz="0" w:space="0" w:color="auto"/>
        <w:right w:val="none" w:sz="0" w:space="0" w:color="auto"/>
      </w:divBdr>
    </w:div>
    <w:div w:id="2070347798">
      <w:bodyDiv w:val="1"/>
      <w:marLeft w:val="0"/>
      <w:marRight w:val="0"/>
      <w:marTop w:val="0"/>
      <w:marBottom w:val="0"/>
      <w:divBdr>
        <w:top w:val="none" w:sz="0" w:space="0" w:color="auto"/>
        <w:left w:val="none" w:sz="0" w:space="0" w:color="auto"/>
        <w:bottom w:val="none" w:sz="0" w:space="0" w:color="auto"/>
        <w:right w:val="none" w:sz="0" w:space="0" w:color="auto"/>
      </w:divBdr>
    </w:div>
    <w:div w:id="2115855574">
      <w:bodyDiv w:val="1"/>
      <w:marLeft w:val="0"/>
      <w:marRight w:val="0"/>
      <w:marTop w:val="0"/>
      <w:marBottom w:val="0"/>
      <w:divBdr>
        <w:top w:val="none" w:sz="0" w:space="0" w:color="auto"/>
        <w:left w:val="none" w:sz="0" w:space="0" w:color="auto"/>
        <w:bottom w:val="none" w:sz="0" w:space="0" w:color="auto"/>
        <w:right w:val="none" w:sz="0" w:space="0" w:color="auto"/>
      </w:divBdr>
      <w:divsChild>
        <w:div w:id="19065304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diagramData" Target="diagrams/data1.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rial" panose="020B0604020202020204" pitchFamily="34" charset="0"/>
              <a:cs typeface="Arial" panose="020B0604020202020204" pitchFamily="34" charset="0"/>
            </a:rPr>
            <a:t>Respect for Intellectual Property:</a:t>
          </a:r>
          <a:endParaRPr lang="en-GB">
            <a:latin typeface="Arial" panose="020B0604020202020204" pitchFamily="34" charset="0"/>
            <a:cs typeface="Arial" panose="020B06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rtl="0">
            <a:lnSpc>
              <a:spcPct val="150000"/>
            </a:lnSpc>
          </a:pPr>
          <a:r>
            <a:rPr lang="en-GB" b="0" i="0" u="none">
              <a:latin typeface="Arial" panose="020B0604020202020204" pitchFamily="34" charset="0"/>
              <a:cs typeface="Arial" panose="020B0604020202020204" pitchFamily="34" charset="0"/>
            </a:rPr>
            <a:t>Practices of citation and proper referencing.</a:t>
          </a:r>
          <a:endParaRPr lang="en-GB" dirty="0">
            <a:latin typeface="Arial" panose="020B0604020202020204" pitchFamily="34" charset="0"/>
            <a:cs typeface="Arial" panose="020B06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rial" panose="020B0604020202020204" pitchFamily="34" charset="0"/>
              <a:cs typeface="Arial" panose="020B0604020202020204" pitchFamily="34" charset="0"/>
            </a:rPr>
            <a:t>Privacy and Confidentiality:</a:t>
          </a:r>
          <a:endParaRPr lang="en-GB">
            <a:latin typeface="Arial" panose="020B0604020202020204" pitchFamily="34" charset="0"/>
            <a:cs typeface="Arial" panose="020B06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rtl="0">
            <a:lnSpc>
              <a:spcPct val="150000"/>
            </a:lnSpc>
          </a:pPr>
          <a:r>
            <a:rPr lang="en-GB" b="0" i="0" u="none">
              <a:latin typeface="Arial" panose="020B0604020202020204" pitchFamily="34" charset="0"/>
              <a:cs typeface="Arial" panose="020B0604020202020204" pitchFamily="34" charset="0"/>
            </a:rPr>
            <a:t>Use anonymised secondary data when the need arises.</a:t>
          </a:r>
          <a:endParaRPr lang="en-GB">
            <a:latin typeface="Arial" panose="020B0604020202020204" pitchFamily="34" charset="0"/>
            <a:cs typeface="Arial" panose="020B06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rial" panose="020B0604020202020204" pitchFamily="34" charset="0"/>
              <a:cs typeface="Arial" panose="020B0604020202020204" pitchFamily="34" charset="0"/>
            </a:rPr>
            <a:t>Compliance with Laws and Regulations:</a:t>
          </a:r>
          <a:endParaRPr lang="en-GB" dirty="0">
            <a:latin typeface="Arial" panose="020B0604020202020204" pitchFamily="34" charset="0"/>
            <a:cs typeface="Arial" panose="020B06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solidFill>
                <a:sysClr val="window" lastClr="FFFFFF"/>
              </a:solidFill>
              <a:latin typeface="Arial" panose="020B0604020202020204" pitchFamily="34" charset="0"/>
              <a:ea typeface="+mn-ea"/>
              <a:cs typeface="Arial" panose="020B0604020202020204" pitchFamily="34" charset="0"/>
            </a:rPr>
            <a:t>Published data usage</a:t>
          </a:r>
          <a:endParaRPr lang="en-GB" dirty="0">
            <a:latin typeface="Arial" panose="020B0604020202020204" pitchFamily="34" charset="0"/>
            <a:cs typeface="Arial" panose="020B06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5CECF447-3269-43C1-8684-7D2899DE44BC}">
      <dgm:prSet/>
      <dgm:spPr/>
      <dgm:t>
        <a:bodyPr/>
        <a:lstStyle/>
        <a:p>
          <a:pPr rtl="0"/>
          <a:r>
            <a:rPr lang="en-GB" b="0" i="0" u="none">
              <a:latin typeface="Arial" panose="020B0604020202020204" pitchFamily="34" charset="0"/>
              <a:cs typeface="Arial" panose="020B0604020202020204" pitchFamily="34" charset="0"/>
            </a:rPr>
            <a:t>Plagiarism should be avoided by paraphrasing and attributing.</a:t>
          </a:r>
          <a:endParaRPr lang="en-GB" b="0">
            <a:latin typeface="Arial" panose="020B0604020202020204" pitchFamily="34" charset="0"/>
            <a:cs typeface="Arial" panose="020B0604020202020204" pitchFamily="34" charset="0"/>
          </a:endParaRPr>
        </a:p>
      </dgm:t>
    </dgm:pt>
    <dgm:pt modelId="{D0A02B86-C8A8-4295-A565-3AE13ED5E9DA}" type="parTrans" cxnId="{50399F99-CA42-4519-A42A-0D86A745351D}">
      <dgm:prSet/>
      <dgm:spPr/>
      <dgm:t>
        <a:bodyPr/>
        <a:lstStyle/>
        <a:p>
          <a:endParaRPr lang="en-GB"/>
        </a:p>
      </dgm:t>
    </dgm:pt>
    <dgm:pt modelId="{5E6A3980-ED3B-4F9D-BCF1-A3B66C070EE3}" type="sibTrans" cxnId="{50399F99-CA42-4519-A42A-0D86A745351D}">
      <dgm:prSet/>
      <dgm:spPr/>
      <dgm:t>
        <a:bodyPr/>
        <a:lstStyle/>
        <a:p>
          <a:endParaRPr lang="en-GB"/>
        </a:p>
      </dgm:t>
    </dgm:pt>
    <dgm:pt modelId="{01D037F0-2765-435C-91D2-D1DB434EC8A8}">
      <dgm:prSet/>
      <dgm:spPr/>
      <dgm:t>
        <a:bodyPr/>
        <a:lstStyle/>
        <a:p>
          <a:pPr rtl="0">
            <a:lnSpc>
              <a:spcPct val="150000"/>
            </a:lnSpc>
          </a:pPr>
          <a:r>
            <a:rPr lang="en-GB" b="0" i="0" u="none">
              <a:latin typeface="Arial" panose="020B0604020202020204" pitchFamily="34" charset="0"/>
              <a:cs typeface="Arial" panose="020B0604020202020204" pitchFamily="34" charset="0"/>
            </a:rPr>
            <a:t>Choose peer-reviewed and credible academic resources.</a:t>
          </a:r>
          <a:endParaRPr lang="en-GB">
            <a:latin typeface="Arial" panose="020B0604020202020204" pitchFamily="34" charset="0"/>
            <a:cs typeface="Arial" panose="020B0604020202020204" pitchFamily="34" charset="0"/>
          </a:endParaRPr>
        </a:p>
      </dgm:t>
    </dgm:pt>
    <dgm:pt modelId="{CFE5673E-D7BF-4D62-80E0-CCC380A8F398}" type="parTrans" cxnId="{01A4F6D4-1B77-4817-AA7E-7735A2D76060}">
      <dgm:prSet/>
      <dgm:spPr/>
    </dgm:pt>
    <dgm:pt modelId="{30BCD719-037A-4203-BA7C-2AFD5A749D37}" type="sibTrans" cxnId="{01A4F6D4-1B77-4817-AA7E-7735A2D76060}">
      <dgm:prSet/>
      <dgm:spPr/>
    </dgm:pt>
    <dgm:pt modelId="{D7E52460-8AED-475D-A1A8-F2C54E9796A4}">
      <dgm:prSet/>
      <dgm:spPr/>
      <dgm:t>
        <a:bodyPr/>
        <a:lstStyle/>
        <a:p>
          <a:pPr rtl="0">
            <a:lnSpc>
              <a:spcPct val="150000"/>
            </a:lnSpc>
          </a:pPr>
          <a:r>
            <a:rPr lang="en-GB" b="0" i="0" u="none">
              <a:latin typeface="Arial" panose="020B0604020202020204" pitchFamily="34" charset="0"/>
              <a:cs typeface="Arial" panose="020B0604020202020204" pitchFamily="34" charset="0"/>
            </a:rPr>
            <a:t>Adhere to UK GDPR and principles of data protection.</a:t>
          </a:r>
          <a:endParaRPr lang="en-GB" dirty="0">
            <a:latin typeface="Arial" panose="020B0604020202020204" pitchFamily="34" charset="0"/>
            <a:cs typeface="Arial" panose="020B0604020202020204" pitchFamily="34" charset="0"/>
          </a:endParaRPr>
        </a:p>
      </dgm:t>
    </dgm:pt>
    <dgm:pt modelId="{B261485C-F465-4F43-BE82-20DEA24C5CC3}" type="parTrans" cxnId="{22A85903-3C7A-4EA4-A52E-561031E8FFEF}">
      <dgm:prSet/>
      <dgm:spPr/>
    </dgm:pt>
    <dgm:pt modelId="{87E258AF-1BD4-4D03-BD8A-1CCC35BB7FEA}" type="sibTrans" cxnId="{22A85903-3C7A-4EA4-A52E-561031E8FFEF}">
      <dgm:prSet/>
      <dgm:spPr/>
    </dgm:pt>
    <dgm:pt modelId="{14C35909-0CA0-4AFA-84DF-4724F28F1306}">
      <dgm:prSet/>
      <dgm:spPr/>
      <dgm:t>
        <a:bodyPr/>
        <a:lstStyle/>
        <a:p>
          <a:pPr rtl="0"/>
          <a:r>
            <a:rPr lang="en-GB">
              <a:latin typeface="Arial" panose="020B0604020202020204" pitchFamily="34" charset="0"/>
              <a:cs typeface="Arial" panose="020B0604020202020204" pitchFamily="34" charset="0"/>
            </a:rPr>
            <a:t>Observing academic integrity via proper Harvard referencing of all the secondary resources.</a:t>
          </a:r>
          <a:endParaRPr lang="en-GB" dirty="0">
            <a:latin typeface="Arial" panose="020B0604020202020204" pitchFamily="34" charset="0"/>
            <a:cs typeface="Arial" panose="020B0604020202020204" pitchFamily="34" charset="0"/>
          </a:endParaRPr>
        </a:p>
      </dgm:t>
    </dgm:pt>
    <dgm:pt modelId="{F8EE91CA-2F6B-4E94-B89A-087847C843F2}" type="parTrans" cxnId="{3009CB03-AD17-4424-B27C-610527C931AD}">
      <dgm:prSet/>
      <dgm:spPr/>
    </dgm:pt>
    <dgm:pt modelId="{EACFAB66-FFE4-45B1-9D24-283CBD28A2BF}" type="sibTrans" cxnId="{3009CB03-AD17-4424-B27C-610527C931AD}">
      <dgm:prSet/>
      <dgm:spPr/>
    </dgm:pt>
    <dgm:pt modelId="{38DEA612-D95E-413E-91C7-30179C083E14}">
      <dgm:prSet/>
      <dgm:spPr/>
      <dgm:t>
        <a:bodyPr/>
        <a:lstStyle/>
        <a:p>
          <a:pPr rtl="0"/>
          <a:r>
            <a:rPr lang="en-GB" b="0" i="0" u="none">
              <a:latin typeface="Arial" panose="020B0604020202020204" pitchFamily="34" charset="0"/>
              <a:cs typeface="Arial" panose="020B0604020202020204" pitchFamily="34" charset="0"/>
            </a:rPr>
            <a:t>Sensitive information about patients should not be disclosed.</a:t>
          </a:r>
          <a:endParaRPr lang="en-GB" b="0">
            <a:latin typeface="Arial" panose="020B0604020202020204" pitchFamily="34" charset="0"/>
            <a:cs typeface="Arial" panose="020B0604020202020204" pitchFamily="34" charset="0"/>
          </a:endParaRPr>
        </a:p>
      </dgm:t>
    </dgm:pt>
    <dgm:pt modelId="{2A93278C-CECF-4A23-9AD2-902BA13EB96F}" type="parTrans" cxnId="{7B456E74-CC66-4C6E-969A-07EDD7BC7722}">
      <dgm:prSet/>
      <dgm:spPr/>
      <dgm:t>
        <a:bodyPr/>
        <a:lstStyle/>
        <a:p>
          <a:endParaRPr lang="en-GB"/>
        </a:p>
      </dgm:t>
    </dgm:pt>
    <dgm:pt modelId="{A752647B-A4E0-48D9-BF6F-CDFC26A473B2}" type="sibTrans" cxnId="{7B456E74-CC66-4C6E-969A-07EDD7BC7722}">
      <dgm:prSet/>
      <dgm:spPr/>
      <dgm:t>
        <a:bodyPr/>
        <a:lstStyle/>
        <a:p>
          <a:endParaRPr lang="en-GB"/>
        </a:p>
      </dgm:t>
    </dgm:pt>
    <dgm:pt modelId="{E75C2B38-DF83-45BF-B20B-1F17069E50C7}">
      <dgm:prSet/>
      <dgm:spPr/>
      <dgm:t>
        <a:bodyPr/>
        <a:lstStyle/>
        <a:p>
          <a:r>
            <a:rPr lang="en-GB" b="1" i="0">
              <a:latin typeface="Arial" panose="020B0604020202020204" pitchFamily="34" charset="0"/>
              <a:cs typeface="Arial" panose="020B0604020202020204" pitchFamily="34" charset="0"/>
            </a:rPr>
            <a:t>Data Integrity and Reliability:</a:t>
          </a:r>
          <a:r>
            <a:rPr lang="en-GB">
              <a:latin typeface="Arial" panose="020B0604020202020204" pitchFamily="34" charset="0"/>
              <a:cs typeface="Arial" panose="020B0604020202020204" pitchFamily="34" charset="0"/>
            </a:rPr>
            <a:t> </a:t>
          </a:r>
        </a:p>
      </dgm:t>
    </dgm:pt>
    <dgm:pt modelId="{7EB39D7D-B94C-4147-A87F-5F2D32BBC2D2}" type="parTrans" cxnId="{03BD7F77-8262-4414-98D2-B9594C1257AA}">
      <dgm:prSet/>
      <dgm:spPr/>
      <dgm:t>
        <a:bodyPr/>
        <a:lstStyle/>
        <a:p>
          <a:endParaRPr lang="en-GB"/>
        </a:p>
      </dgm:t>
    </dgm:pt>
    <dgm:pt modelId="{FD7CC16C-6F65-4379-A8CF-F9B742623405}" type="sibTrans" cxnId="{03BD7F77-8262-4414-98D2-B9594C1257AA}">
      <dgm:prSet/>
      <dgm:spPr/>
      <dgm:t>
        <a:bodyPr/>
        <a:lstStyle/>
        <a:p>
          <a:endParaRPr lang="en-GB"/>
        </a:p>
      </dgm:t>
    </dgm:pt>
    <dgm:pt modelId="{9DF0438B-27C8-4D98-B267-E7DDB7456236}">
      <dgm:prSet/>
      <dgm:spPr/>
      <dgm:t>
        <a:bodyPr/>
        <a:lstStyle/>
        <a:p>
          <a:pPr rtl="0"/>
          <a:r>
            <a:rPr lang="en-GB" b="0" i="0" u="none">
              <a:latin typeface="Arial" panose="020B0604020202020204" pitchFamily="34" charset="0"/>
              <a:cs typeface="Arial" panose="020B0604020202020204" pitchFamily="34" charset="0"/>
            </a:rPr>
            <a:t>Keep beneficial and objective interpretation of data.</a:t>
          </a:r>
          <a:endParaRPr lang="en-GB" b="0">
            <a:latin typeface="Arial" panose="020B0604020202020204" pitchFamily="34" charset="0"/>
            <a:cs typeface="Arial" panose="020B0604020202020204" pitchFamily="34" charset="0"/>
          </a:endParaRPr>
        </a:p>
      </dgm:t>
    </dgm:pt>
    <dgm:pt modelId="{3121B099-E762-42D3-BD38-5A4BA76185B8}" type="parTrans" cxnId="{8D5096EE-0071-4FDC-B08B-D3C3DB1826F7}">
      <dgm:prSet/>
      <dgm:spPr/>
      <dgm:t>
        <a:bodyPr/>
        <a:lstStyle/>
        <a:p>
          <a:endParaRPr lang="en-GB"/>
        </a:p>
      </dgm:t>
    </dgm:pt>
    <dgm:pt modelId="{93DA05A4-57CE-445A-8D1F-8FF52847E273}" type="sibTrans" cxnId="{8D5096EE-0071-4FDC-B08B-D3C3DB1826F7}">
      <dgm:prSet/>
      <dgm:spPr/>
      <dgm:t>
        <a:bodyPr/>
        <a:lstStyle/>
        <a:p>
          <a:endParaRPr lang="en-GB"/>
        </a:p>
      </dgm:t>
    </dgm:pt>
    <dgm:pt modelId="{8C9B9ECF-9E5E-43A2-B910-085339D047B8}">
      <dgm:prSet/>
      <dgm:spPr/>
      <dgm:t>
        <a:bodyPr/>
        <a:lstStyle/>
        <a:p>
          <a:pPr rtl="0"/>
          <a:r>
            <a:rPr lang="en-GB" b="0" i="0" u="none">
              <a:latin typeface="Arial" panose="020B0604020202020204" pitchFamily="34" charset="0"/>
              <a:cs typeface="Arial" panose="020B0604020202020204" pitchFamily="34" charset="0"/>
            </a:rPr>
            <a:t>Comply with research policies in the NHS and universities.</a:t>
          </a:r>
          <a:endParaRPr lang="en-GB" b="0">
            <a:latin typeface="Arial" panose="020B0604020202020204" pitchFamily="34" charset="0"/>
            <a:cs typeface="Arial" panose="020B0604020202020204" pitchFamily="34" charset="0"/>
          </a:endParaRPr>
        </a:p>
      </dgm:t>
    </dgm:pt>
    <dgm:pt modelId="{36FCCAD1-AE03-4271-BBED-EACBF72B36B3}" type="parTrans" cxnId="{3356614A-46BB-4590-BD97-7EBFB73C497E}">
      <dgm:prSet/>
      <dgm:spPr/>
      <dgm:t>
        <a:bodyPr/>
        <a:lstStyle/>
        <a:p>
          <a:endParaRPr lang="en-GB"/>
        </a:p>
      </dgm:t>
    </dgm:pt>
    <dgm:pt modelId="{457934D7-3393-4EE2-8130-43991C186F8E}" type="sibTrans" cxnId="{3356614A-46BB-4590-BD97-7EBFB73C497E}">
      <dgm:prSet/>
      <dgm:spPr/>
      <dgm:t>
        <a:bodyPr/>
        <a:lstStyle/>
        <a:p>
          <a:endParaRPr lang="en-GB"/>
        </a:p>
      </dgm:t>
    </dgm:pt>
    <dgm:pt modelId="{AF0B443F-5CEC-4886-8685-29D67B093EAC}">
      <dgm:prSet/>
      <dgm:spPr/>
      <dgm:t>
        <a:bodyPr/>
        <a:lstStyle/>
        <a:p>
          <a:r>
            <a:rPr lang="en-GB">
              <a:latin typeface="Arial" panose="020B0604020202020204" pitchFamily="34" charset="0"/>
              <a:cs typeface="Arial" panose="020B0604020202020204" pitchFamily="34" charset="0"/>
            </a:rPr>
            <a:t>Proper use of published information without distorting any results achieved by others.</a:t>
          </a:r>
        </a:p>
      </dgm:t>
    </dgm:pt>
    <dgm:pt modelId="{4037E778-7794-42B3-BD8A-B537F9A6E0EE}" type="parTrans" cxnId="{ABA8C99D-51B8-4617-B27D-F37C89F1325B}">
      <dgm:prSet/>
      <dgm:spPr/>
      <dgm:t>
        <a:bodyPr/>
        <a:lstStyle/>
        <a:p>
          <a:endParaRPr lang="en-GB"/>
        </a:p>
      </dgm:t>
    </dgm:pt>
    <dgm:pt modelId="{2F462DD6-7B48-44C2-B64B-C1C8246940DC}" type="sibTrans" cxnId="{ABA8C99D-51B8-4617-B27D-F37C89F1325B}">
      <dgm:prSet/>
      <dgm:spPr/>
      <dgm:t>
        <a:bodyPr/>
        <a:lstStyle/>
        <a:p>
          <a:endParaRPr lang="en-GB"/>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797EC4A-AF0D-49DF-9514-446B8DF1FED0}" type="pres">
      <dgm:prSet presAssocID="{E75C2B38-DF83-45BF-B20B-1F17069E50C7}" presName="composite" presStyleCnt="0"/>
      <dgm:spPr/>
    </dgm:pt>
    <dgm:pt modelId="{D38C7CC0-E72E-4F23-9949-682BA4115534}" type="pres">
      <dgm:prSet presAssocID="{E75C2B38-DF83-45BF-B20B-1F17069E50C7}" presName="parTx" presStyleLbl="alignNode1" presStyleIdx="2" presStyleCnt="5">
        <dgm:presLayoutVars>
          <dgm:chMax val="0"/>
          <dgm:chPref val="0"/>
          <dgm:bulletEnabled val="1"/>
        </dgm:presLayoutVars>
      </dgm:prSet>
      <dgm:spPr/>
    </dgm:pt>
    <dgm:pt modelId="{AC716ED6-BD39-47D4-810A-E03710971C3D}" type="pres">
      <dgm:prSet presAssocID="{E75C2B38-DF83-45BF-B20B-1F17069E50C7}" presName="desTx" presStyleLbl="alignAccFollowNode1" presStyleIdx="2" presStyleCnt="5">
        <dgm:presLayoutVars>
          <dgm:bulletEnabled val="1"/>
        </dgm:presLayoutVars>
      </dgm:prSet>
      <dgm:spPr/>
    </dgm:pt>
    <dgm:pt modelId="{9472AC09-3939-436D-A599-227C71D0AE8C}" type="pres">
      <dgm:prSet presAssocID="{FD7CC16C-6F65-4379-A8CF-F9B742623405}"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22A85903-3C7A-4EA4-A52E-561031E8FFEF}" srcId="{DED7677A-A811-4E99-A359-AF267F66CB3B}" destId="{D7E52460-8AED-475D-A1A8-F2C54E9796A4}" srcOrd="0" destOrd="0" parTransId="{B261485C-F465-4F43-BE82-20DEA24C5CC3}" sibTransId="{87E258AF-1BD4-4D03-BD8A-1CCC35BB7FEA}"/>
    <dgm:cxn modelId="{3009CB03-AD17-4424-B27C-610527C931AD}" srcId="{F5AC5549-675B-444B-905D-2F1D9FDC1779}" destId="{14C35909-0CA0-4AFA-84DF-4724F28F1306}" srcOrd="0" destOrd="0" parTransId="{F8EE91CA-2F6B-4E94-B89A-087847C843F2}" sibTransId="{EACFAB66-FFE4-45B1-9D24-283CBD28A2BF}"/>
    <dgm:cxn modelId="{DA224816-7824-4FE5-9CD1-3E0ECE27E8A0}" srcId="{D895BCAF-11FD-4161-9460-71155FF594D5}" destId="{DD8DD7F7-557F-4529-952E-996BE575A6CC}" srcOrd="0" destOrd="0" parTransId="{898A7FBF-8854-4FCD-8F75-6D0A10D342BF}" sibTransId="{069345D4-AF17-4BE2-BEFD-16AAD453ED22}"/>
    <dgm:cxn modelId="{5E601537-CD9B-4BAF-9B65-4E25927CAAE0}" type="presOf" srcId="{AF0B443F-5CEC-4886-8685-29D67B093EAC}" destId="{3FAC58C7-563C-4DE2-B8E2-03C2F5DF4A75}" srcOrd="0" destOrd="1" presId="urn:microsoft.com/office/officeart/2005/8/layout/hList1"/>
    <dgm:cxn modelId="{FA852638-DAC3-4D61-ABAC-B81A7D204C47}" type="presOf" srcId="{14C35909-0CA0-4AFA-84DF-4724F28F1306}" destId="{3FAC58C7-563C-4DE2-B8E2-03C2F5DF4A75}" srcOrd="0" destOrd="0" presId="urn:microsoft.com/office/officeart/2005/8/layout/hList1"/>
    <dgm:cxn modelId="{56DD223B-87BE-41AD-A123-502044CB6C82}" srcId="{7634D104-7D93-4DC9-AA78-CFDC22EB2B7D}" destId="{D895BCAF-11FD-4161-9460-71155FF594D5}" srcOrd="0" destOrd="0" parTransId="{55C24B6C-44F8-45FA-AE8C-D7852F8F756E}" sibTransId="{1D8F6D8C-F89F-400C-A451-06369F630D13}"/>
    <dgm:cxn modelId="{62FECE3B-9486-4A25-BAF3-7526B10148D2}" type="presOf" srcId="{01D037F0-2765-435C-91D2-D1DB434EC8A8}" destId="{AC716ED6-BD39-47D4-810A-E03710971C3D}" srcOrd="0" destOrd="0" presId="urn:microsoft.com/office/officeart/2005/8/layout/hList1"/>
    <dgm:cxn modelId="{F047993C-E79F-4DF4-8E68-009CE95435BF}" srcId="{7634D104-7D93-4DC9-AA78-CFDC22EB2B7D}" destId="{F5AC5549-675B-444B-905D-2F1D9FDC1779}" srcOrd="4" destOrd="0" parTransId="{AC81EE79-FF8C-4405-963A-7F74BE293A69}" sibTransId="{B7249222-7390-4801-8772-10BB94E221D0}"/>
    <dgm:cxn modelId="{CB93FF67-74EB-4163-A9EC-6469F10734D1}" srcId="{7634D104-7D93-4DC9-AA78-CFDC22EB2B7D}" destId="{D2F35989-0D76-4707-8851-E95507DAC780}" srcOrd="1" destOrd="0" parTransId="{95A47F62-7CA1-4144-B825-A44483178729}" sibTransId="{B96B68E4-E5AE-4BB2-A658-AF9FA9406E6C}"/>
    <dgm:cxn modelId="{3356614A-46BB-4590-BD97-7EBFB73C497E}" srcId="{DED7677A-A811-4E99-A359-AF267F66CB3B}" destId="{8C9B9ECF-9E5E-43A2-B910-085339D047B8}" srcOrd="1" destOrd="0" parTransId="{36FCCAD1-AE03-4271-BBED-EACBF72B36B3}" sibTransId="{457934D7-3393-4EE2-8130-43991C186F8E}"/>
    <dgm:cxn modelId="{81E8ED4A-9C61-4261-A97E-A8FB2B721822}" srcId="{7634D104-7D93-4DC9-AA78-CFDC22EB2B7D}" destId="{DED7677A-A811-4E99-A359-AF267F66CB3B}" srcOrd="3" destOrd="0" parTransId="{F38EF5EE-50CB-434C-B7C2-9D5B46BCDA7A}" sibTransId="{9F4A521B-0AB9-4C49-8D3E-A4522CDAC745}"/>
    <dgm:cxn modelId="{96E2684B-9377-44C9-B8B1-CA19DF792328}" type="presOf" srcId="{F5AC5549-675B-444B-905D-2F1D9FDC1779}" destId="{527B8B4B-D6E7-4EB7-86F6-6A7D2579D756}" srcOrd="0" destOrd="0" presId="urn:microsoft.com/office/officeart/2005/8/layout/hList1"/>
    <dgm:cxn modelId="{7B456E74-CC66-4C6E-969A-07EDD7BC7722}" srcId="{D2F35989-0D76-4707-8851-E95507DAC780}" destId="{38DEA612-D95E-413E-91C7-30179C083E14}" srcOrd="1" destOrd="0" parTransId="{2A93278C-CECF-4A23-9AD2-902BA13EB96F}" sibTransId="{A752647B-A4E0-48D9-BF6F-CDFC26A473B2}"/>
    <dgm:cxn modelId="{03BD7F77-8262-4414-98D2-B9594C1257AA}" srcId="{7634D104-7D93-4DC9-AA78-CFDC22EB2B7D}" destId="{E75C2B38-DF83-45BF-B20B-1F17069E50C7}" srcOrd="2" destOrd="0" parTransId="{7EB39D7D-B94C-4147-A87F-5F2D32BBC2D2}" sibTransId="{FD7CC16C-6F65-4379-A8CF-F9B742623405}"/>
    <dgm:cxn modelId="{8A8EFB79-178F-412A-A9B8-79915A25EBD1}" type="presOf" srcId="{D895BCAF-11FD-4161-9460-71155FF594D5}" destId="{5E4A68E9-45A9-433C-B39E-FA98BC5055EA}" srcOrd="0" destOrd="0" presId="urn:microsoft.com/office/officeart/2005/8/layout/hList1"/>
    <dgm:cxn modelId="{0E5DA289-BB65-4787-8392-DCC4B8EF2DDE}" type="presOf" srcId="{D2F35989-0D76-4707-8851-E95507DAC780}" destId="{0F07604D-46A6-4ADA-B996-B9E43A897BA8}" srcOrd="0" destOrd="0" presId="urn:microsoft.com/office/officeart/2005/8/layout/hList1"/>
    <dgm:cxn modelId="{50399F99-CA42-4519-A42A-0D86A745351D}" srcId="{D895BCAF-11FD-4161-9460-71155FF594D5}" destId="{5CECF447-3269-43C1-8684-7D2899DE44BC}" srcOrd="1" destOrd="0" parTransId="{D0A02B86-C8A8-4295-A565-3AE13ED5E9DA}" sibTransId="{5E6A3980-ED3B-4F9D-BCF1-A3B66C070EE3}"/>
    <dgm:cxn modelId="{ABA8C99D-51B8-4617-B27D-F37C89F1325B}" srcId="{F5AC5549-675B-444B-905D-2F1D9FDC1779}" destId="{AF0B443F-5CEC-4886-8685-29D67B093EAC}" srcOrd="1" destOrd="0" parTransId="{4037E778-7794-42B3-BD8A-B537F9A6E0EE}" sibTransId="{2F462DD6-7B48-44C2-B64B-C1C8246940DC}"/>
    <dgm:cxn modelId="{394080A3-09F9-4AB7-A163-3D8FCA006287}" type="presOf" srcId="{38DEA612-D95E-413E-91C7-30179C083E14}" destId="{D9C43641-36D4-43D5-A2FD-0F9F6D2C43BC}" srcOrd="0" destOrd="1" presId="urn:microsoft.com/office/officeart/2005/8/layout/hList1"/>
    <dgm:cxn modelId="{C5EE5BB5-5328-454B-8412-2BA8E27B77FB}" type="presOf" srcId="{9DF0438B-27C8-4D98-B267-E7DDB7456236}" destId="{AC716ED6-BD39-47D4-810A-E03710971C3D}" srcOrd="0" destOrd="1" presId="urn:microsoft.com/office/officeart/2005/8/layout/hList1"/>
    <dgm:cxn modelId="{AFFDADBE-9470-4734-A1DC-A605E036D17D}" type="presOf" srcId="{D7E52460-8AED-475D-A1A8-F2C54E9796A4}" destId="{0426731F-8A3C-42F1-804E-8F6D7BF28D02}" srcOrd="0" destOrd="0" presId="urn:microsoft.com/office/officeart/2005/8/layout/hList1"/>
    <dgm:cxn modelId="{5B3ECFC8-0111-43F1-8365-FC647DD4BC0B}" type="presOf" srcId="{7634D104-7D93-4DC9-AA78-CFDC22EB2B7D}" destId="{15D7D02F-9806-4A7F-A42D-FE7E83343FED}" srcOrd="0" destOrd="0" presId="urn:microsoft.com/office/officeart/2005/8/layout/hList1"/>
    <dgm:cxn modelId="{ABFAA3CA-3C71-4B84-954E-AC55F68B8174}" type="presOf" srcId="{5CECF447-3269-43C1-8684-7D2899DE44BC}" destId="{0916EB88-9427-4C81-A0D0-B1BC4D25BFB9}" srcOrd="0" destOrd="1" presId="urn:microsoft.com/office/officeart/2005/8/layout/hList1"/>
    <dgm:cxn modelId="{6C7A69CD-497C-40CC-8B97-FCF9E67D8180}" type="presOf" srcId="{DD8DD7F7-557F-4529-952E-996BE575A6CC}" destId="{0916EB88-9427-4C81-A0D0-B1BC4D25BFB9}" srcOrd="0" destOrd="0" presId="urn:microsoft.com/office/officeart/2005/8/layout/hList1"/>
    <dgm:cxn modelId="{BD7855CD-E441-474B-81E5-EC849E45715B}" type="presOf" srcId="{8C9B9ECF-9E5E-43A2-B910-085339D047B8}" destId="{0426731F-8A3C-42F1-804E-8F6D7BF28D02}" srcOrd="0" destOrd="1" presId="urn:microsoft.com/office/officeart/2005/8/layout/hList1"/>
    <dgm:cxn modelId="{01A4F6D4-1B77-4817-AA7E-7735A2D76060}" srcId="{E75C2B38-DF83-45BF-B20B-1F17069E50C7}" destId="{01D037F0-2765-435C-91D2-D1DB434EC8A8}" srcOrd="0" destOrd="0" parTransId="{CFE5673E-D7BF-4D62-80E0-CCC380A8F398}" sibTransId="{30BCD719-037A-4203-BA7C-2AFD5A749D37}"/>
    <dgm:cxn modelId="{316D25DD-9528-4851-9148-4990FD0D21C7}" type="presOf" srcId="{DED7677A-A811-4E99-A359-AF267F66CB3B}" destId="{4B0BA49E-53FB-4A48-8A53-1DCC68267D3A}" srcOrd="0" destOrd="0" presId="urn:microsoft.com/office/officeart/2005/8/layout/hList1"/>
    <dgm:cxn modelId="{8D5096EE-0071-4FDC-B08B-D3C3DB1826F7}" srcId="{E75C2B38-DF83-45BF-B20B-1F17069E50C7}" destId="{9DF0438B-27C8-4D98-B267-E7DDB7456236}" srcOrd="1" destOrd="0" parTransId="{3121B099-E762-42D3-BD38-5A4BA76185B8}" sibTransId="{93DA05A4-57CE-445A-8D1F-8FF52847E273}"/>
    <dgm:cxn modelId="{42FEF1F4-E99C-4C9F-AB61-D3FC40FD6553}" type="presOf" srcId="{B8AA4B07-C565-4CCF-9950-02D7DCC3515C}" destId="{D9C43641-36D4-43D5-A2FD-0F9F6D2C43BC}" srcOrd="0" destOrd="0" presId="urn:microsoft.com/office/officeart/2005/8/layout/hList1"/>
    <dgm:cxn modelId="{E27784F5-1B03-41CD-BEEC-2B292357DBB8}" type="presOf" srcId="{E75C2B38-DF83-45BF-B20B-1F17069E50C7}" destId="{D38C7CC0-E72E-4F23-9949-682BA4115534}"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6075A384-1FAC-4107-BA27-EFD456BED04B}" type="presParOf" srcId="{15D7D02F-9806-4A7F-A42D-FE7E83343FED}" destId="{060EE54F-9EBC-4508-90E0-A71D8106BA41}" srcOrd="0" destOrd="0" presId="urn:microsoft.com/office/officeart/2005/8/layout/hList1"/>
    <dgm:cxn modelId="{45B0EA35-EE33-4840-8F93-EF25E2295F2A}" type="presParOf" srcId="{060EE54F-9EBC-4508-90E0-A71D8106BA41}" destId="{5E4A68E9-45A9-433C-B39E-FA98BC5055EA}" srcOrd="0" destOrd="0" presId="urn:microsoft.com/office/officeart/2005/8/layout/hList1"/>
    <dgm:cxn modelId="{04A54C5E-9459-401C-9675-070B2FC86350}" type="presParOf" srcId="{060EE54F-9EBC-4508-90E0-A71D8106BA41}" destId="{0916EB88-9427-4C81-A0D0-B1BC4D25BFB9}" srcOrd="1" destOrd="0" presId="urn:microsoft.com/office/officeart/2005/8/layout/hList1"/>
    <dgm:cxn modelId="{BC56DA8D-D3B1-4C94-AC04-323559F19597}" type="presParOf" srcId="{15D7D02F-9806-4A7F-A42D-FE7E83343FED}" destId="{5A8A88A5-B4F4-47DC-BABC-220E75C6B14E}" srcOrd="1" destOrd="0" presId="urn:microsoft.com/office/officeart/2005/8/layout/hList1"/>
    <dgm:cxn modelId="{6C7BB5E4-7D3D-4591-B4BF-FBC8D0C4F9C3}" type="presParOf" srcId="{15D7D02F-9806-4A7F-A42D-FE7E83343FED}" destId="{ABE7DA82-7937-4173-A683-867FD7F4045F}" srcOrd="2" destOrd="0" presId="urn:microsoft.com/office/officeart/2005/8/layout/hList1"/>
    <dgm:cxn modelId="{3E97BEFD-6C17-4929-AFD1-222B4C75C15D}" type="presParOf" srcId="{ABE7DA82-7937-4173-A683-867FD7F4045F}" destId="{0F07604D-46A6-4ADA-B996-B9E43A897BA8}" srcOrd="0" destOrd="0" presId="urn:microsoft.com/office/officeart/2005/8/layout/hList1"/>
    <dgm:cxn modelId="{81515390-0C23-43FB-8CAF-37839BF41641}" type="presParOf" srcId="{ABE7DA82-7937-4173-A683-867FD7F4045F}" destId="{D9C43641-36D4-43D5-A2FD-0F9F6D2C43BC}" srcOrd="1" destOrd="0" presId="urn:microsoft.com/office/officeart/2005/8/layout/hList1"/>
    <dgm:cxn modelId="{96CB1DF6-3CCA-4BB3-8BA3-FF5C1F1C9120}" type="presParOf" srcId="{15D7D02F-9806-4A7F-A42D-FE7E83343FED}" destId="{8D77E0EF-A152-4EF7-A7FC-CC6FAF7F6B43}" srcOrd="3" destOrd="0" presId="urn:microsoft.com/office/officeart/2005/8/layout/hList1"/>
    <dgm:cxn modelId="{AF3CE166-D8A8-4AE7-963D-B1555EF95940}" type="presParOf" srcId="{15D7D02F-9806-4A7F-A42D-FE7E83343FED}" destId="{D797EC4A-AF0D-49DF-9514-446B8DF1FED0}" srcOrd="4" destOrd="0" presId="urn:microsoft.com/office/officeart/2005/8/layout/hList1"/>
    <dgm:cxn modelId="{66CF9560-2C7E-41FB-80F7-40CDFFC9E6A7}" type="presParOf" srcId="{D797EC4A-AF0D-49DF-9514-446B8DF1FED0}" destId="{D38C7CC0-E72E-4F23-9949-682BA4115534}" srcOrd="0" destOrd="0" presId="urn:microsoft.com/office/officeart/2005/8/layout/hList1"/>
    <dgm:cxn modelId="{2C71772D-0F8D-4D20-92E9-4734602E2D86}" type="presParOf" srcId="{D797EC4A-AF0D-49DF-9514-446B8DF1FED0}" destId="{AC716ED6-BD39-47D4-810A-E03710971C3D}" srcOrd="1" destOrd="0" presId="urn:microsoft.com/office/officeart/2005/8/layout/hList1"/>
    <dgm:cxn modelId="{1AC9CC61-977D-4C27-A84B-028DBA0286C0}" type="presParOf" srcId="{15D7D02F-9806-4A7F-A42D-FE7E83343FED}" destId="{9472AC09-3939-436D-A599-227C71D0AE8C}" srcOrd="5" destOrd="0" presId="urn:microsoft.com/office/officeart/2005/8/layout/hList1"/>
    <dgm:cxn modelId="{4AAD67D4-F03A-45E0-BF2F-A755CDAEEEAC}" type="presParOf" srcId="{15D7D02F-9806-4A7F-A42D-FE7E83343FED}" destId="{F2A85F99-7F33-46A4-9E84-7525455EC96E}" srcOrd="6" destOrd="0" presId="urn:microsoft.com/office/officeart/2005/8/layout/hList1"/>
    <dgm:cxn modelId="{68F508E3-DB1C-4480-A310-96A53FD876D0}" type="presParOf" srcId="{F2A85F99-7F33-46A4-9E84-7525455EC96E}" destId="{4B0BA49E-53FB-4A48-8A53-1DCC68267D3A}" srcOrd="0" destOrd="0" presId="urn:microsoft.com/office/officeart/2005/8/layout/hList1"/>
    <dgm:cxn modelId="{A13BCFEC-551B-4226-A412-63424C73ECEC}" type="presParOf" srcId="{F2A85F99-7F33-46A4-9E84-7525455EC96E}" destId="{0426731F-8A3C-42F1-804E-8F6D7BF28D02}" srcOrd="1" destOrd="0" presId="urn:microsoft.com/office/officeart/2005/8/layout/hList1"/>
    <dgm:cxn modelId="{75F8ACE4-AD92-46A0-9162-3FFDED3E347D}" type="presParOf" srcId="{15D7D02F-9806-4A7F-A42D-FE7E83343FED}" destId="{D9831088-02B0-4486-B332-594DEF4AFDB7}" srcOrd="7" destOrd="0" presId="urn:microsoft.com/office/officeart/2005/8/layout/hList1"/>
    <dgm:cxn modelId="{AAE4BD46-2F08-428F-B9BF-0E1F0BD19E32}" type="presParOf" srcId="{15D7D02F-9806-4A7F-A42D-FE7E83343FED}" destId="{25E0243E-9C63-48E2-BDA9-959F204AC029}" srcOrd="8" destOrd="0" presId="urn:microsoft.com/office/officeart/2005/8/layout/hList1"/>
    <dgm:cxn modelId="{B9663B3D-A9A2-45ED-8413-B913E5376BE2}" type="presParOf" srcId="{25E0243E-9C63-48E2-BDA9-959F204AC029}" destId="{527B8B4B-D6E7-4EB7-86F6-6A7D2579D756}" srcOrd="0" destOrd="0" presId="urn:microsoft.com/office/officeart/2005/8/layout/hList1"/>
    <dgm:cxn modelId="{4A1C5741-A196-4A1B-883E-62E8EFE5CE79}"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138384"/>
          <a:ext cx="1596851" cy="49625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b="1" i="0" kern="1200">
              <a:latin typeface="Arial" panose="020B0604020202020204" pitchFamily="34" charset="0"/>
              <a:cs typeface="Arial" panose="020B0604020202020204" pitchFamily="34" charset="0"/>
            </a:rPr>
            <a:t>Respect for Intellectual Property:</a:t>
          </a:r>
          <a:endParaRPr lang="en-GB" sz="1000" kern="1200">
            <a:latin typeface="Arial" panose="020B0604020202020204" pitchFamily="34" charset="0"/>
            <a:cs typeface="Arial" panose="020B0604020202020204" pitchFamily="34" charset="0"/>
          </a:endParaRPr>
        </a:p>
      </dsp:txBody>
      <dsp:txXfrm>
        <a:off x="4165" y="138384"/>
        <a:ext cx="1596851" cy="496252"/>
      </dsp:txXfrm>
    </dsp:sp>
    <dsp:sp modelId="{0916EB88-9427-4C81-A0D0-B1BC4D25BFB9}">
      <dsp:nvSpPr>
        <dsp:cNvPr id="0" name=""/>
        <dsp:cNvSpPr/>
      </dsp:nvSpPr>
      <dsp:spPr>
        <a:xfrm>
          <a:off x="4165" y="634636"/>
          <a:ext cx="1596851" cy="135105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150000"/>
            </a:lnSpc>
            <a:spcBef>
              <a:spcPct val="0"/>
            </a:spcBef>
            <a:spcAft>
              <a:spcPct val="15000"/>
            </a:spcAft>
            <a:buChar char="•"/>
          </a:pPr>
          <a:r>
            <a:rPr lang="en-GB" sz="1000" b="0" i="0" u="none" kern="1200">
              <a:latin typeface="Arial" panose="020B0604020202020204" pitchFamily="34" charset="0"/>
              <a:cs typeface="Arial" panose="020B0604020202020204" pitchFamily="34" charset="0"/>
            </a:rPr>
            <a:t>Practices of citation and proper referencing.</a:t>
          </a:r>
          <a:endParaRPr lang="en-GB" sz="1000" kern="1200" dirty="0">
            <a:latin typeface="Arial" panose="020B0604020202020204" pitchFamily="34" charset="0"/>
            <a:cs typeface="Arial" panose="020B0604020202020204" pitchFamily="34" charset="0"/>
          </a:endParaRPr>
        </a:p>
        <a:p>
          <a:pPr marL="57150" lvl="1" indent="-57150" algn="l" defTabSz="444500" rtl="0">
            <a:lnSpc>
              <a:spcPct val="90000"/>
            </a:lnSpc>
            <a:spcBef>
              <a:spcPct val="0"/>
            </a:spcBef>
            <a:spcAft>
              <a:spcPct val="15000"/>
            </a:spcAft>
            <a:buChar char="•"/>
          </a:pPr>
          <a:r>
            <a:rPr lang="en-GB" sz="1000" b="0" i="0" u="none" kern="1200">
              <a:latin typeface="Arial" panose="020B0604020202020204" pitchFamily="34" charset="0"/>
              <a:cs typeface="Arial" panose="020B0604020202020204" pitchFamily="34" charset="0"/>
            </a:rPr>
            <a:t>Plagiarism should be avoided by paraphrasing and attributing.</a:t>
          </a:r>
          <a:endParaRPr lang="en-GB" sz="1000" b="0" kern="1200">
            <a:latin typeface="Arial" panose="020B0604020202020204" pitchFamily="34" charset="0"/>
            <a:cs typeface="Arial" panose="020B0604020202020204" pitchFamily="34" charset="0"/>
          </a:endParaRPr>
        </a:p>
      </dsp:txBody>
      <dsp:txXfrm>
        <a:off x="4165" y="634636"/>
        <a:ext cx="1596851" cy="1351054"/>
      </dsp:txXfrm>
    </dsp:sp>
    <dsp:sp modelId="{0F07604D-46A6-4ADA-B996-B9E43A897BA8}">
      <dsp:nvSpPr>
        <dsp:cNvPr id="0" name=""/>
        <dsp:cNvSpPr/>
      </dsp:nvSpPr>
      <dsp:spPr>
        <a:xfrm>
          <a:off x="1824576" y="138384"/>
          <a:ext cx="1596851" cy="49625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b="1" i="0" kern="1200">
              <a:latin typeface="Arial" panose="020B0604020202020204" pitchFamily="34" charset="0"/>
              <a:cs typeface="Arial" panose="020B0604020202020204" pitchFamily="34" charset="0"/>
            </a:rPr>
            <a:t>Privacy and Confidentiality:</a:t>
          </a:r>
          <a:endParaRPr lang="en-GB" sz="1000" kern="1200">
            <a:latin typeface="Arial" panose="020B0604020202020204" pitchFamily="34" charset="0"/>
            <a:cs typeface="Arial" panose="020B0604020202020204" pitchFamily="34" charset="0"/>
          </a:endParaRPr>
        </a:p>
      </dsp:txBody>
      <dsp:txXfrm>
        <a:off x="1824576" y="138384"/>
        <a:ext cx="1596851" cy="496252"/>
      </dsp:txXfrm>
    </dsp:sp>
    <dsp:sp modelId="{D9C43641-36D4-43D5-A2FD-0F9F6D2C43BC}">
      <dsp:nvSpPr>
        <dsp:cNvPr id="0" name=""/>
        <dsp:cNvSpPr/>
      </dsp:nvSpPr>
      <dsp:spPr>
        <a:xfrm>
          <a:off x="1824576" y="634636"/>
          <a:ext cx="1596851" cy="135105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150000"/>
            </a:lnSpc>
            <a:spcBef>
              <a:spcPct val="0"/>
            </a:spcBef>
            <a:spcAft>
              <a:spcPct val="15000"/>
            </a:spcAft>
            <a:buChar char="•"/>
          </a:pPr>
          <a:r>
            <a:rPr lang="en-GB" sz="1000" b="0" i="0" u="none" kern="1200">
              <a:latin typeface="Arial" panose="020B0604020202020204" pitchFamily="34" charset="0"/>
              <a:cs typeface="Arial" panose="020B0604020202020204" pitchFamily="34" charset="0"/>
            </a:rPr>
            <a:t>Use anonymised secondary data when the need arises.</a:t>
          </a:r>
          <a:endParaRPr lang="en-GB" sz="1000" kern="1200">
            <a:latin typeface="Arial" panose="020B0604020202020204" pitchFamily="34" charset="0"/>
            <a:cs typeface="Arial" panose="020B0604020202020204" pitchFamily="34" charset="0"/>
          </a:endParaRPr>
        </a:p>
        <a:p>
          <a:pPr marL="57150" lvl="1" indent="-57150" algn="l" defTabSz="444500" rtl="0">
            <a:lnSpc>
              <a:spcPct val="90000"/>
            </a:lnSpc>
            <a:spcBef>
              <a:spcPct val="0"/>
            </a:spcBef>
            <a:spcAft>
              <a:spcPct val="15000"/>
            </a:spcAft>
            <a:buChar char="•"/>
          </a:pPr>
          <a:r>
            <a:rPr lang="en-GB" sz="1000" b="0" i="0" u="none" kern="1200">
              <a:latin typeface="Arial" panose="020B0604020202020204" pitchFamily="34" charset="0"/>
              <a:cs typeface="Arial" panose="020B0604020202020204" pitchFamily="34" charset="0"/>
            </a:rPr>
            <a:t>Sensitive information about patients should not be disclosed.</a:t>
          </a:r>
          <a:endParaRPr lang="en-GB" sz="1000" b="0" kern="1200">
            <a:latin typeface="Arial" panose="020B0604020202020204" pitchFamily="34" charset="0"/>
            <a:cs typeface="Arial" panose="020B0604020202020204" pitchFamily="34" charset="0"/>
          </a:endParaRPr>
        </a:p>
      </dsp:txBody>
      <dsp:txXfrm>
        <a:off x="1824576" y="634636"/>
        <a:ext cx="1596851" cy="1351054"/>
      </dsp:txXfrm>
    </dsp:sp>
    <dsp:sp modelId="{D38C7CC0-E72E-4F23-9949-682BA4115534}">
      <dsp:nvSpPr>
        <dsp:cNvPr id="0" name=""/>
        <dsp:cNvSpPr/>
      </dsp:nvSpPr>
      <dsp:spPr>
        <a:xfrm>
          <a:off x="3644986" y="138384"/>
          <a:ext cx="1596851" cy="49625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b="1" i="0" kern="1200">
              <a:latin typeface="Arial" panose="020B0604020202020204" pitchFamily="34" charset="0"/>
              <a:cs typeface="Arial" panose="020B0604020202020204" pitchFamily="34" charset="0"/>
            </a:rPr>
            <a:t>Data Integrity and Reliability:</a:t>
          </a:r>
          <a:r>
            <a:rPr lang="en-GB" sz="1000" kern="1200">
              <a:latin typeface="Arial" panose="020B0604020202020204" pitchFamily="34" charset="0"/>
              <a:cs typeface="Arial" panose="020B0604020202020204" pitchFamily="34" charset="0"/>
            </a:rPr>
            <a:t> </a:t>
          </a:r>
        </a:p>
      </dsp:txBody>
      <dsp:txXfrm>
        <a:off x="3644986" y="138384"/>
        <a:ext cx="1596851" cy="496252"/>
      </dsp:txXfrm>
    </dsp:sp>
    <dsp:sp modelId="{AC716ED6-BD39-47D4-810A-E03710971C3D}">
      <dsp:nvSpPr>
        <dsp:cNvPr id="0" name=""/>
        <dsp:cNvSpPr/>
      </dsp:nvSpPr>
      <dsp:spPr>
        <a:xfrm>
          <a:off x="3644986" y="634636"/>
          <a:ext cx="1596851" cy="135105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150000"/>
            </a:lnSpc>
            <a:spcBef>
              <a:spcPct val="0"/>
            </a:spcBef>
            <a:spcAft>
              <a:spcPct val="15000"/>
            </a:spcAft>
            <a:buChar char="•"/>
          </a:pPr>
          <a:r>
            <a:rPr lang="en-GB" sz="1000" b="0" i="0" u="none" kern="1200">
              <a:latin typeface="Arial" panose="020B0604020202020204" pitchFamily="34" charset="0"/>
              <a:cs typeface="Arial" panose="020B0604020202020204" pitchFamily="34" charset="0"/>
            </a:rPr>
            <a:t>Choose peer-reviewed and credible academic resources.</a:t>
          </a:r>
          <a:endParaRPr lang="en-GB" sz="1000" kern="1200">
            <a:latin typeface="Arial" panose="020B0604020202020204" pitchFamily="34" charset="0"/>
            <a:cs typeface="Arial" panose="020B0604020202020204" pitchFamily="34" charset="0"/>
          </a:endParaRPr>
        </a:p>
        <a:p>
          <a:pPr marL="57150" lvl="1" indent="-57150" algn="l" defTabSz="444500" rtl="0">
            <a:lnSpc>
              <a:spcPct val="90000"/>
            </a:lnSpc>
            <a:spcBef>
              <a:spcPct val="0"/>
            </a:spcBef>
            <a:spcAft>
              <a:spcPct val="15000"/>
            </a:spcAft>
            <a:buChar char="•"/>
          </a:pPr>
          <a:r>
            <a:rPr lang="en-GB" sz="1000" b="0" i="0" u="none" kern="1200">
              <a:latin typeface="Arial" panose="020B0604020202020204" pitchFamily="34" charset="0"/>
              <a:cs typeface="Arial" panose="020B0604020202020204" pitchFamily="34" charset="0"/>
            </a:rPr>
            <a:t>Keep beneficial and objective interpretation of data.</a:t>
          </a:r>
          <a:endParaRPr lang="en-GB" sz="1000" b="0" kern="1200">
            <a:latin typeface="Arial" panose="020B0604020202020204" pitchFamily="34" charset="0"/>
            <a:cs typeface="Arial" panose="020B0604020202020204" pitchFamily="34" charset="0"/>
          </a:endParaRPr>
        </a:p>
      </dsp:txBody>
      <dsp:txXfrm>
        <a:off x="3644986" y="634636"/>
        <a:ext cx="1596851" cy="1351054"/>
      </dsp:txXfrm>
    </dsp:sp>
    <dsp:sp modelId="{4B0BA49E-53FB-4A48-8A53-1DCC68267D3A}">
      <dsp:nvSpPr>
        <dsp:cNvPr id="0" name=""/>
        <dsp:cNvSpPr/>
      </dsp:nvSpPr>
      <dsp:spPr>
        <a:xfrm>
          <a:off x="5465397" y="138384"/>
          <a:ext cx="1596851" cy="49625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b="1" i="0" kern="1200" dirty="0">
              <a:latin typeface="Arial" panose="020B0604020202020204" pitchFamily="34" charset="0"/>
              <a:cs typeface="Arial" panose="020B0604020202020204" pitchFamily="34" charset="0"/>
            </a:rPr>
            <a:t>Compliance with Laws and Regulations:</a:t>
          </a:r>
          <a:endParaRPr lang="en-GB" sz="1000" kern="1200" dirty="0">
            <a:latin typeface="Arial" panose="020B0604020202020204" pitchFamily="34" charset="0"/>
            <a:cs typeface="Arial" panose="020B0604020202020204" pitchFamily="34" charset="0"/>
          </a:endParaRPr>
        </a:p>
      </dsp:txBody>
      <dsp:txXfrm>
        <a:off x="5465397" y="138384"/>
        <a:ext cx="1596851" cy="496252"/>
      </dsp:txXfrm>
    </dsp:sp>
    <dsp:sp modelId="{0426731F-8A3C-42F1-804E-8F6D7BF28D02}">
      <dsp:nvSpPr>
        <dsp:cNvPr id="0" name=""/>
        <dsp:cNvSpPr/>
      </dsp:nvSpPr>
      <dsp:spPr>
        <a:xfrm>
          <a:off x="5465397" y="634636"/>
          <a:ext cx="1596851" cy="135105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150000"/>
            </a:lnSpc>
            <a:spcBef>
              <a:spcPct val="0"/>
            </a:spcBef>
            <a:spcAft>
              <a:spcPct val="15000"/>
            </a:spcAft>
            <a:buChar char="•"/>
          </a:pPr>
          <a:r>
            <a:rPr lang="en-GB" sz="1000" b="0" i="0" u="none" kern="1200">
              <a:latin typeface="Arial" panose="020B0604020202020204" pitchFamily="34" charset="0"/>
              <a:cs typeface="Arial" panose="020B0604020202020204" pitchFamily="34" charset="0"/>
            </a:rPr>
            <a:t>Adhere to UK GDPR and principles of data protection.</a:t>
          </a:r>
          <a:endParaRPr lang="en-GB" sz="1000" kern="1200" dirty="0">
            <a:latin typeface="Arial" panose="020B0604020202020204" pitchFamily="34" charset="0"/>
            <a:cs typeface="Arial" panose="020B0604020202020204" pitchFamily="34" charset="0"/>
          </a:endParaRPr>
        </a:p>
        <a:p>
          <a:pPr marL="57150" lvl="1" indent="-57150" algn="l" defTabSz="444500" rtl="0">
            <a:lnSpc>
              <a:spcPct val="90000"/>
            </a:lnSpc>
            <a:spcBef>
              <a:spcPct val="0"/>
            </a:spcBef>
            <a:spcAft>
              <a:spcPct val="15000"/>
            </a:spcAft>
            <a:buChar char="•"/>
          </a:pPr>
          <a:r>
            <a:rPr lang="en-GB" sz="1000" b="0" i="0" u="none" kern="1200">
              <a:latin typeface="Arial" panose="020B0604020202020204" pitchFamily="34" charset="0"/>
              <a:cs typeface="Arial" panose="020B0604020202020204" pitchFamily="34" charset="0"/>
            </a:rPr>
            <a:t>Comply with research policies in the NHS and universities.</a:t>
          </a:r>
          <a:endParaRPr lang="en-GB" sz="1000" b="0" kern="1200">
            <a:latin typeface="Arial" panose="020B0604020202020204" pitchFamily="34" charset="0"/>
            <a:cs typeface="Arial" panose="020B0604020202020204" pitchFamily="34" charset="0"/>
          </a:endParaRPr>
        </a:p>
      </dsp:txBody>
      <dsp:txXfrm>
        <a:off x="5465397" y="634636"/>
        <a:ext cx="1596851" cy="1351054"/>
      </dsp:txXfrm>
    </dsp:sp>
    <dsp:sp modelId="{527B8B4B-D6E7-4EB7-86F6-6A7D2579D756}">
      <dsp:nvSpPr>
        <dsp:cNvPr id="0" name=""/>
        <dsp:cNvSpPr/>
      </dsp:nvSpPr>
      <dsp:spPr>
        <a:xfrm>
          <a:off x="7285807" y="138384"/>
          <a:ext cx="1596851" cy="496252"/>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150000"/>
            </a:lnSpc>
            <a:spcBef>
              <a:spcPct val="0"/>
            </a:spcBef>
            <a:spcAft>
              <a:spcPct val="35000"/>
            </a:spcAft>
            <a:buNone/>
          </a:pPr>
          <a:r>
            <a:rPr lang="en-GB" sz="1000" b="1" i="0" kern="1200" dirty="0">
              <a:solidFill>
                <a:sysClr val="window" lastClr="FFFFFF"/>
              </a:solidFill>
              <a:latin typeface="Arial" panose="020B0604020202020204" pitchFamily="34" charset="0"/>
              <a:ea typeface="+mn-ea"/>
              <a:cs typeface="Arial" panose="020B0604020202020204" pitchFamily="34" charset="0"/>
            </a:rPr>
            <a:t>Published data usage</a:t>
          </a:r>
          <a:endParaRPr lang="en-GB" sz="1000" kern="1200" dirty="0">
            <a:latin typeface="Arial" panose="020B0604020202020204" pitchFamily="34" charset="0"/>
            <a:cs typeface="Arial" panose="020B0604020202020204" pitchFamily="34" charset="0"/>
          </a:endParaRPr>
        </a:p>
      </dsp:txBody>
      <dsp:txXfrm>
        <a:off x="7285807" y="138384"/>
        <a:ext cx="1596851" cy="496252"/>
      </dsp:txXfrm>
    </dsp:sp>
    <dsp:sp modelId="{3FAC58C7-563C-4DE2-B8E2-03C2F5DF4A75}">
      <dsp:nvSpPr>
        <dsp:cNvPr id="0" name=""/>
        <dsp:cNvSpPr/>
      </dsp:nvSpPr>
      <dsp:spPr>
        <a:xfrm>
          <a:off x="7285807" y="634636"/>
          <a:ext cx="1596851" cy="135105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Observing academic integrity via proper Harvard referencing of all the secondary resources.</a:t>
          </a:r>
          <a:endParaRPr lang="en-GB" sz="1000" kern="1200" dirty="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Proper use of published information without distorting any results achieved by others.</a:t>
          </a:r>
        </a:p>
      </dsp:txBody>
      <dsp:txXfrm>
        <a:off x="7285807" y="634636"/>
        <a:ext cx="1596851" cy="1351054"/>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58E7166-17F0-4485-B1F8-DF4AA6449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2026-07-23T11:06:00Z</dcterms:created>
  <dcterms:modified xsi:type="dcterms:W3CDTF">2026-07-23T11:06:00Z</dcterms:modified>
</cp:coreProperties>
</file>