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i w:val="1"/>
          <w:iCs w:val="1"/>
          <w:sz w:val="22"/>
          <w:szCs w:val="22"/>
        </w:rPr>
      </w:pPr>
      <w:bookmarkStart w:colFirst="0" w:colLast="0" w:name="_sa20t8x01yc4" w:id="0"/>
      <w:bookmarkEnd w:id="0"/>
      <w:r w:rsidDel="00000000" w:rsidR="00000000" w:rsidRPr="00000000">
        <w:rPr>
          <w:b w:val="1"/>
          <w:bCs w:val="1"/>
          <w:sz w:val="22"/>
          <w:szCs w:val="22"/>
          <w:rtl w:val="0"/>
        </w:rPr>
        <w:t xml:space="preserve">Research Process Reflection  </w:t>
      </w:r>
      <w:r w:rsidDel="00000000" w:rsidR="00000000" w:rsidRPr="00000000">
        <w:rPr>
          <w:rtl w:val="0"/>
        </w:rPr>
      </w:r>
    </w:p>
    <w:p w:rsidR="00000000" w:rsidDel="00000000" w:rsidP="00000000" w:rsidRDefault="00000000" w:rsidRPr="00000000" w14:paraId="00000002">
      <w:pPr>
        <w:spacing w:line="360" w:lineRule="auto"/>
        <w:jc w:val="both"/>
        <w:rPr/>
      </w:pPr>
      <w:r w:rsidDel="00000000" w:rsidR="00000000" w:rsidRPr="00000000">
        <w:rPr>
          <w:rtl w:val="0"/>
        </w:rPr>
        <w:t xml:space="preserve">The independent project research on Employee Motivation and Talent Retention Strategies in High-Tech Giants, using Apple Inc. as a case study has been a highly developmental academic study process. The first step of identifying the topics to be covered and the last synthetical step necessitated critical decision making, justification of methods and intellectual involvement in intricate organisational behaviour theories. The report uploaded was the basis of the framework and the direction of analysis of the study.</w:t>
      </w:r>
    </w:p>
    <w:p w:rsidR="00000000" w:rsidDel="00000000" w:rsidP="00000000" w:rsidRDefault="00000000" w:rsidRPr="00000000" w14:paraId="00000003">
      <w:pPr>
        <w:spacing w:line="360" w:lineRule="auto"/>
        <w:jc w:val="both"/>
        <w:rPr/>
      </w:pPr>
      <w:r w:rsidDel="00000000" w:rsidR="00000000" w:rsidRPr="00000000">
        <w:rPr>
          <w:rtl w:val="0"/>
        </w:rPr>
        <w:t xml:space="preserve">The initial phase was the stage of identification of a topical and modern research problem. The topic was both scholarly and applied in nature due to the growing turnover, burnout and hybrid-work issues within high-tech organisations. The literature review and industry reports helped to understand that companies, such as Apple, are forced to work in high-pressure settings, which are defined by innovation cycles and talent shortages (Shi and Lai, 2019). This served to narrow the research goal and create clear research questions of motivation, retention, leadership, and comparative industry knowledge.</w:t>
      </w:r>
    </w:p>
    <w:p w:rsidR="00000000" w:rsidDel="00000000" w:rsidP="00000000" w:rsidRDefault="00000000" w:rsidRPr="00000000" w14:paraId="00000004">
      <w:pPr>
        <w:spacing w:line="360" w:lineRule="auto"/>
        <w:jc w:val="both"/>
        <w:rPr/>
      </w:pPr>
      <w:r w:rsidDel="00000000" w:rsidR="00000000" w:rsidRPr="00000000">
        <w:rPr>
          <w:rtl w:val="0"/>
        </w:rPr>
        <w:t xml:space="preserve">It was especially useful to conduct the literature review to develop my theoretical background. Classical motivation theories, the Hierarchy of Needs, Two-Factor Theory, Self-Determination Theory (SDT), and Expectancy Theory were a conceptual perspective that was utilized to analyze the practices of Apple. Yet, doing this research, I had to critically assess whether they can be applied to contemporary work settings. To provide an example, the autonomy, competence, and relatedness of SDT were close to intrinsic motivation elements in high-tech environments (Ryan and Deci, 2020), but Maslow hierarchy assumptions seemed excessively linear in modern, work-driven innovative workplaces. This criticism and its reading enabled me to deepen my analytical level and be able to understand the dynamics of motivation more comprehensively.</w:t>
      </w:r>
    </w:p>
    <w:p w:rsidR="00000000" w:rsidDel="00000000" w:rsidP="00000000" w:rsidRDefault="00000000" w:rsidRPr="00000000" w14:paraId="00000005">
      <w:pPr>
        <w:spacing w:line="360" w:lineRule="auto"/>
        <w:jc w:val="both"/>
        <w:rPr/>
      </w:pPr>
      <w:r w:rsidDel="00000000" w:rsidR="00000000" w:rsidRPr="00000000">
        <w:rPr>
          <w:rtl w:val="0"/>
        </w:rPr>
        <w:t xml:space="preserve">The other significant part of the process was methodology selection. I used the philosophy of positivism and deductive methods and used existing theories to explain the secondary data. This choice was in tandem with the objective of the project which was to analyse the available evidence instead of gathering primary data. However, objectivity in the interpretation of qualitative secondary sources necessitated the assessment of the sources, cross comparison and filtering out anecdotal evidence. The systematic literature review made the article more reliable as it guaranteed the transparency of search, inclusion, and exclusion criteria (Azevedo et al., 2021).</w:t>
      </w:r>
    </w:p>
    <w:p w:rsidR="00000000" w:rsidDel="00000000" w:rsidP="00000000" w:rsidRDefault="00000000" w:rsidRPr="00000000" w14:paraId="00000006">
      <w:pPr>
        <w:spacing w:line="360" w:lineRule="auto"/>
        <w:jc w:val="both"/>
        <w:rPr/>
      </w:pPr>
      <w:r w:rsidDel="00000000" w:rsidR="00000000" w:rsidRPr="00000000">
        <w:rPr>
          <w:rtl w:val="0"/>
        </w:rPr>
        <w:t xml:space="preserve">One of the most radical aspects of research was the implementation of thematic analysis based on the six phases of the framework suggested by Braun and Clarke (2006). It also involved me going past the level of summarisation into more advanced pattern recognition in a wide range of materials. The process of creating codes, grouping them into themes, and purifying them assisted me in identifying the common organisational trends like the role of leadership, recognition processes, psychological safety, and internal mobility. It was a rigorous and reflexive analytical process that enabled me to value the importance of qualitative understandings in bringing out structural sources of employee satisfaction and retention.</w:t>
      </w:r>
    </w:p>
    <w:p w:rsidR="00000000" w:rsidDel="00000000" w:rsidP="00000000" w:rsidRDefault="00000000" w:rsidRPr="00000000" w14:paraId="00000007">
      <w:pPr>
        <w:spacing w:line="360" w:lineRule="auto"/>
        <w:jc w:val="both"/>
        <w:rPr/>
      </w:pPr>
      <w:r w:rsidDel="00000000" w:rsidR="00000000" w:rsidRPr="00000000">
        <w:rPr>
          <w:rtl w:val="0"/>
        </w:rPr>
        <w:t xml:space="preserve">The benchmarking step, where Apple was compared to Google and Microsoft was an intellectual challenge: not to overgeneralise but recognise differences in context: culture, work design, and leadership models. Research on psychological safety at Google (Harvard Business Review, 2020) and growth-minded leadership at Microsoft (Athota, 2021) was used to build balanced and evidence-based comparisons.</w:t>
      </w:r>
    </w:p>
    <w:p w:rsidR="00000000" w:rsidDel="00000000" w:rsidP="00000000" w:rsidRDefault="00000000" w:rsidRPr="00000000" w14:paraId="00000008">
      <w:pPr>
        <w:spacing w:line="360" w:lineRule="auto"/>
        <w:jc w:val="both"/>
        <w:rPr/>
      </w:pPr>
      <w:r w:rsidDel="00000000" w:rsidR="00000000" w:rsidRPr="00000000">
        <w:rPr>
          <w:rtl w:val="0"/>
        </w:rPr>
        <w:t xml:space="preserve">In general, this research experience enhanced my critical thinking, academic writing, and methodological competency. It further increased my knowledge of how organisations can meet both performance and employee wellbeing needs by designing organised motivation and retention systems. Above all, the project sharpened my skills in synthesising theoretical models and practical organisational realities, which is a key skill in research and practice to come.</w:t>
      </w:r>
    </w:p>
    <w:p w:rsidR="00000000" w:rsidDel="00000000" w:rsidP="00000000" w:rsidRDefault="00000000" w:rsidRPr="00000000" w14:paraId="00000009">
      <w:pPr>
        <w:rPr/>
      </w:pPr>
      <w:r w:rsidDel="00000000" w:rsidR="00000000" w:rsidRPr="00000000">
        <w:rPr>
          <w:rtl w:val="0"/>
        </w:rPr>
        <w:t xml:space="preserve"> </w:t>
      </w:r>
    </w:p>
    <w:p w:rsidR="00000000" w:rsidDel="00000000" w:rsidP="00000000" w:rsidRDefault="00000000" w:rsidRPr="00000000" w14:paraId="0000000A">
      <w:pPr>
        <w:pStyle w:val="Heading3"/>
        <w:keepNext w:val="0"/>
        <w:keepLines w:val="0"/>
        <w:spacing w:before="280" w:lineRule="auto"/>
        <w:rPr>
          <w:b w:val="1"/>
          <w:bCs w:val="1"/>
          <w:color w:val="000000"/>
          <w:sz w:val="22"/>
          <w:szCs w:val="22"/>
        </w:rPr>
      </w:pPr>
      <w:bookmarkStart w:colFirst="0" w:colLast="0" w:name="_ufv138ouxlhv" w:id="1"/>
      <w:bookmarkEnd w:id="1"/>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3"/>
        <w:keepNext w:val="0"/>
        <w:keepLines w:val="0"/>
        <w:spacing w:before="280" w:lineRule="auto"/>
        <w:rPr>
          <w:b w:val="1"/>
          <w:bCs w:val="1"/>
          <w:color w:val="000000"/>
          <w:sz w:val="22"/>
          <w:szCs w:val="22"/>
        </w:rPr>
      </w:pPr>
      <w:bookmarkStart w:colFirst="0" w:colLast="0" w:name="_su0y1ovsvcux" w:id="2"/>
      <w:bookmarkEnd w:id="2"/>
      <w:r w:rsidDel="00000000" w:rsidR="00000000" w:rsidRPr="00000000">
        <w:rPr>
          <w:b w:val="1"/>
          <w:bCs w:val="1"/>
          <w:color w:val="000000"/>
          <w:sz w:val="22"/>
          <w:szCs w:val="22"/>
          <w:rtl w:val="0"/>
        </w:rPr>
        <w:t xml:space="preserve">References</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Athota, V. S. (2021). </w:t>
      </w:r>
      <w:r w:rsidDel="00000000" w:rsidR="00000000" w:rsidRPr="00000000">
        <w:rPr>
          <w:i w:val="1"/>
          <w:iCs w:val="1"/>
          <w:rtl w:val="0"/>
        </w:rPr>
        <w:t xml:space="preserve">Mind over Matter and Artificial Intelligence</w:t>
      </w:r>
      <w:r w:rsidDel="00000000" w:rsidR="00000000" w:rsidRPr="00000000">
        <w:rPr>
          <w:rtl w:val="0"/>
        </w:rPr>
        <w:t xml:space="preserve">. Springer.</w:t>
      </w:r>
    </w:p>
    <w:p w:rsidR="00000000" w:rsidDel="00000000" w:rsidP="00000000" w:rsidRDefault="00000000" w:rsidRPr="00000000" w14:paraId="0000000D">
      <w:pPr>
        <w:spacing w:after="240" w:before="240" w:lineRule="auto"/>
        <w:jc w:val="both"/>
        <w:rPr/>
      </w:pPr>
      <w:r w:rsidDel="00000000" w:rsidR="00000000" w:rsidRPr="00000000">
        <w:rPr>
          <w:rtl w:val="0"/>
        </w:rPr>
        <w:t xml:space="preserve">Azevedo, J., et al. (2021). Guidelines for industrial symbiosis. </w:t>
      </w:r>
      <w:r w:rsidDel="00000000" w:rsidR="00000000" w:rsidRPr="00000000">
        <w:rPr>
          <w:i w:val="1"/>
          <w:iCs w:val="1"/>
          <w:rtl w:val="0"/>
        </w:rPr>
        <w:t xml:space="preserve">Circular Economy and Sustainability</w:t>
      </w:r>
      <w:r w:rsidDel="00000000" w:rsidR="00000000" w:rsidRPr="00000000">
        <w:rPr>
          <w:rtl w:val="0"/>
        </w:rPr>
        <w:t xml:space="preserve">, 1(2), 507–523.</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Braun, V. and Clarke, V. (2006). Using thematic analysis in psychology. </w:t>
      </w:r>
      <w:r w:rsidDel="00000000" w:rsidR="00000000" w:rsidRPr="00000000">
        <w:rPr>
          <w:i w:val="1"/>
          <w:iCs w:val="1"/>
          <w:rtl w:val="0"/>
        </w:rPr>
        <w:t xml:space="preserve">Qualitative Research in Psychology</w:t>
      </w:r>
      <w:r w:rsidDel="00000000" w:rsidR="00000000" w:rsidRPr="00000000">
        <w:rPr>
          <w:rtl w:val="0"/>
        </w:rPr>
        <w:t xml:space="preserve">, 3(2), 77–101.</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Harvard Business Review. (2020). </w:t>
      </w:r>
      <w:r w:rsidDel="00000000" w:rsidR="00000000" w:rsidRPr="00000000">
        <w:rPr>
          <w:i w:val="1"/>
          <w:iCs w:val="1"/>
          <w:rtl w:val="0"/>
        </w:rPr>
        <w:t xml:space="preserve">How Apple Is Organized for Innovation</w:t>
      </w:r>
      <w:r w:rsidDel="00000000" w:rsidR="00000000" w:rsidRPr="00000000">
        <w:rPr>
          <w:rtl w:val="0"/>
        </w:rPr>
        <w:t xml:space="preserve">.</w:t>
      </w:r>
    </w:p>
    <w:p w:rsidR="00000000" w:rsidDel="00000000" w:rsidP="00000000" w:rsidRDefault="00000000" w:rsidRPr="00000000" w14:paraId="00000010">
      <w:pPr>
        <w:spacing w:after="240" w:before="240" w:lineRule="auto"/>
        <w:jc w:val="both"/>
        <w:rPr/>
      </w:pPr>
      <w:r w:rsidDel="00000000" w:rsidR="00000000" w:rsidRPr="00000000">
        <w:rPr>
          <w:rtl w:val="0"/>
        </w:rPr>
        <w:t xml:space="preserve">Ryan, R. M. and Deci, E. L. (2020). Intrinsic and extrinsic motivation. </w:t>
      </w:r>
      <w:r w:rsidDel="00000000" w:rsidR="00000000" w:rsidRPr="00000000">
        <w:rPr>
          <w:i w:val="1"/>
          <w:iCs w:val="1"/>
          <w:rtl w:val="0"/>
        </w:rPr>
        <w:t xml:space="preserve">Contemporary Educational Psychology</w:t>
      </w:r>
      <w:r w:rsidDel="00000000" w:rsidR="00000000" w:rsidRPr="00000000">
        <w:rPr>
          <w:rtl w:val="0"/>
        </w:rPr>
        <w:t xml:space="preserve">, 61, 101860.</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Shi, J. and Lai, W. (2019). Incentive factors in high-tech innovation. </w:t>
      </w:r>
      <w:r w:rsidDel="00000000" w:rsidR="00000000" w:rsidRPr="00000000">
        <w:rPr>
          <w:i w:val="1"/>
          <w:iCs w:val="1"/>
          <w:rtl w:val="0"/>
        </w:rPr>
        <w:t xml:space="preserve">International Journal of Innovation Science</w:t>
      </w:r>
      <w:r w:rsidDel="00000000" w:rsidR="00000000" w:rsidRPr="00000000">
        <w:rPr>
          <w:rtl w:val="0"/>
        </w:rPr>
        <w:t xml:space="preserve">, 11(4), 561–582.</w:t>
      </w:r>
    </w:p>
    <w:p w:rsidR="00000000" w:rsidDel="00000000" w:rsidP="00000000" w:rsidRDefault="00000000" w:rsidRPr="00000000" w14:paraId="0000001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