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DF781" w14:textId="77777777" w:rsidR="003C6EC3" w:rsidRDefault="003C6EC3" w:rsidP="00C24527">
      <w:pPr>
        <w:pStyle w:val="Heading1"/>
        <w:rPr>
          <w:rFonts w:ascii="Arial" w:hAnsi="Arial" w:cs="Arial"/>
          <w:b/>
          <w:bCs/>
          <w:sz w:val="24"/>
          <w:szCs w:val="24"/>
        </w:rPr>
      </w:pPr>
    </w:p>
    <w:p w14:paraId="5086D7D7" w14:textId="77777777" w:rsidR="003C6EC3" w:rsidRDefault="003C6EC3" w:rsidP="003C6EC3">
      <w:pPr>
        <w:rPr>
          <w:rFonts w:ascii="Arial" w:hAnsi="Arial" w:cs="Arial"/>
          <w:b/>
          <w:bCs/>
          <w:sz w:val="24"/>
          <w:szCs w:val="24"/>
        </w:rPr>
      </w:pPr>
    </w:p>
    <w:p w14:paraId="1C561058" w14:textId="4B1FE94A" w:rsidR="003C6EC3" w:rsidRDefault="00F758EE" w:rsidP="003C6EC3">
      <w:pPr>
        <w:rPr>
          <w:rFonts w:ascii="Arial" w:hAnsi="Arial" w:cs="Arial"/>
          <w:sz w:val="28"/>
          <w:szCs w:val="28"/>
        </w:rPr>
      </w:pPr>
      <w:r w:rsidRPr="00F758EE">
        <w:rPr>
          <w:rFonts w:ascii="Arial" w:hAnsi="Arial" w:cs="Arial"/>
          <w:sz w:val="28"/>
          <w:szCs w:val="28"/>
        </w:rPr>
        <w:t>Demographic Factors and the Choice of Insurance Policies among People in the UK aged 18-45</w:t>
      </w:r>
    </w:p>
    <w:p w14:paraId="157412DA" w14:textId="7400B0A7" w:rsidR="003C6EC3" w:rsidRDefault="003C6EC3" w:rsidP="003C6EC3">
      <w:pPr>
        <w:rPr>
          <w:rFonts w:ascii="Arial" w:hAnsi="Arial" w:cs="Arial"/>
          <w:b/>
          <w:bCs/>
          <w:sz w:val="24"/>
          <w:szCs w:val="24"/>
        </w:rPr>
      </w:pPr>
      <w:r w:rsidRPr="003C6EC3">
        <w:rPr>
          <w:rFonts w:ascii="Arial" w:hAnsi="Arial" w:cs="Arial"/>
          <w:sz w:val="28"/>
          <w:szCs w:val="28"/>
        </w:rPr>
        <w:br w:type="page"/>
      </w:r>
    </w:p>
    <w:sdt>
      <w:sdtPr>
        <w:rPr>
          <w:rFonts w:asciiTheme="minorHAnsi" w:eastAsiaTheme="minorHAnsi" w:hAnsiTheme="minorHAnsi" w:cstheme="minorBidi"/>
          <w:color w:val="auto"/>
          <w:kern w:val="2"/>
          <w:sz w:val="22"/>
          <w:szCs w:val="22"/>
          <w:lang w:val="en-GB"/>
          <w14:ligatures w14:val="standardContextual"/>
        </w:rPr>
        <w:id w:val="-1776155860"/>
        <w:docPartObj>
          <w:docPartGallery w:val="Table of Contents"/>
          <w:docPartUnique/>
        </w:docPartObj>
      </w:sdtPr>
      <w:sdtEndPr>
        <w:rPr>
          <w:b/>
          <w:bCs/>
          <w:noProof/>
        </w:rPr>
      </w:sdtEndPr>
      <w:sdtContent>
        <w:p w14:paraId="0AEE680E" w14:textId="5E9857FB" w:rsidR="00C24527" w:rsidRDefault="00C24527" w:rsidP="003C6EC3">
          <w:pPr>
            <w:pStyle w:val="TOCHeading"/>
          </w:pPr>
          <w:r>
            <w:t>Table of Contents</w:t>
          </w:r>
        </w:p>
        <w:p w14:paraId="7D4F6A29" w14:textId="1512E597" w:rsidR="00EA24C0" w:rsidRDefault="00C24527">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51558313" w:history="1">
            <w:r w:rsidR="00EA24C0" w:rsidRPr="00777FAD">
              <w:rPr>
                <w:rStyle w:val="Hyperlink"/>
                <w:rFonts w:ascii="Arial" w:hAnsi="Arial" w:cs="Arial"/>
                <w:b/>
                <w:bCs/>
                <w:noProof/>
              </w:rPr>
              <w:t>1. Introduction</w:t>
            </w:r>
            <w:r w:rsidR="00EA24C0">
              <w:rPr>
                <w:noProof/>
                <w:webHidden/>
              </w:rPr>
              <w:tab/>
            </w:r>
            <w:r w:rsidR="00EA24C0">
              <w:rPr>
                <w:noProof/>
                <w:webHidden/>
              </w:rPr>
              <w:fldChar w:fldCharType="begin"/>
            </w:r>
            <w:r w:rsidR="00EA24C0">
              <w:rPr>
                <w:noProof/>
                <w:webHidden/>
              </w:rPr>
              <w:instrText xml:space="preserve"> PAGEREF _Toc151558313 \h </w:instrText>
            </w:r>
            <w:r w:rsidR="00EA24C0">
              <w:rPr>
                <w:noProof/>
                <w:webHidden/>
              </w:rPr>
            </w:r>
            <w:r w:rsidR="00EA24C0">
              <w:rPr>
                <w:noProof/>
                <w:webHidden/>
              </w:rPr>
              <w:fldChar w:fldCharType="separate"/>
            </w:r>
            <w:r w:rsidR="00EA24C0">
              <w:rPr>
                <w:noProof/>
                <w:webHidden/>
              </w:rPr>
              <w:t>3</w:t>
            </w:r>
            <w:r w:rsidR="00EA24C0">
              <w:rPr>
                <w:noProof/>
                <w:webHidden/>
              </w:rPr>
              <w:fldChar w:fldCharType="end"/>
            </w:r>
          </w:hyperlink>
        </w:p>
        <w:p w14:paraId="6AA8A033" w14:textId="2549F1E8" w:rsidR="00EA24C0" w:rsidRDefault="00000000">
          <w:pPr>
            <w:pStyle w:val="TOC1"/>
            <w:tabs>
              <w:tab w:val="right" w:leader="dot" w:pos="9016"/>
            </w:tabs>
            <w:rPr>
              <w:rFonts w:eastAsiaTheme="minorEastAsia"/>
              <w:noProof/>
              <w:lang w:val="en-IN" w:eastAsia="en-IN"/>
            </w:rPr>
          </w:pPr>
          <w:hyperlink w:anchor="_Toc151558314" w:history="1">
            <w:r w:rsidR="00EA24C0" w:rsidRPr="00777FAD">
              <w:rPr>
                <w:rStyle w:val="Hyperlink"/>
                <w:rFonts w:ascii="Arial" w:hAnsi="Arial" w:cs="Arial"/>
                <w:b/>
                <w:bCs/>
                <w:noProof/>
              </w:rPr>
              <w:t>2. Methodology</w:t>
            </w:r>
            <w:r w:rsidR="00EA24C0">
              <w:rPr>
                <w:noProof/>
                <w:webHidden/>
              </w:rPr>
              <w:tab/>
            </w:r>
            <w:r w:rsidR="00EA24C0">
              <w:rPr>
                <w:noProof/>
                <w:webHidden/>
              </w:rPr>
              <w:fldChar w:fldCharType="begin"/>
            </w:r>
            <w:r w:rsidR="00EA24C0">
              <w:rPr>
                <w:noProof/>
                <w:webHidden/>
              </w:rPr>
              <w:instrText xml:space="preserve"> PAGEREF _Toc151558314 \h </w:instrText>
            </w:r>
            <w:r w:rsidR="00EA24C0">
              <w:rPr>
                <w:noProof/>
                <w:webHidden/>
              </w:rPr>
            </w:r>
            <w:r w:rsidR="00EA24C0">
              <w:rPr>
                <w:noProof/>
                <w:webHidden/>
              </w:rPr>
              <w:fldChar w:fldCharType="separate"/>
            </w:r>
            <w:r w:rsidR="00EA24C0">
              <w:rPr>
                <w:noProof/>
                <w:webHidden/>
              </w:rPr>
              <w:t>3</w:t>
            </w:r>
            <w:r w:rsidR="00EA24C0">
              <w:rPr>
                <w:noProof/>
                <w:webHidden/>
              </w:rPr>
              <w:fldChar w:fldCharType="end"/>
            </w:r>
          </w:hyperlink>
        </w:p>
        <w:p w14:paraId="6216C7BA" w14:textId="3B859B90" w:rsidR="00EA24C0" w:rsidRDefault="00000000">
          <w:pPr>
            <w:pStyle w:val="TOC2"/>
            <w:tabs>
              <w:tab w:val="right" w:leader="dot" w:pos="9016"/>
            </w:tabs>
            <w:rPr>
              <w:rFonts w:eastAsiaTheme="minorEastAsia"/>
              <w:noProof/>
              <w:lang w:val="en-IN" w:eastAsia="en-IN"/>
            </w:rPr>
          </w:pPr>
          <w:hyperlink w:anchor="_Toc151558315" w:history="1">
            <w:r w:rsidR="00EA24C0" w:rsidRPr="00777FAD">
              <w:rPr>
                <w:rStyle w:val="Hyperlink"/>
                <w:rFonts w:ascii="Arial" w:hAnsi="Arial" w:cs="Arial"/>
                <w:b/>
                <w:bCs/>
                <w:noProof/>
              </w:rPr>
              <w:t>2.1 Research Design</w:t>
            </w:r>
            <w:r w:rsidR="00EA24C0">
              <w:rPr>
                <w:noProof/>
                <w:webHidden/>
              </w:rPr>
              <w:tab/>
            </w:r>
            <w:r w:rsidR="00EA24C0">
              <w:rPr>
                <w:noProof/>
                <w:webHidden/>
              </w:rPr>
              <w:fldChar w:fldCharType="begin"/>
            </w:r>
            <w:r w:rsidR="00EA24C0">
              <w:rPr>
                <w:noProof/>
                <w:webHidden/>
              </w:rPr>
              <w:instrText xml:space="preserve"> PAGEREF _Toc151558315 \h </w:instrText>
            </w:r>
            <w:r w:rsidR="00EA24C0">
              <w:rPr>
                <w:noProof/>
                <w:webHidden/>
              </w:rPr>
            </w:r>
            <w:r w:rsidR="00EA24C0">
              <w:rPr>
                <w:noProof/>
                <w:webHidden/>
              </w:rPr>
              <w:fldChar w:fldCharType="separate"/>
            </w:r>
            <w:r w:rsidR="00EA24C0">
              <w:rPr>
                <w:noProof/>
                <w:webHidden/>
              </w:rPr>
              <w:t>3</w:t>
            </w:r>
            <w:r w:rsidR="00EA24C0">
              <w:rPr>
                <w:noProof/>
                <w:webHidden/>
              </w:rPr>
              <w:fldChar w:fldCharType="end"/>
            </w:r>
          </w:hyperlink>
        </w:p>
        <w:p w14:paraId="1EF9066F" w14:textId="1D65A841" w:rsidR="00EA24C0" w:rsidRDefault="00000000">
          <w:pPr>
            <w:pStyle w:val="TOC2"/>
            <w:tabs>
              <w:tab w:val="right" w:leader="dot" w:pos="9016"/>
            </w:tabs>
            <w:rPr>
              <w:rFonts w:eastAsiaTheme="minorEastAsia"/>
              <w:noProof/>
              <w:lang w:val="en-IN" w:eastAsia="en-IN"/>
            </w:rPr>
          </w:pPr>
          <w:hyperlink w:anchor="_Toc151558316" w:history="1">
            <w:r w:rsidR="00EA24C0" w:rsidRPr="00777FAD">
              <w:rPr>
                <w:rStyle w:val="Hyperlink"/>
                <w:rFonts w:ascii="Arial" w:hAnsi="Arial" w:cs="Arial"/>
                <w:b/>
                <w:bCs/>
                <w:noProof/>
              </w:rPr>
              <w:t>2.2 Data Collection Methods</w:t>
            </w:r>
            <w:r w:rsidR="00EA24C0">
              <w:rPr>
                <w:noProof/>
                <w:webHidden/>
              </w:rPr>
              <w:tab/>
            </w:r>
            <w:r w:rsidR="00EA24C0">
              <w:rPr>
                <w:noProof/>
                <w:webHidden/>
              </w:rPr>
              <w:fldChar w:fldCharType="begin"/>
            </w:r>
            <w:r w:rsidR="00EA24C0">
              <w:rPr>
                <w:noProof/>
                <w:webHidden/>
              </w:rPr>
              <w:instrText xml:space="preserve"> PAGEREF _Toc151558316 \h </w:instrText>
            </w:r>
            <w:r w:rsidR="00EA24C0">
              <w:rPr>
                <w:noProof/>
                <w:webHidden/>
              </w:rPr>
            </w:r>
            <w:r w:rsidR="00EA24C0">
              <w:rPr>
                <w:noProof/>
                <w:webHidden/>
              </w:rPr>
              <w:fldChar w:fldCharType="separate"/>
            </w:r>
            <w:r w:rsidR="00EA24C0">
              <w:rPr>
                <w:noProof/>
                <w:webHidden/>
              </w:rPr>
              <w:t>3</w:t>
            </w:r>
            <w:r w:rsidR="00EA24C0">
              <w:rPr>
                <w:noProof/>
                <w:webHidden/>
              </w:rPr>
              <w:fldChar w:fldCharType="end"/>
            </w:r>
          </w:hyperlink>
        </w:p>
        <w:p w14:paraId="52789E53" w14:textId="35ECB5A5" w:rsidR="00EA24C0" w:rsidRDefault="00000000">
          <w:pPr>
            <w:pStyle w:val="TOC2"/>
            <w:tabs>
              <w:tab w:val="right" w:leader="dot" w:pos="9016"/>
            </w:tabs>
            <w:rPr>
              <w:rFonts w:eastAsiaTheme="minorEastAsia"/>
              <w:noProof/>
              <w:lang w:val="en-IN" w:eastAsia="en-IN"/>
            </w:rPr>
          </w:pPr>
          <w:hyperlink w:anchor="_Toc151558317" w:history="1">
            <w:r w:rsidR="00EA24C0" w:rsidRPr="00777FAD">
              <w:rPr>
                <w:rStyle w:val="Hyperlink"/>
                <w:rFonts w:ascii="Arial" w:hAnsi="Arial" w:cs="Arial"/>
                <w:b/>
                <w:bCs/>
                <w:noProof/>
              </w:rPr>
              <w:t>2.3 Data Analysis Techniques</w:t>
            </w:r>
            <w:r w:rsidR="00EA24C0">
              <w:rPr>
                <w:noProof/>
                <w:webHidden/>
              </w:rPr>
              <w:tab/>
            </w:r>
            <w:r w:rsidR="00EA24C0">
              <w:rPr>
                <w:noProof/>
                <w:webHidden/>
              </w:rPr>
              <w:fldChar w:fldCharType="begin"/>
            </w:r>
            <w:r w:rsidR="00EA24C0">
              <w:rPr>
                <w:noProof/>
                <w:webHidden/>
              </w:rPr>
              <w:instrText xml:space="preserve"> PAGEREF _Toc151558317 \h </w:instrText>
            </w:r>
            <w:r w:rsidR="00EA24C0">
              <w:rPr>
                <w:noProof/>
                <w:webHidden/>
              </w:rPr>
            </w:r>
            <w:r w:rsidR="00EA24C0">
              <w:rPr>
                <w:noProof/>
                <w:webHidden/>
              </w:rPr>
              <w:fldChar w:fldCharType="separate"/>
            </w:r>
            <w:r w:rsidR="00EA24C0">
              <w:rPr>
                <w:noProof/>
                <w:webHidden/>
              </w:rPr>
              <w:t>4</w:t>
            </w:r>
            <w:r w:rsidR="00EA24C0">
              <w:rPr>
                <w:noProof/>
                <w:webHidden/>
              </w:rPr>
              <w:fldChar w:fldCharType="end"/>
            </w:r>
          </w:hyperlink>
        </w:p>
        <w:p w14:paraId="785EB35C" w14:textId="1D549E5F" w:rsidR="00EA24C0" w:rsidRDefault="00000000">
          <w:pPr>
            <w:pStyle w:val="TOC2"/>
            <w:tabs>
              <w:tab w:val="right" w:leader="dot" w:pos="9016"/>
            </w:tabs>
            <w:rPr>
              <w:rFonts w:eastAsiaTheme="minorEastAsia"/>
              <w:noProof/>
              <w:lang w:val="en-IN" w:eastAsia="en-IN"/>
            </w:rPr>
          </w:pPr>
          <w:hyperlink w:anchor="_Toc151558318" w:history="1">
            <w:r w:rsidR="00EA24C0" w:rsidRPr="00777FAD">
              <w:rPr>
                <w:rStyle w:val="Hyperlink"/>
                <w:rFonts w:ascii="Arial" w:hAnsi="Arial" w:cs="Arial"/>
                <w:b/>
                <w:bCs/>
                <w:noProof/>
              </w:rPr>
              <w:t>2.4 Sampling Strategy</w:t>
            </w:r>
            <w:r w:rsidR="00EA24C0">
              <w:rPr>
                <w:noProof/>
                <w:webHidden/>
              </w:rPr>
              <w:tab/>
            </w:r>
            <w:r w:rsidR="00EA24C0">
              <w:rPr>
                <w:noProof/>
                <w:webHidden/>
              </w:rPr>
              <w:fldChar w:fldCharType="begin"/>
            </w:r>
            <w:r w:rsidR="00EA24C0">
              <w:rPr>
                <w:noProof/>
                <w:webHidden/>
              </w:rPr>
              <w:instrText xml:space="preserve"> PAGEREF _Toc151558318 \h </w:instrText>
            </w:r>
            <w:r w:rsidR="00EA24C0">
              <w:rPr>
                <w:noProof/>
                <w:webHidden/>
              </w:rPr>
            </w:r>
            <w:r w:rsidR="00EA24C0">
              <w:rPr>
                <w:noProof/>
                <w:webHidden/>
              </w:rPr>
              <w:fldChar w:fldCharType="separate"/>
            </w:r>
            <w:r w:rsidR="00EA24C0">
              <w:rPr>
                <w:noProof/>
                <w:webHidden/>
              </w:rPr>
              <w:t>4</w:t>
            </w:r>
            <w:r w:rsidR="00EA24C0">
              <w:rPr>
                <w:noProof/>
                <w:webHidden/>
              </w:rPr>
              <w:fldChar w:fldCharType="end"/>
            </w:r>
          </w:hyperlink>
        </w:p>
        <w:p w14:paraId="6413CF20" w14:textId="344086D4" w:rsidR="00EA24C0" w:rsidRDefault="00000000">
          <w:pPr>
            <w:pStyle w:val="TOC2"/>
            <w:tabs>
              <w:tab w:val="right" w:leader="dot" w:pos="9016"/>
            </w:tabs>
            <w:rPr>
              <w:rFonts w:eastAsiaTheme="minorEastAsia"/>
              <w:noProof/>
              <w:lang w:val="en-IN" w:eastAsia="en-IN"/>
            </w:rPr>
          </w:pPr>
          <w:hyperlink w:anchor="_Toc151558319" w:history="1">
            <w:r w:rsidR="00EA24C0" w:rsidRPr="00777FAD">
              <w:rPr>
                <w:rStyle w:val="Hyperlink"/>
                <w:rFonts w:ascii="Arial" w:hAnsi="Arial" w:cs="Arial"/>
                <w:b/>
                <w:bCs/>
                <w:noProof/>
              </w:rPr>
              <w:t>2.5 Ethical Considerations</w:t>
            </w:r>
            <w:r w:rsidR="00EA24C0">
              <w:rPr>
                <w:noProof/>
                <w:webHidden/>
              </w:rPr>
              <w:tab/>
            </w:r>
            <w:r w:rsidR="00EA24C0">
              <w:rPr>
                <w:noProof/>
                <w:webHidden/>
              </w:rPr>
              <w:fldChar w:fldCharType="begin"/>
            </w:r>
            <w:r w:rsidR="00EA24C0">
              <w:rPr>
                <w:noProof/>
                <w:webHidden/>
              </w:rPr>
              <w:instrText xml:space="preserve"> PAGEREF _Toc151558319 \h </w:instrText>
            </w:r>
            <w:r w:rsidR="00EA24C0">
              <w:rPr>
                <w:noProof/>
                <w:webHidden/>
              </w:rPr>
            </w:r>
            <w:r w:rsidR="00EA24C0">
              <w:rPr>
                <w:noProof/>
                <w:webHidden/>
              </w:rPr>
              <w:fldChar w:fldCharType="separate"/>
            </w:r>
            <w:r w:rsidR="00EA24C0">
              <w:rPr>
                <w:noProof/>
                <w:webHidden/>
              </w:rPr>
              <w:t>4</w:t>
            </w:r>
            <w:r w:rsidR="00EA24C0">
              <w:rPr>
                <w:noProof/>
                <w:webHidden/>
              </w:rPr>
              <w:fldChar w:fldCharType="end"/>
            </w:r>
          </w:hyperlink>
        </w:p>
        <w:p w14:paraId="66FDDE75" w14:textId="5B938140" w:rsidR="00EA24C0" w:rsidRDefault="00000000">
          <w:pPr>
            <w:pStyle w:val="TOC1"/>
            <w:tabs>
              <w:tab w:val="right" w:leader="dot" w:pos="9016"/>
            </w:tabs>
            <w:rPr>
              <w:rFonts w:eastAsiaTheme="minorEastAsia"/>
              <w:noProof/>
              <w:lang w:val="en-IN" w:eastAsia="en-IN"/>
            </w:rPr>
          </w:pPr>
          <w:hyperlink w:anchor="_Toc151558320" w:history="1">
            <w:r w:rsidR="00EA24C0" w:rsidRPr="00777FAD">
              <w:rPr>
                <w:rStyle w:val="Hyperlink"/>
                <w:rFonts w:ascii="Arial" w:hAnsi="Arial" w:cs="Arial"/>
                <w:b/>
                <w:bCs/>
                <w:noProof/>
              </w:rPr>
              <w:t>3. Aims and Objectives</w:t>
            </w:r>
            <w:r w:rsidR="00EA24C0">
              <w:rPr>
                <w:noProof/>
                <w:webHidden/>
              </w:rPr>
              <w:tab/>
            </w:r>
            <w:r w:rsidR="00EA24C0">
              <w:rPr>
                <w:noProof/>
                <w:webHidden/>
              </w:rPr>
              <w:fldChar w:fldCharType="begin"/>
            </w:r>
            <w:r w:rsidR="00EA24C0">
              <w:rPr>
                <w:noProof/>
                <w:webHidden/>
              </w:rPr>
              <w:instrText xml:space="preserve"> PAGEREF _Toc151558320 \h </w:instrText>
            </w:r>
            <w:r w:rsidR="00EA24C0">
              <w:rPr>
                <w:noProof/>
                <w:webHidden/>
              </w:rPr>
            </w:r>
            <w:r w:rsidR="00EA24C0">
              <w:rPr>
                <w:noProof/>
                <w:webHidden/>
              </w:rPr>
              <w:fldChar w:fldCharType="separate"/>
            </w:r>
            <w:r w:rsidR="00EA24C0">
              <w:rPr>
                <w:noProof/>
                <w:webHidden/>
              </w:rPr>
              <w:t>4</w:t>
            </w:r>
            <w:r w:rsidR="00EA24C0">
              <w:rPr>
                <w:noProof/>
                <w:webHidden/>
              </w:rPr>
              <w:fldChar w:fldCharType="end"/>
            </w:r>
          </w:hyperlink>
        </w:p>
        <w:p w14:paraId="344C148F" w14:textId="150FB617" w:rsidR="00EA24C0" w:rsidRDefault="00000000">
          <w:pPr>
            <w:pStyle w:val="TOC1"/>
            <w:tabs>
              <w:tab w:val="right" w:leader="dot" w:pos="9016"/>
            </w:tabs>
            <w:rPr>
              <w:rFonts w:eastAsiaTheme="minorEastAsia"/>
              <w:noProof/>
              <w:lang w:val="en-IN" w:eastAsia="en-IN"/>
            </w:rPr>
          </w:pPr>
          <w:hyperlink w:anchor="_Toc151558321" w:history="1">
            <w:r w:rsidR="00EA24C0" w:rsidRPr="00777FAD">
              <w:rPr>
                <w:rStyle w:val="Hyperlink"/>
                <w:rFonts w:ascii="Arial" w:hAnsi="Arial" w:cs="Arial"/>
                <w:b/>
                <w:bCs/>
                <w:noProof/>
              </w:rPr>
              <w:t>4. Literature Review</w:t>
            </w:r>
            <w:r w:rsidR="00EA24C0">
              <w:rPr>
                <w:noProof/>
                <w:webHidden/>
              </w:rPr>
              <w:tab/>
            </w:r>
            <w:r w:rsidR="00EA24C0">
              <w:rPr>
                <w:noProof/>
                <w:webHidden/>
              </w:rPr>
              <w:fldChar w:fldCharType="begin"/>
            </w:r>
            <w:r w:rsidR="00EA24C0">
              <w:rPr>
                <w:noProof/>
                <w:webHidden/>
              </w:rPr>
              <w:instrText xml:space="preserve"> PAGEREF _Toc151558321 \h </w:instrText>
            </w:r>
            <w:r w:rsidR="00EA24C0">
              <w:rPr>
                <w:noProof/>
                <w:webHidden/>
              </w:rPr>
            </w:r>
            <w:r w:rsidR="00EA24C0">
              <w:rPr>
                <w:noProof/>
                <w:webHidden/>
              </w:rPr>
              <w:fldChar w:fldCharType="separate"/>
            </w:r>
            <w:r w:rsidR="00EA24C0">
              <w:rPr>
                <w:noProof/>
                <w:webHidden/>
              </w:rPr>
              <w:t>5</w:t>
            </w:r>
            <w:r w:rsidR="00EA24C0">
              <w:rPr>
                <w:noProof/>
                <w:webHidden/>
              </w:rPr>
              <w:fldChar w:fldCharType="end"/>
            </w:r>
          </w:hyperlink>
        </w:p>
        <w:p w14:paraId="65BD748F" w14:textId="5837F1C7" w:rsidR="00EA24C0" w:rsidRDefault="00000000">
          <w:pPr>
            <w:pStyle w:val="TOC2"/>
            <w:tabs>
              <w:tab w:val="right" w:leader="dot" w:pos="9016"/>
            </w:tabs>
            <w:rPr>
              <w:rFonts w:eastAsiaTheme="minorEastAsia"/>
              <w:noProof/>
              <w:lang w:val="en-IN" w:eastAsia="en-IN"/>
            </w:rPr>
          </w:pPr>
          <w:hyperlink w:anchor="_Toc151558322" w:history="1">
            <w:r w:rsidR="00EA24C0" w:rsidRPr="00777FAD">
              <w:rPr>
                <w:rStyle w:val="Hyperlink"/>
                <w:rFonts w:ascii="Arial" w:hAnsi="Arial" w:cs="Arial"/>
                <w:b/>
                <w:bCs/>
                <w:noProof/>
              </w:rPr>
              <w:t>4.1 Demography</w:t>
            </w:r>
            <w:r w:rsidR="00EA24C0">
              <w:rPr>
                <w:noProof/>
                <w:webHidden/>
              </w:rPr>
              <w:tab/>
            </w:r>
            <w:r w:rsidR="00EA24C0">
              <w:rPr>
                <w:noProof/>
                <w:webHidden/>
              </w:rPr>
              <w:fldChar w:fldCharType="begin"/>
            </w:r>
            <w:r w:rsidR="00EA24C0">
              <w:rPr>
                <w:noProof/>
                <w:webHidden/>
              </w:rPr>
              <w:instrText xml:space="preserve"> PAGEREF _Toc151558322 \h </w:instrText>
            </w:r>
            <w:r w:rsidR="00EA24C0">
              <w:rPr>
                <w:noProof/>
                <w:webHidden/>
              </w:rPr>
            </w:r>
            <w:r w:rsidR="00EA24C0">
              <w:rPr>
                <w:noProof/>
                <w:webHidden/>
              </w:rPr>
              <w:fldChar w:fldCharType="separate"/>
            </w:r>
            <w:r w:rsidR="00EA24C0">
              <w:rPr>
                <w:noProof/>
                <w:webHidden/>
              </w:rPr>
              <w:t>5</w:t>
            </w:r>
            <w:r w:rsidR="00EA24C0">
              <w:rPr>
                <w:noProof/>
                <w:webHidden/>
              </w:rPr>
              <w:fldChar w:fldCharType="end"/>
            </w:r>
          </w:hyperlink>
        </w:p>
        <w:p w14:paraId="302D7E26" w14:textId="40B43DE5" w:rsidR="00EA24C0" w:rsidRDefault="00000000">
          <w:pPr>
            <w:pStyle w:val="TOC2"/>
            <w:tabs>
              <w:tab w:val="right" w:leader="dot" w:pos="9016"/>
            </w:tabs>
            <w:rPr>
              <w:rFonts w:eastAsiaTheme="minorEastAsia"/>
              <w:noProof/>
              <w:lang w:val="en-IN" w:eastAsia="en-IN"/>
            </w:rPr>
          </w:pPr>
          <w:hyperlink w:anchor="_Toc151558323" w:history="1">
            <w:r w:rsidR="00EA24C0" w:rsidRPr="00777FAD">
              <w:rPr>
                <w:rStyle w:val="Hyperlink"/>
                <w:rFonts w:ascii="Arial" w:hAnsi="Arial" w:cs="Arial"/>
                <w:b/>
                <w:bCs/>
                <w:noProof/>
              </w:rPr>
              <w:t>4.2 Insurance Policies</w:t>
            </w:r>
            <w:r w:rsidR="00EA24C0">
              <w:rPr>
                <w:noProof/>
                <w:webHidden/>
              </w:rPr>
              <w:tab/>
            </w:r>
            <w:r w:rsidR="00EA24C0">
              <w:rPr>
                <w:noProof/>
                <w:webHidden/>
              </w:rPr>
              <w:fldChar w:fldCharType="begin"/>
            </w:r>
            <w:r w:rsidR="00EA24C0">
              <w:rPr>
                <w:noProof/>
                <w:webHidden/>
              </w:rPr>
              <w:instrText xml:space="preserve"> PAGEREF _Toc151558323 \h </w:instrText>
            </w:r>
            <w:r w:rsidR="00EA24C0">
              <w:rPr>
                <w:noProof/>
                <w:webHidden/>
              </w:rPr>
            </w:r>
            <w:r w:rsidR="00EA24C0">
              <w:rPr>
                <w:noProof/>
                <w:webHidden/>
              </w:rPr>
              <w:fldChar w:fldCharType="separate"/>
            </w:r>
            <w:r w:rsidR="00EA24C0">
              <w:rPr>
                <w:noProof/>
                <w:webHidden/>
              </w:rPr>
              <w:t>6</w:t>
            </w:r>
            <w:r w:rsidR="00EA24C0">
              <w:rPr>
                <w:noProof/>
                <w:webHidden/>
              </w:rPr>
              <w:fldChar w:fldCharType="end"/>
            </w:r>
          </w:hyperlink>
        </w:p>
        <w:p w14:paraId="5C4D365E" w14:textId="5925521A" w:rsidR="00EA24C0" w:rsidRDefault="00000000">
          <w:pPr>
            <w:pStyle w:val="TOC2"/>
            <w:tabs>
              <w:tab w:val="right" w:leader="dot" w:pos="9016"/>
            </w:tabs>
            <w:rPr>
              <w:rFonts w:eastAsiaTheme="minorEastAsia"/>
              <w:noProof/>
              <w:lang w:val="en-IN" w:eastAsia="en-IN"/>
            </w:rPr>
          </w:pPr>
          <w:hyperlink w:anchor="_Toc151558324" w:history="1">
            <w:r w:rsidR="00EA24C0" w:rsidRPr="00777FAD">
              <w:rPr>
                <w:rStyle w:val="Hyperlink"/>
                <w:rFonts w:ascii="Arial" w:hAnsi="Arial" w:cs="Arial"/>
                <w:b/>
                <w:bCs/>
                <w:noProof/>
              </w:rPr>
              <w:t>4.3 Financial Literacy</w:t>
            </w:r>
            <w:r w:rsidR="00EA24C0">
              <w:rPr>
                <w:noProof/>
                <w:webHidden/>
              </w:rPr>
              <w:tab/>
            </w:r>
            <w:r w:rsidR="00EA24C0">
              <w:rPr>
                <w:noProof/>
                <w:webHidden/>
              </w:rPr>
              <w:fldChar w:fldCharType="begin"/>
            </w:r>
            <w:r w:rsidR="00EA24C0">
              <w:rPr>
                <w:noProof/>
                <w:webHidden/>
              </w:rPr>
              <w:instrText xml:space="preserve"> PAGEREF _Toc151558324 \h </w:instrText>
            </w:r>
            <w:r w:rsidR="00EA24C0">
              <w:rPr>
                <w:noProof/>
                <w:webHidden/>
              </w:rPr>
            </w:r>
            <w:r w:rsidR="00EA24C0">
              <w:rPr>
                <w:noProof/>
                <w:webHidden/>
              </w:rPr>
              <w:fldChar w:fldCharType="separate"/>
            </w:r>
            <w:r w:rsidR="00EA24C0">
              <w:rPr>
                <w:noProof/>
                <w:webHidden/>
              </w:rPr>
              <w:t>6</w:t>
            </w:r>
            <w:r w:rsidR="00EA24C0">
              <w:rPr>
                <w:noProof/>
                <w:webHidden/>
              </w:rPr>
              <w:fldChar w:fldCharType="end"/>
            </w:r>
          </w:hyperlink>
        </w:p>
        <w:p w14:paraId="192BA7B1" w14:textId="11501DEA" w:rsidR="00EA24C0" w:rsidRDefault="00000000">
          <w:pPr>
            <w:pStyle w:val="TOC2"/>
            <w:tabs>
              <w:tab w:val="right" w:leader="dot" w:pos="9016"/>
            </w:tabs>
            <w:rPr>
              <w:rFonts w:eastAsiaTheme="minorEastAsia"/>
              <w:noProof/>
              <w:lang w:val="en-IN" w:eastAsia="en-IN"/>
            </w:rPr>
          </w:pPr>
          <w:hyperlink w:anchor="_Toc151558325" w:history="1">
            <w:r w:rsidR="00EA24C0" w:rsidRPr="00777FAD">
              <w:rPr>
                <w:rStyle w:val="Hyperlink"/>
                <w:rFonts w:ascii="Arial" w:hAnsi="Arial" w:cs="Arial"/>
                <w:b/>
                <w:bCs/>
                <w:noProof/>
              </w:rPr>
              <w:t>4.4 Gaps in Literature</w:t>
            </w:r>
            <w:r w:rsidR="00EA24C0">
              <w:rPr>
                <w:noProof/>
                <w:webHidden/>
              </w:rPr>
              <w:tab/>
            </w:r>
            <w:r w:rsidR="00EA24C0">
              <w:rPr>
                <w:noProof/>
                <w:webHidden/>
              </w:rPr>
              <w:fldChar w:fldCharType="begin"/>
            </w:r>
            <w:r w:rsidR="00EA24C0">
              <w:rPr>
                <w:noProof/>
                <w:webHidden/>
              </w:rPr>
              <w:instrText xml:space="preserve"> PAGEREF _Toc151558325 \h </w:instrText>
            </w:r>
            <w:r w:rsidR="00EA24C0">
              <w:rPr>
                <w:noProof/>
                <w:webHidden/>
              </w:rPr>
            </w:r>
            <w:r w:rsidR="00EA24C0">
              <w:rPr>
                <w:noProof/>
                <w:webHidden/>
              </w:rPr>
              <w:fldChar w:fldCharType="separate"/>
            </w:r>
            <w:r w:rsidR="00EA24C0">
              <w:rPr>
                <w:noProof/>
                <w:webHidden/>
              </w:rPr>
              <w:t>7</w:t>
            </w:r>
            <w:r w:rsidR="00EA24C0">
              <w:rPr>
                <w:noProof/>
                <w:webHidden/>
              </w:rPr>
              <w:fldChar w:fldCharType="end"/>
            </w:r>
          </w:hyperlink>
        </w:p>
        <w:p w14:paraId="3ACCE839" w14:textId="7BC63ACA" w:rsidR="00EA24C0" w:rsidRDefault="00000000">
          <w:pPr>
            <w:pStyle w:val="TOC1"/>
            <w:tabs>
              <w:tab w:val="right" w:leader="dot" w:pos="9016"/>
            </w:tabs>
            <w:rPr>
              <w:rFonts w:eastAsiaTheme="minorEastAsia"/>
              <w:noProof/>
              <w:lang w:val="en-IN" w:eastAsia="en-IN"/>
            </w:rPr>
          </w:pPr>
          <w:hyperlink w:anchor="_Toc151558326" w:history="1">
            <w:r w:rsidR="00EA24C0" w:rsidRPr="00777FAD">
              <w:rPr>
                <w:rStyle w:val="Hyperlink"/>
                <w:rFonts w:ascii="Arial" w:hAnsi="Arial" w:cs="Arial"/>
                <w:b/>
                <w:bCs/>
                <w:noProof/>
              </w:rPr>
              <w:t>5. Limitations</w:t>
            </w:r>
            <w:r w:rsidR="00EA24C0">
              <w:rPr>
                <w:noProof/>
                <w:webHidden/>
              </w:rPr>
              <w:tab/>
            </w:r>
            <w:r w:rsidR="00EA24C0">
              <w:rPr>
                <w:noProof/>
                <w:webHidden/>
              </w:rPr>
              <w:fldChar w:fldCharType="begin"/>
            </w:r>
            <w:r w:rsidR="00EA24C0">
              <w:rPr>
                <w:noProof/>
                <w:webHidden/>
              </w:rPr>
              <w:instrText xml:space="preserve"> PAGEREF _Toc151558326 \h </w:instrText>
            </w:r>
            <w:r w:rsidR="00EA24C0">
              <w:rPr>
                <w:noProof/>
                <w:webHidden/>
              </w:rPr>
            </w:r>
            <w:r w:rsidR="00EA24C0">
              <w:rPr>
                <w:noProof/>
                <w:webHidden/>
              </w:rPr>
              <w:fldChar w:fldCharType="separate"/>
            </w:r>
            <w:r w:rsidR="00EA24C0">
              <w:rPr>
                <w:noProof/>
                <w:webHidden/>
              </w:rPr>
              <w:t>8</w:t>
            </w:r>
            <w:r w:rsidR="00EA24C0">
              <w:rPr>
                <w:noProof/>
                <w:webHidden/>
              </w:rPr>
              <w:fldChar w:fldCharType="end"/>
            </w:r>
          </w:hyperlink>
        </w:p>
        <w:p w14:paraId="61F5B204" w14:textId="1461F447" w:rsidR="00EA24C0" w:rsidRDefault="00000000">
          <w:pPr>
            <w:pStyle w:val="TOC1"/>
            <w:tabs>
              <w:tab w:val="right" w:leader="dot" w:pos="9016"/>
            </w:tabs>
            <w:rPr>
              <w:rFonts w:eastAsiaTheme="minorEastAsia"/>
              <w:noProof/>
              <w:lang w:val="en-IN" w:eastAsia="en-IN"/>
            </w:rPr>
          </w:pPr>
          <w:hyperlink w:anchor="_Toc151558327" w:history="1">
            <w:r w:rsidR="00EA24C0" w:rsidRPr="00777FAD">
              <w:rPr>
                <w:rStyle w:val="Hyperlink"/>
                <w:rFonts w:ascii="Arial" w:hAnsi="Arial" w:cs="Arial"/>
                <w:b/>
                <w:bCs/>
                <w:noProof/>
              </w:rPr>
              <w:t>6. Conclusion</w:t>
            </w:r>
            <w:r w:rsidR="00EA24C0">
              <w:rPr>
                <w:noProof/>
                <w:webHidden/>
              </w:rPr>
              <w:tab/>
            </w:r>
            <w:r w:rsidR="00EA24C0">
              <w:rPr>
                <w:noProof/>
                <w:webHidden/>
              </w:rPr>
              <w:fldChar w:fldCharType="begin"/>
            </w:r>
            <w:r w:rsidR="00EA24C0">
              <w:rPr>
                <w:noProof/>
                <w:webHidden/>
              </w:rPr>
              <w:instrText xml:space="preserve"> PAGEREF _Toc151558327 \h </w:instrText>
            </w:r>
            <w:r w:rsidR="00EA24C0">
              <w:rPr>
                <w:noProof/>
                <w:webHidden/>
              </w:rPr>
            </w:r>
            <w:r w:rsidR="00EA24C0">
              <w:rPr>
                <w:noProof/>
                <w:webHidden/>
              </w:rPr>
              <w:fldChar w:fldCharType="separate"/>
            </w:r>
            <w:r w:rsidR="00EA24C0">
              <w:rPr>
                <w:noProof/>
                <w:webHidden/>
              </w:rPr>
              <w:t>9</w:t>
            </w:r>
            <w:r w:rsidR="00EA24C0">
              <w:rPr>
                <w:noProof/>
                <w:webHidden/>
              </w:rPr>
              <w:fldChar w:fldCharType="end"/>
            </w:r>
          </w:hyperlink>
        </w:p>
        <w:p w14:paraId="29BB1F18" w14:textId="308C094C" w:rsidR="00EA24C0" w:rsidRDefault="00000000">
          <w:pPr>
            <w:pStyle w:val="TOC1"/>
            <w:tabs>
              <w:tab w:val="right" w:leader="dot" w:pos="9016"/>
            </w:tabs>
            <w:rPr>
              <w:rFonts w:eastAsiaTheme="minorEastAsia"/>
              <w:noProof/>
              <w:lang w:val="en-IN" w:eastAsia="en-IN"/>
            </w:rPr>
          </w:pPr>
          <w:hyperlink w:anchor="_Toc151558328" w:history="1">
            <w:r w:rsidR="00EA24C0" w:rsidRPr="00777FAD">
              <w:rPr>
                <w:rStyle w:val="Hyperlink"/>
                <w:rFonts w:ascii="Arial" w:hAnsi="Arial" w:cs="Arial"/>
                <w:b/>
                <w:bCs/>
                <w:noProof/>
              </w:rPr>
              <w:t>References</w:t>
            </w:r>
            <w:r w:rsidR="00EA24C0">
              <w:rPr>
                <w:noProof/>
                <w:webHidden/>
              </w:rPr>
              <w:tab/>
            </w:r>
            <w:r w:rsidR="00EA24C0">
              <w:rPr>
                <w:noProof/>
                <w:webHidden/>
              </w:rPr>
              <w:fldChar w:fldCharType="begin"/>
            </w:r>
            <w:r w:rsidR="00EA24C0">
              <w:rPr>
                <w:noProof/>
                <w:webHidden/>
              </w:rPr>
              <w:instrText xml:space="preserve"> PAGEREF _Toc151558328 \h </w:instrText>
            </w:r>
            <w:r w:rsidR="00EA24C0">
              <w:rPr>
                <w:noProof/>
                <w:webHidden/>
              </w:rPr>
            </w:r>
            <w:r w:rsidR="00EA24C0">
              <w:rPr>
                <w:noProof/>
                <w:webHidden/>
              </w:rPr>
              <w:fldChar w:fldCharType="separate"/>
            </w:r>
            <w:r w:rsidR="00EA24C0">
              <w:rPr>
                <w:noProof/>
                <w:webHidden/>
              </w:rPr>
              <w:t>10</w:t>
            </w:r>
            <w:r w:rsidR="00EA24C0">
              <w:rPr>
                <w:noProof/>
                <w:webHidden/>
              </w:rPr>
              <w:fldChar w:fldCharType="end"/>
            </w:r>
          </w:hyperlink>
        </w:p>
        <w:p w14:paraId="771AA87D" w14:textId="0AA494D1" w:rsidR="00C24527" w:rsidRDefault="00C24527">
          <w:r>
            <w:rPr>
              <w:b/>
              <w:bCs/>
              <w:noProof/>
            </w:rPr>
            <w:fldChar w:fldCharType="end"/>
          </w:r>
        </w:p>
      </w:sdtContent>
    </w:sdt>
    <w:p w14:paraId="7C56BD9B" w14:textId="488FB7B6" w:rsidR="00C24527" w:rsidRDefault="00C24527" w:rsidP="00C24527">
      <w:pPr>
        <w:pStyle w:val="Heading1"/>
        <w:rPr>
          <w:rFonts w:ascii="Arial" w:hAnsi="Arial" w:cs="Arial"/>
          <w:b/>
          <w:bCs/>
          <w:sz w:val="24"/>
          <w:szCs w:val="24"/>
        </w:rPr>
      </w:pPr>
    </w:p>
    <w:p w14:paraId="0FA8F811" w14:textId="77777777" w:rsidR="00C24527" w:rsidRDefault="00C24527" w:rsidP="00C24527"/>
    <w:p w14:paraId="4884140B" w14:textId="77777777" w:rsidR="00C24527" w:rsidRDefault="00C24527" w:rsidP="00C24527"/>
    <w:p w14:paraId="6165FE0B" w14:textId="77777777" w:rsidR="00C24527" w:rsidRDefault="00C24527" w:rsidP="00C24527"/>
    <w:p w14:paraId="16E66BA4" w14:textId="77777777" w:rsidR="00C24527" w:rsidRDefault="00C24527" w:rsidP="00C24527"/>
    <w:p w14:paraId="1EBA43F6" w14:textId="77777777" w:rsidR="00C24527" w:rsidRDefault="00C24527" w:rsidP="00C24527"/>
    <w:p w14:paraId="22F47B38" w14:textId="77777777" w:rsidR="003C6EC3" w:rsidRDefault="003C6EC3" w:rsidP="00C24527"/>
    <w:p w14:paraId="49BB2FAF" w14:textId="77777777" w:rsidR="003C6EC3" w:rsidRDefault="003C6EC3" w:rsidP="00C24527"/>
    <w:p w14:paraId="6C723AAD" w14:textId="77777777" w:rsidR="003C6EC3" w:rsidRDefault="003C6EC3" w:rsidP="00C24527"/>
    <w:p w14:paraId="15A4A173" w14:textId="77777777" w:rsidR="000A3DDB" w:rsidRDefault="000A3DDB" w:rsidP="00C24527"/>
    <w:p w14:paraId="01CFEC9C" w14:textId="77777777" w:rsidR="003C6EC3" w:rsidRDefault="003C6EC3" w:rsidP="00C24527"/>
    <w:p w14:paraId="539973DE" w14:textId="77777777" w:rsidR="003C6EC3" w:rsidRDefault="003C6EC3" w:rsidP="00C24527"/>
    <w:p w14:paraId="49624678" w14:textId="77777777" w:rsidR="00C24527" w:rsidRPr="00C24527" w:rsidRDefault="00C24527" w:rsidP="00C24527"/>
    <w:p w14:paraId="4107202A" w14:textId="3782FF50" w:rsidR="00C24527" w:rsidRPr="00585CDA" w:rsidRDefault="00C24527" w:rsidP="00585CDA">
      <w:pPr>
        <w:pStyle w:val="Heading1"/>
        <w:spacing w:line="360" w:lineRule="auto"/>
        <w:jc w:val="both"/>
        <w:rPr>
          <w:rFonts w:ascii="Arial" w:hAnsi="Arial" w:cs="Arial"/>
          <w:b/>
          <w:bCs/>
          <w:sz w:val="24"/>
          <w:szCs w:val="24"/>
        </w:rPr>
      </w:pPr>
      <w:bookmarkStart w:id="0" w:name="_Toc151558313"/>
      <w:r w:rsidRPr="00585CDA">
        <w:rPr>
          <w:rFonts w:ascii="Arial" w:hAnsi="Arial" w:cs="Arial"/>
          <w:b/>
          <w:bCs/>
          <w:sz w:val="24"/>
          <w:szCs w:val="24"/>
        </w:rPr>
        <w:lastRenderedPageBreak/>
        <w:t>1. Introduction</w:t>
      </w:r>
      <w:bookmarkEnd w:id="0"/>
    </w:p>
    <w:p w14:paraId="60BA50A8" w14:textId="77777777" w:rsidR="000E6782" w:rsidRPr="000E6782" w:rsidRDefault="000E6782" w:rsidP="000E6782">
      <w:pPr>
        <w:pStyle w:val="NormalWeb"/>
        <w:spacing w:line="360" w:lineRule="auto"/>
        <w:jc w:val="both"/>
        <w:rPr>
          <w:rFonts w:ascii="Arial" w:hAnsi="Arial" w:cs="Arial"/>
        </w:rPr>
      </w:pPr>
      <w:r w:rsidRPr="000E6782">
        <w:rPr>
          <w:rFonts w:ascii="Arial" w:hAnsi="Arial" w:cs="Arial"/>
        </w:rPr>
        <w:t>The study looks at the impact of demographic factors on insurance policy selection, with a focus on those aged 18 to 45 in the United Kingdom. Individuals aged 18-45 are distinguished by their energy and diversity. It spans a wide range of life stages, from young adults just beginning out in their professional lives to those in their late 30s and early 40s thinking about starting children and making long-term plans. Every stage of life comes with its own set of financial issues and risk factors.</w:t>
      </w:r>
    </w:p>
    <w:p w14:paraId="224B0754" w14:textId="57DD3FAC" w:rsidR="00D100AA" w:rsidRPr="00585CDA" w:rsidRDefault="000E6782" w:rsidP="00585CDA">
      <w:pPr>
        <w:pStyle w:val="NormalWeb"/>
        <w:spacing w:line="360" w:lineRule="auto"/>
        <w:jc w:val="both"/>
        <w:rPr>
          <w:rFonts w:ascii="Arial" w:hAnsi="Arial" w:cs="Arial"/>
        </w:rPr>
      </w:pPr>
      <w:r w:rsidRPr="000E6782">
        <w:rPr>
          <w:rFonts w:ascii="Arial" w:hAnsi="Arial" w:cs="Arial"/>
        </w:rPr>
        <w:t>Age, gender, socioeconomic status, degree of education, and family composition are among the demographic variables being studied. Furthermore, the availability of internet materials and comparison tools has added a new dimension to decision-making in the digital age. As a result, we investigate the influence of digitalization on insurance decision-making, including the benefits of mobile applications, comparison websites, and online information</w:t>
      </w:r>
      <w:r w:rsidR="00D100AA" w:rsidRPr="00585CDA">
        <w:rPr>
          <w:rFonts w:ascii="Arial" w:hAnsi="Arial" w:cs="Arial"/>
        </w:rPr>
        <w:t>.</w:t>
      </w:r>
    </w:p>
    <w:p w14:paraId="4969B630" w14:textId="34089BB8" w:rsidR="00C24527" w:rsidRPr="00585CDA" w:rsidRDefault="00C24527" w:rsidP="00585CDA">
      <w:pPr>
        <w:pStyle w:val="Heading1"/>
        <w:spacing w:line="360" w:lineRule="auto"/>
        <w:jc w:val="both"/>
        <w:rPr>
          <w:rFonts w:ascii="Arial" w:hAnsi="Arial" w:cs="Arial"/>
          <w:b/>
          <w:bCs/>
          <w:sz w:val="24"/>
          <w:szCs w:val="24"/>
        </w:rPr>
      </w:pPr>
      <w:bookmarkStart w:id="1" w:name="_Toc151558314"/>
      <w:r w:rsidRPr="00585CDA">
        <w:rPr>
          <w:rFonts w:ascii="Arial" w:hAnsi="Arial" w:cs="Arial"/>
          <w:b/>
          <w:bCs/>
          <w:sz w:val="24"/>
          <w:szCs w:val="24"/>
        </w:rPr>
        <w:t>2. Methodology</w:t>
      </w:r>
      <w:bookmarkEnd w:id="1"/>
    </w:p>
    <w:p w14:paraId="777F1B7D" w14:textId="1947479A" w:rsidR="00C24527" w:rsidRPr="00585CDA" w:rsidRDefault="00C24527" w:rsidP="00585CDA">
      <w:pPr>
        <w:pStyle w:val="Heading2"/>
        <w:spacing w:before="240" w:line="360" w:lineRule="auto"/>
        <w:jc w:val="both"/>
        <w:rPr>
          <w:rFonts w:ascii="Arial" w:hAnsi="Arial" w:cs="Arial"/>
          <w:b/>
          <w:bCs/>
          <w:sz w:val="24"/>
          <w:szCs w:val="24"/>
        </w:rPr>
      </w:pPr>
      <w:bookmarkStart w:id="2" w:name="_Toc151558315"/>
      <w:r w:rsidRPr="00585CDA">
        <w:rPr>
          <w:rFonts w:ascii="Arial" w:hAnsi="Arial" w:cs="Arial"/>
          <w:b/>
          <w:bCs/>
          <w:sz w:val="24"/>
          <w:szCs w:val="24"/>
        </w:rPr>
        <w:t>2.1 Research Design</w:t>
      </w:r>
      <w:bookmarkEnd w:id="2"/>
    </w:p>
    <w:p w14:paraId="7163B5C4" w14:textId="137A5A67" w:rsidR="00D100AA" w:rsidRPr="00585CDA" w:rsidRDefault="000E6782" w:rsidP="00585CDA">
      <w:pPr>
        <w:pStyle w:val="NormalWeb"/>
        <w:spacing w:line="360" w:lineRule="auto"/>
        <w:jc w:val="both"/>
        <w:rPr>
          <w:rFonts w:ascii="Arial" w:hAnsi="Arial" w:cs="Arial"/>
        </w:rPr>
      </w:pPr>
      <w:r w:rsidRPr="000E6782">
        <w:rPr>
          <w:rFonts w:ascii="Arial" w:hAnsi="Arial" w:cs="Arial"/>
        </w:rPr>
        <w:t>The study employs a quantitative approach, with</w:t>
      </w:r>
      <w:r>
        <w:rPr>
          <w:rFonts w:ascii="Arial" w:hAnsi="Arial" w:cs="Arial"/>
        </w:rPr>
        <w:t xml:space="preserve"> survey</w:t>
      </w:r>
      <w:r w:rsidRPr="000E6782">
        <w:rPr>
          <w:rFonts w:ascii="Arial" w:hAnsi="Arial" w:cs="Arial"/>
        </w:rPr>
        <w:t xml:space="preserve"> questionnaire serving as the major instrument for collecting primary data</w:t>
      </w:r>
      <w:r w:rsidR="003E34F6">
        <w:rPr>
          <w:rFonts w:ascii="Arial" w:hAnsi="Arial" w:cs="Arial"/>
        </w:rPr>
        <w:t xml:space="preserve"> (</w:t>
      </w:r>
      <w:r w:rsidR="003E34F6" w:rsidRPr="003E34F6">
        <w:rPr>
          <w:rFonts w:ascii="Arial" w:hAnsi="Arial" w:cs="Arial"/>
        </w:rPr>
        <w:t>Gürbüz,2017</w:t>
      </w:r>
      <w:r w:rsidR="003E34F6">
        <w:rPr>
          <w:rFonts w:ascii="Arial" w:hAnsi="Arial" w:cs="Arial"/>
        </w:rPr>
        <w:t>)</w:t>
      </w:r>
      <w:r w:rsidRPr="000E6782">
        <w:rPr>
          <w:rFonts w:ascii="Arial" w:hAnsi="Arial" w:cs="Arial"/>
        </w:rPr>
        <w:t>. This methodology</w:t>
      </w:r>
      <w:r w:rsidR="003E34F6">
        <w:rPr>
          <w:rFonts w:ascii="Arial" w:hAnsi="Arial" w:cs="Arial"/>
        </w:rPr>
        <w:t xml:space="preserve"> </w:t>
      </w:r>
      <w:r w:rsidRPr="000E6782">
        <w:rPr>
          <w:rFonts w:ascii="Arial" w:hAnsi="Arial" w:cs="Arial"/>
        </w:rPr>
        <w:t xml:space="preserve">allows for an in-depth evaluation of the relationship between demographic characteristics and insurance policy selection. Surveys are a thorough and successful way of acquiring quantitative data from a large and diverse sample of respondents. The survey </w:t>
      </w:r>
      <w:r w:rsidR="003555FD">
        <w:rPr>
          <w:rFonts w:ascii="Arial" w:hAnsi="Arial" w:cs="Arial"/>
        </w:rPr>
        <w:t>will be</w:t>
      </w:r>
      <w:r w:rsidRPr="000E6782">
        <w:rPr>
          <w:rFonts w:ascii="Arial" w:hAnsi="Arial" w:cs="Arial"/>
        </w:rPr>
        <w:t xml:space="preserve"> rigorously designed to collect data on demographic parameters such as age, gender, socioeconomic level, education, and family structure, as well as the participants' insurance preferences. Surveys are ideal for identifying trends, correlations, and relationships that exist between demographic data and insurance decisions. </w:t>
      </w:r>
    </w:p>
    <w:p w14:paraId="624E7242" w14:textId="6D5FCC20" w:rsidR="00C24527" w:rsidRPr="00585CDA" w:rsidRDefault="00C24527" w:rsidP="00585CDA">
      <w:pPr>
        <w:pStyle w:val="Heading2"/>
        <w:spacing w:before="240" w:line="360" w:lineRule="auto"/>
        <w:jc w:val="both"/>
        <w:rPr>
          <w:rFonts w:ascii="Arial" w:hAnsi="Arial" w:cs="Arial"/>
          <w:b/>
          <w:bCs/>
          <w:sz w:val="24"/>
          <w:szCs w:val="24"/>
        </w:rPr>
      </w:pPr>
      <w:bookmarkStart w:id="3" w:name="_Toc151558316"/>
      <w:r w:rsidRPr="00585CDA">
        <w:rPr>
          <w:rFonts w:ascii="Arial" w:hAnsi="Arial" w:cs="Arial"/>
          <w:b/>
          <w:bCs/>
          <w:sz w:val="24"/>
          <w:szCs w:val="24"/>
        </w:rPr>
        <w:t>2.2 Data Collection Methods</w:t>
      </w:r>
      <w:bookmarkEnd w:id="3"/>
    </w:p>
    <w:p w14:paraId="031D1FC4" w14:textId="3B78E285" w:rsidR="00A97895" w:rsidRPr="00585CDA" w:rsidRDefault="000E6782" w:rsidP="00585CDA">
      <w:pPr>
        <w:spacing w:line="360" w:lineRule="auto"/>
        <w:jc w:val="both"/>
        <w:rPr>
          <w:rFonts w:ascii="Arial" w:hAnsi="Arial" w:cs="Arial"/>
          <w:sz w:val="24"/>
          <w:szCs w:val="24"/>
        </w:rPr>
      </w:pPr>
      <w:r w:rsidRPr="000E6782">
        <w:rPr>
          <w:rFonts w:ascii="Arial" w:hAnsi="Arial" w:cs="Arial"/>
          <w:sz w:val="24"/>
          <w:szCs w:val="24"/>
        </w:rPr>
        <w:t xml:space="preserve">Surveys are the primary methods of data collection for this </w:t>
      </w:r>
      <w:r>
        <w:rPr>
          <w:rFonts w:ascii="Arial" w:hAnsi="Arial" w:cs="Arial"/>
          <w:sz w:val="24"/>
          <w:szCs w:val="24"/>
        </w:rPr>
        <w:t>research</w:t>
      </w:r>
      <w:r w:rsidRPr="000E6782">
        <w:rPr>
          <w:rFonts w:ascii="Arial" w:hAnsi="Arial" w:cs="Arial"/>
          <w:sz w:val="24"/>
          <w:szCs w:val="24"/>
        </w:rPr>
        <w:t xml:space="preserve">; they provide a methodical framework for gathering information from a diverse sample of adults. Surveys were chosen as the major data collection instrument due to their effectiveness in capturing a wide range of information relevant to demographic features and </w:t>
      </w:r>
      <w:r w:rsidRPr="000E6782">
        <w:rPr>
          <w:rFonts w:ascii="Arial" w:hAnsi="Arial" w:cs="Arial"/>
          <w:sz w:val="24"/>
          <w:szCs w:val="24"/>
        </w:rPr>
        <w:lastRenderedPageBreak/>
        <w:t>insurance attitudes among the designated age cohort. The survey instrument is made up of both closed-ended and open-ended questions</w:t>
      </w:r>
      <w:r w:rsidR="00A97895" w:rsidRPr="00585CDA">
        <w:rPr>
          <w:rFonts w:ascii="Arial" w:hAnsi="Arial" w:cs="Arial"/>
          <w:sz w:val="24"/>
          <w:szCs w:val="24"/>
        </w:rPr>
        <w:t>.</w:t>
      </w:r>
    </w:p>
    <w:p w14:paraId="768244E2" w14:textId="2D1BBF56" w:rsidR="00C24527" w:rsidRPr="00585CDA" w:rsidRDefault="00C24527" w:rsidP="00585CDA">
      <w:pPr>
        <w:pStyle w:val="Heading2"/>
        <w:spacing w:before="240" w:line="360" w:lineRule="auto"/>
        <w:jc w:val="both"/>
        <w:rPr>
          <w:rFonts w:ascii="Arial" w:hAnsi="Arial" w:cs="Arial"/>
          <w:b/>
          <w:bCs/>
          <w:sz w:val="24"/>
          <w:szCs w:val="24"/>
        </w:rPr>
      </w:pPr>
      <w:bookmarkStart w:id="4" w:name="_Toc151558317"/>
      <w:r w:rsidRPr="00585CDA">
        <w:rPr>
          <w:rFonts w:ascii="Arial" w:hAnsi="Arial" w:cs="Arial"/>
          <w:b/>
          <w:bCs/>
          <w:sz w:val="24"/>
          <w:szCs w:val="24"/>
        </w:rPr>
        <w:t>2.3 Data Analysis Techniques</w:t>
      </w:r>
      <w:bookmarkEnd w:id="4"/>
    </w:p>
    <w:p w14:paraId="7E38819A" w14:textId="00298773" w:rsidR="00A97895" w:rsidRPr="00585CDA" w:rsidRDefault="000E6782" w:rsidP="00585CDA">
      <w:pPr>
        <w:spacing w:line="360" w:lineRule="auto"/>
        <w:jc w:val="both"/>
        <w:rPr>
          <w:rFonts w:ascii="Arial" w:hAnsi="Arial" w:cs="Arial"/>
          <w:sz w:val="24"/>
          <w:szCs w:val="24"/>
        </w:rPr>
      </w:pPr>
      <w:r w:rsidRPr="000E6782">
        <w:rPr>
          <w:rFonts w:ascii="Arial" w:hAnsi="Arial" w:cs="Arial"/>
          <w:sz w:val="24"/>
          <w:szCs w:val="24"/>
        </w:rPr>
        <w:t>The analysis of data includes the use of graphical representations such as bar charts, histograms, and pie charts to visually express variable distribution and relationships, providing important insights into the impact of demographic characteristics on insurance decisions of individuals in the United Kingdom</w:t>
      </w:r>
      <w:r w:rsidR="00A97895" w:rsidRPr="00585CDA">
        <w:rPr>
          <w:rFonts w:ascii="Arial" w:hAnsi="Arial" w:cs="Arial"/>
          <w:sz w:val="24"/>
          <w:szCs w:val="24"/>
        </w:rPr>
        <w:t>.</w:t>
      </w:r>
    </w:p>
    <w:p w14:paraId="7E999C6A" w14:textId="153D2417" w:rsidR="00C24527" w:rsidRPr="00585CDA" w:rsidRDefault="00C24527" w:rsidP="00585CDA">
      <w:pPr>
        <w:pStyle w:val="Heading2"/>
        <w:spacing w:before="240" w:line="360" w:lineRule="auto"/>
        <w:jc w:val="both"/>
        <w:rPr>
          <w:rFonts w:ascii="Arial" w:hAnsi="Arial" w:cs="Arial"/>
          <w:b/>
          <w:bCs/>
          <w:sz w:val="24"/>
          <w:szCs w:val="24"/>
        </w:rPr>
      </w:pPr>
      <w:bookmarkStart w:id="5" w:name="_Toc151558318"/>
      <w:r w:rsidRPr="00585CDA">
        <w:rPr>
          <w:rFonts w:ascii="Arial" w:hAnsi="Arial" w:cs="Arial"/>
          <w:b/>
          <w:bCs/>
          <w:sz w:val="24"/>
          <w:szCs w:val="24"/>
        </w:rPr>
        <w:t>2.4 Sampling Strategy</w:t>
      </w:r>
      <w:bookmarkEnd w:id="5"/>
    </w:p>
    <w:p w14:paraId="036F06E8" w14:textId="38132E13" w:rsidR="00D100AA" w:rsidRPr="00585CDA" w:rsidRDefault="000E6782" w:rsidP="00585CDA">
      <w:pPr>
        <w:spacing w:line="360" w:lineRule="auto"/>
        <w:jc w:val="both"/>
        <w:rPr>
          <w:rFonts w:ascii="Arial" w:hAnsi="Arial" w:cs="Arial"/>
          <w:sz w:val="24"/>
          <w:szCs w:val="24"/>
        </w:rPr>
      </w:pPr>
      <w:r w:rsidRPr="000E6782">
        <w:rPr>
          <w:rFonts w:ascii="Arial" w:hAnsi="Arial" w:cs="Arial"/>
          <w:sz w:val="24"/>
          <w:szCs w:val="24"/>
        </w:rPr>
        <w:t>The study focuses on people between the ages of 18 and 45 who live in the United Kingdom. This population spans a wide range of life stages, from young adults just beginning out in the career to people in their late 30s and early 40s who may be starting kids. Recognising the diversity that exists among this age group, the sample process attempts to include a wide range of demographic features</w:t>
      </w:r>
      <w:r w:rsidR="00D100AA" w:rsidRPr="00585CDA">
        <w:rPr>
          <w:rFonts w:ascii="Arial" w:hAnsi="Arial" w:cs="Arial"/>
          <w:sz w:val="24"/>
          <w:szCs w:val="24"/>
        </w:rPr>
        <w:t>.</w:t>
      </w:r>
    </w:p>
    <w:p w14:paraId="66129AB2" w14:textId="1620BDA7" w:rsidR="00C24527" w:rsidRPr="00585CDA" w:rsidRDefault="00C24527" w:rsidP="00585CDA">
      <w:pPr>
        <w:pStyle w:val="Heading2"/>
        <w:spacing w:before="240" w:line="360" w:lineRule="auto"/>
        <w:jc w:val="both"/>
        <w:rPr>
          <w:rFonts w:ascii="Arial" w:hAnsi="Arial" w:cs="Arial"/>
          <w:b/>
          <w:bCs/>
          <w:sz w:val="24"/>
          <w:szCs w:val="24"/>
        </w:rPr>
      </w:pPr>
      <w:bookmarkStart w:id="6" w:name="_Toc151558319"/>
      <w:r w:rsidRPr="00585CDA">
        <w:rPr>
          <w:rFonts w:ascii="Arial" w:hAnsi="Arial" w:cs="Arial"/>
          <w:b/>
          <w:bCs/>
          <w:sz w:val="24"/>
          <w:szCs w:val="24"/>
        </w:rPr>
        <w:t>2.5 Ethical Considerations</w:t>
      </w:r>
      <w:bookmarkEnd w:id="6"/>
    </w:p>
    <w:p w14:paraId="0D46E9D6" w14:textId="2C7C7A4C" w:rsidR="000E6782" w:rsidRPr="000E6782" w:rsidRDefault="000E6782" w:rsidP="000E6782">
      <w:pPr>
        <w:pStyle w:val="NormalWeb"/>
        <w:spacing w:line="360" w:lineRule="auto"/>
        <w:jc w:val="both"/>
        <w:rPr>
          <w:rFonts w:ascii="Arial" w:hAnsi="Arial" w:cs="Arial"/>
        </w:rPr>
      </w:pPr>
      <w:r w:rsidRPr="000E6782">
        <w:rPr>
          <w:rFonts w:ascii="Arial" w:hAnsi="Arial" w:cs="Arial"/>
        </w:rPr>
        <w:t>A vital stage in the research process is the completion of an ethical form that complies with institutional and regulatory criteria. The accompanying document will include a detailed narrative of the research's goals, approaches to data collection, safeguards put in place to protect participants' rights, and protocols for collecting and preserving data.</w:t>
      </w:r>
    </w:p>
    <w:p w14:paraId="235AAD0A" w14:textId="1119F945" w:rsidR="00D100AA" w:rsidRPr="00585CDA" w:rsidRDefault="000E6782" w:rsidP="00585CDA">
      <w:pPr>
        <w:pStyle w:val="NormalWeb"/>
        <w:spacing w:line="360" w:lineRule="auto"/>
        <w:jc w:val="both"/>
        <w:rPr>
          <w:rFonts w:ascii="Arial" w:hAnsi="Arial" w:cs="Arial"/>
        </w:rPr>
      </w:pPr>
      <w:r w:rsidRPr="000E6782">
        <w:rPr>
          <w:rFonts w:ascii="Arial" w:hAnsi="Arial" w:cs="Arial"/>
        </w:rPr>
        <w:t>Furthermore, to protect participants' anonymity, the questionnaires used in this study will be designed to remove any personally identifiable information (e.g., names or contact information). To protect the participants' privacy, different identification identifiers will be assigned to the data instead. By applying this approach, it ensures participant anonymity and prevents the revealing of their identities in research results</w:t>
      </w:r>
      <w:r w:rsidR="00D100AA" w:rsidRPr="00585CDA">
        <w:rPr>
          <w:rFonts w:ascii="Arial" w:hAnsi="Arial" w:cs="Arial"/>
        </w:rPr>
        <w:t>.</w:t>
      </w:r>
    </w:p>
    <w:p w14:paraId="21920627" w14:textId="6341F391" w:rsidR="00C24527" w:rsidRPr="00585CDA" w:rsidRDefault="00C24527" w:rsidP="00585CDA">
      <w:pPr>
        <w:pStyle w:val="Heading1"/>
        <w:spacing w:line="360" w:lineRule="auto"/>
        <w:jc w:val="both"/>
        <w:rPr>
          <w:rFonts w:ascii="Arial" w:hAnsi="Arial" w:cs="Arial"/>
          <w:b/>
          <w:bCs/>
          <w:sz w:val="24"/>
          <w:szCs w:val="24"/>
        </w:rPr>
      </w:pPr>
      <w:bookmarkStart w:id="7" w:name="_Toc151558320"/>
      <w:r w:rsidRPr="00585CDA">
        <w:rPr>
          <w:rFonts w:ascii="Arial" w:hAnsi="Arial" w:cs="Arial"/>
          <w:b/>
          <w:bCs/>
          <w:sz w:val="24"/>
          <w:szCs w:val="24"/>
        </w:rPr>
        <w:t>3. Aims and Objectives</w:t>
      </w:r>
      <w:bookmarkEnd w:id="7"/>
    </w:p>
    <w:p w14:paraId="3A51C0C8" w14:textId="77777777" w:rsidR="00C24527" w:rsidRPr="00585CDA" w:rsidRDefault="00C24527" w:rsidP="00585CDA">
      <w:pPr>
        <w:spacing w:before="240" w:after="100" w:afterAutospacing="1" w:line="360" w:lineRule="auto"/>
        <w:jc w:val="both"/>
        <w:rPr>
          <w:rFonts w:ascii="Arial" w:eastAsia="Times New Roman" w:hAnsi="Arial" w:cs="Arial"/>
          <w:b/>
          <w:bCs/>
          <w:kern w:val="0"/>
          <w:sz w:val="24"/>
          <w:szCs w:val="24"/>
          <w:lang w:val="en-IN" w:eastAsia="en-IN"/>
          <w14:ligatures w14:val="none"/>
        </w:rPr>
      </w:pPr>
      <w:r w:rsidRPr="00585CDA">
        <w:rPr>
          <w:rFonts w:ascii="Arial" w:eastAsia="Times New Roman" w:hAnsi="Arial" w:cs="Arial"/>
          <w:b/>
          <w:bCs/>
          <w:kern w:val="0"/>
          <w:sz w:val="24"/>
          <w:szCs w:val="24"/>
          <w:lang w:val="en-IN" w:eastAsia="en-IN"/>
          <w14:ligatures w14:val="none"/>
        </w:rPr>
        <w:t>Research Questions (RQs)</w:t>
      </w:r>
    </w:p>
    <w:p w14:paraId="76E06CFE" w14:textId="77777777" w:rsidR="000E6782" w:rsidRPr="000E6782" w:rsidRDefault="000E6782" w:rsidP="000E6782">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0E6782">
        <w:rPr>
          <w:rFonts w:ascii="Arial" w:eastAsia="Times New Roman" w:hAnsi="Arial" w:cs="Arial"/>
          <w:kern w:val="0"/>
          <w:sz w:val="24"/>
          <w:szCs w:val="24"/>
          <w:lang w:val="en-IN" w:eastAsia="en-IN"/>
          <w14:ligatures w14:val="none"/>
        </w:rPr>
        <w:t>What is the impact of demographic characteristics on insurance policy selection among individuals aged 18-45 in the United Kingdom?</w:t>
      </w:r>
    </w:p>
    <w:p w14:paraId="1AC23A58" w14:textId="5E4AD1D4" w:rsidR="000E6782" w:rsidRPr="000E6782" w:rsidRDefault="000E6782" w:rsidP="000E6782">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0E6782">
        <w:rPr>
          <w:rFonts w:ascii="Arial" w:eastAsia="Times New Roman" w:hAnsi="Arial" w:cs="Arial"/>
          <w:kern w:val="0"/>
          <w:sz w:val="24"/>
          <w:szCs w:val="24"/>
          <w:lang w:val="en-IN" w:eastAsia="en-IN"/>
          <w14:ligatures w14:val="none"/>
        </w:rPr>
        <w:lastRenderedPageBreak/>
        <w:t>What is the impact of digitalization, encompassing online resources, websites, and mobile applications, on the decision-making process regarding insurance, among individuals aged 18-45 in the United Kingdom?</w:t>
      </w:r>
    </w:p>
    <w:p w14:paraId="3868A2CE" w14:textId="024CD80F" w:rsidR="000E6782" w:rsidRPr="000E6782" w:rsidRDefault="000E6782" w:rsidP="000E6782">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0E6782">
        <w:rPr>
          <w:rFonts w:ascii="Arial" w:eastAsia="Times New Roman" w:hAnsi="Arial" w:cs="Arial"/>
          <w:kern w:val="0"/>
          <w:sz w:val="24"/>
          <w:szCs w:val="24"/>
          <w:lang w:val="en-IN" w:eastAsia="en-IN"/>
          <w14:ligatures w14:val="none"/>
        </w:rPr>
        <w:t>What are the main determinants influencing the health insurance choices of individuals aged 18-45 in the United Kingdom, and how do these preferences vary among different demographics?</w:t>
      </w:r>
    </w:p>
    <w:p w14:paraId="60268C1F" w14:textId="7D5170FD" w:rsidR="00C24527" w:rsidRPr="00585CDA" w:rsidRDefault="00C24527" w:rsidP="000E6782">
      <w:pPr>
        <w:spacing w:before="240" w:after="100" w:afterAutospacing="1" w:line="360" w:lineRule="auto"/>
        <w:jc w:val="both"/>
        <w:rPr>
          <w:rFonts w:ascii="Arial" w:eastAsia="Times New Roman" w:hAnsi="Arial" w:cs="Arial"/>
          <w:b/>
          <w:bCs/>
          <w:kern w:val="0"/>
          <w:sz w:val="24"/>
          <w:szCs w:val="24"/>
          <w:lang w:val="en-IN" w:eastAsia="en-IN"/>
          <w14:ligatures w14:val="none"/>
        </w:rPr>
      </w:pPr>
      <w:r w:rsidRPr="00585CDA">
        <w:rPr>
          <w:rFonts w:ascii="Arial" w:eastAsia="Times New Roman" w:hAnsi="Arial" w:cs="Arial"/>
          <w:b/>
          <w:bCs/>
          <w:kern w:val="0"/>
          <w:sz w:val="24"/>
          <w:szCs w:val="24"/>
          <w:lang w:val="en-IN" w:eastAsia="en-IN"/>
          <w14:ligatures w14:val="none"/>
        </w:rPr>
        <w:t>Research Objectives (ROs)</w:t>
      </w:r>
    </w:p>
    <w:p w14:paraId="77480219" w14:textId="059F734F" w:rsidR="00140B3D" w:rsidRPr="00140B3D" w:rsidRDefault="00140B3D" w:rsidP="00140B3D">
      <w:pPr>
        <w:pStyle w:val="NormalWeb"/>
        <w:numPr>
          <w:ilvl w:val="0"/>
          <w:numId w:val="10"/>
        </w:numPr>
        <w:spacing w:line="360" w:lineRule="auto"/>
        <w:jc w:val="both"/>
        <w:rPr>
          <w:rFonts w:ascii="Arial" w:hAnsi="Arial" w:cs="Arial"/>
        </w:rPr>
      </w:pPr>
      <w:r>
        <w:rPr>
          <w:rFonts w:ascii="Arial" w:hAnsi="Arial" w:cs="Arial"/>
        </w:rPr>
        <w:t>To</w:t>
      </w:r>
      <w:r w:rsidRPr="00140B3D">
        <w:rPr>
          <w:rFonts w:ascii="Arial" w:hAnsi="Arial" w:cs="Arial"/>
        </w:rPr>
        <w:t xml:space="preserve"> examine the influence of demographic factors, such as age, gender, socioeconomic status, education, and family composition, on insurance preferences among individuals aged 18-45 in the United Kingdom.</w:t>
      </w:r>
    </w:p>
    <w:p w14:paraId="20857C22" w14:textId="1FE3D3AD" w:rsidR="00140B3D" w:rsidRPr="00140B3D" w:rsidRDefault="00140B3D" w:rsidP="00140B3D">
      <w:pPr>
        <w:pStyle w:val="NormalWeb"/>
        <w:numPr>
          <w:ilvl w:val="0"/>
          <w:numId w:val="10"/>
        </w:numPr>
        <w:spacing w:line="360" w:lineRule="auto"/>
        <w:jc w:val="both"/>
        <w:rPr>
          <w:rFonts w:ascii="Arial" w:hAnsi="Arial" w:cs="Arial"/>
        </w:rPr>
      </w:pPr>
      <w:r>
        <w:rPr>
          <w:rFonts w:ascii="Arial" w:hAnsi="Arial" w:cs="Arial"/>
        </w:rPr>
        <w:t>To</w:t>
      </w:r>
      <w:r w:rsidRPr="00140B3D">
        <w:rPr>
          <w:rFonts w:ascii="Arial" w:hAnsi="Arial" w:cs="Arial"/>
        </w:rPr>
        <w:t xml:space="preserve"> examine the impact of digitalization on the decision-making process within the insurance industry, with a specific emphasis on the accessibility of online information, the use of comparison platforms, and the prevalence of mobile applications in the UK market.</w:t>
      </w:r>
    </w:p>
    <w:p w14:paraId="5D10F925" w14:textId="780C42EC" w:rsidR="00A97895" w:rsidRPr="00140B3D" w:rsidRDefault="00140B3D" w:rsidP="00140B3D">
      <w:pPr>
        <w:pStyle w:val="NormalWeb"/>
        <w:numPr>
          <w:ilvl w:val="0"/>
          <w:numId w:val="10"/>
        </w:numPr>
        <w:spacing w:line="360" w:lineRule="auto"/>
        <w:jc w:val="both"/>
        <w:rPr>
          <w:rFonts w:ascii="Arial" w:hAnsi="Arial" w:cs="Arial"/>
        </w:rPr>
      </w:pPr>
      <w:r>
        <w:rPr>
          <w:rFonts w:ascii="Arial" w:hAnsi="Arial" w:cs="Arial"/>
        </w:rPr>
        <w:t>To examine</w:t>
      </w:r>
      <w:r w:rsidRPr="00140B3D">
        <w:rPr>
          <w:rFonts w:ascii="Arial" w:hAnsi="Arial" w:cs="Arial"/>
        </w:rPr>
        <w:t xml:space="preserve"> the primary factors influencing health insurance decisions among individuals aged 18-45</w:t>
      </w:r>
      <w:r>
        <w:rPr>
          <w:rFonts w:ascii="Arial" w:hAnsi="Arial" w:cs="Arial"/>
        </w:rPr>
        <w:t xml:space="preserve"> and the </w:t>
      </w:r>
      <w:r w:rsidRPr="00140B3D">
        <w:rPr>
          <w:rFonts w:ascii="Arial" w:hAnsi="Arial" w:cs="Arial"/>
        </w:rPr>
        <w:t>potential variations in these determinants across several demographic characteristics, such as age, gender, socioeconomic status, education level, and family composition</w:t>
      </w:r>
      <w:r w:rsidR="00A97895" w:rsidRPr="00140B3D">
        <w:rPr>
          <w:rFonts w:ascii="Arial" w:hAnsi="Arial" w:cs="Arial"/>
        </w:rPr>
        <w:t>.</w:t>
      </w:r>
    </w:p>
    <w:p w14:paraId="567EB644" w14:textId="0F5E031F" w:rsidR="00C24527" w:rsidRPr="00585CDA" w:rsidRDefault="00C24527" w:rsidP="00585CDA">
      <w:pPr>
        <w:pStyle w:val="Heading1"/>
        <w:spacing w:line="360" w:lineRule="auto"/>
        <w:jc w:val="both"/>
        <w:rPr>
          <w:rFonts w:ascii="Arial" w:hAnsi="Arial" w:cs="Arial"/>
          <w:b/>
          <w:bCs/>
          <w:sz w:val="24"/>
          <w:szCs w:val="24"/>
        </w:rPr>
      </w:pPr>
      <w:bookmarkStart w:id="8" w:name="_Toc151558321"/>
      <w:r w:rsidRPr="00585CDA">
        <w:rPr>
          <w:rFonts w:ascii="Arial" w:hAnsi="Arial" w:cs="Arial"/>
          <w:b/>
          <w:bCs/>
          <w:sz w:val="24"/>
          <w:szCs w:val="24"/>
        </w:rPr>
        <w:t>4. Literature Review</w:t>
      </w:r>
      <w:bookmarkEnd w:id="8"/>
    </w:p>
    <w:p w14:paraId="66C27AD8" w14:textId="10FB6DED" w:rsidR="007B2FA6" w:rsidRPr="00585CDA" w:rsidRDefault="007B2FA6" w:rsidP="00585CDA">
      <w:pPr>
        <w:pStyle w:val="Heading2"/>
        <w:spacing w:before="240" w:line="360" w:lineRule="auto"/>
        <w:jc w:val="both"/>
        <w:rPr>
          <w:rFonts w:ascii="Arial" w:hAnsi="Arial" w:cs="Arial"/>
          <w:b/>
          <w:bCs/>
          <w:sz w:val="24"/>
          <w:szCs w:val="24"/>
        </w:rPr>
      </w:pPr>
      <w:bookmarkStart w:id="9" w:name="_Toc151558322"/>
      <w:r w:rsidRPr="00585CDA">
        <w:rPr>
          <w:rFonts w:ascii="Arial" w:hAnsi="Arial" w:cs="Arial"/>
          <w:b/>
          <w:bCs/>
          <w:sz w:val="24"/>
          <w:szCs w:val="24"/>
        </w:rPr>
        <w:t xml:space="preserve">4.1 </w:t>
      </w:r>
      <w:r w:rsidR="00336C9B" w:rsidRPr="00585CDA">
        <w:rPr>
          <w:rFonts w:ascii="Arial" w:hAnsi="Arial" w:cs="Arial"/>
          <w:b/>
          <w:bCs/>
          <w:sz w:val="24"/>
          <w:szCs w:val="24"/>
        </w:rPr>
        <w:t>Demography</w:t>
      </w:r>
      <w:bookmarkEnd w:id="9"/>
    </w:p>
    <w:p w14:paraId="6E111EAC" w14:textId="379CFBFC" w:rsidR="00140B3D" w:rsidRPr="00140B3D" w:rsidRDefault="00140B3D" w:rsidP="00140B3D">
      <w:pPr>
        <w:spacing w:line="360" w:lineRule="auto"/>
        <w:jc w:val="both"/>
        <w:rPr>
          <w:rFonts w:ascii="Arial" w:hAnsi="Arial" w:cs="Arial"/>
          <w:sz w:val="24"/>
          <w:szCs w:val="24"/>
        </w:rPr>
      </w:pPr>
      <w:r w:rsidRPr="00140B3D">
        <w:rPr>
          <w:rFonts w:ascii="Arial" w:hAnsi="Arial" w:cs="Arial"/>
          <w:sz w:val="24"/>
          <w:szCs w:val="24"/>
        </w:rPr>
        <w:t>Various demographic parameters, including age, gender, socioeconomic level, education, and family composition, significantly influence the decision-making process of individuals when it comes to selecting insurance policies</w:t>
      </w:r>
      <w:r w:rsidR="003555FD">
        <w:rPr>
          <w:rFonts w:ascii="Arial" w:hAnsi="Arial" w:cs="Arial"/>
          <w:sz w:val="24"/>
          <w:szCs w:val="24"/>
        </w:rPr>
        <w:t xml:space="preserve"> </w:t>
      </w:r>
      <w:r w:rsidR="003555FD" w:rsidRPr="003555FD">
        <w:rPr>
          <w:rFonts w:ascii="Arial" w:hAnsi="Arial" w:cs="Arial"/>
          <w:sz w:val="24"/>
          <w:szCs w:val="24"/>
        </w:rPr>
        <w:t>(</w:t>
      </w:r>
      <w:proofErr w:type="spellStart"/>
      <w:r w:rsidR="003555FD" w:rsidRPr="003555FD">
        <w:rPr>
          <w:rFonts w:ascii="Arial" w:hAnsi="Arial" w:cs="Arial"/>
          <w:sz w:val="24"/>
          <w:szCs w:val="24"/>
        </w:rPr>
        <w:t>Weedige</w:t>
      </w:r>
      <w:proofErr w:type="spellEnd"/>
      <w:r w:rsidR="003555FD" w:rsidRPr="003555FD">
        <w:rPr>
          <w:rFonts w:ascii="Arial" w:hAnsi="Arial" w:cs="Arial"/>
          <w:sz w:val="24"/>
          <w:szCs w:val="24"/>
        </w:rPr>
        <w:t xml:space="preserve"> et al., 2019</w:t>
      </w:r>
      <w:r w:rsidR="003555FD">
        <w:rPr>
          <w:rFonts w:ascii="Arial" w:hAnsi="Arial" w:cs="Arial"/>
          <w:sz w:val="24"/>
          <w:szCs w:val="24"/>
        </w:rPr>
        <w:t xml:space="preserve">; </w:t>
      </w:r>
      <w:r w:rsidR="00C9452A" w:rsidRPr="00C9452A">
        <w:rPr>
          <w:rFonts w:ascii="Arial" w:hAnsi="Arial" w:cs="Arial"/>
          <w:sz w:val="24"/>
          <w:szCs w:val="24"/>
        </w:rPr>
        <w:t xml:space="preserve">Gajula, P S and </w:t>
      </w:r>
      <w:proofErr w:type="spellStart"/>
      <w:r w:rsidR="00C9452A" w:rsidRPr="00C9452A">
        <w:rPr>
          <w:rFonts w:ascii="Arial" w:hAnsi="Arial" w:cs="Arial"/>
          <w:sz w:val="24"/>
          <w:szCs w:val="24"/>
        </w:rPr>
        <w:t>Paidipati</w:t>
      </w:r>
      <w:proofErr w:type="spellEnd"/>
      <w:r w:rsidR="00C9452A" w:rsidRPr="00C9452A">
        <w:rPr>
          <w:rFonts w:ascii="Arial" w:hAnsi="Arial" w:cs="Arial"/>
          <w:sz w:val="24"/>
          <w:szCs w:val="24"/>
        </w:rPr>
        <w:t>, 2022</w:t>
      </w:r>
      <w:r w:rsidR="003555FD" w:rsidRPr="003555FD">
        <w:rPr>
          <w:rFonts w:ascii="Arial" w:hAnsi="Arial" w:cs="Arial"/>
          <w:sz w:val="24"/>
          <w:szCs w:val="24"/>
        </w:rPr>
        <w:t>)</w:t>
      </w:r>
      <w:r w:rsidRPr="00140B3D">
        <w:rPr>
          <w:rFonts w:ascii="Arial" w:hAnsi="Arial" w:cs="Arial"/>
          <w:sz w:val="24"/>
          <w:szCs w:val="24"/>
        </w:rPr>
        <w:t>. The influence of age on insurance preferences has been consistently emphasised in stud</w:t>
      </w:r>
      <w:r w:rsidR="003555FD">
        <w:rPr>
          <w:rFonts w:ascii="Arial" w:hAnsi="Arial" w:cs="Arial"/>
          <w:sz w:val="24"/>
          <w:szCs w:val="24"/>
        </w:rPr>
        <w:t>ies</w:t>
      </w:r>
      <w:r w:rsidRPr="00140B3D">
        <w:rPr>
          <w:rFonts w:ascii="Arial" w:hAnsi="Arial" w:cs="Arial"/>
          <w:sz w:val="24"/>
          <w:szCs w:val="24"/>
        </w:rPr>
        <w:t xml:space="preserve">, establishing it as a significant factor. Young individuals transitioning into the workforce may exhibit a preference for </w:t>
      </w:r>
      <w:r w:rsidR="00C9452A">
        <w:rPr>
          <w:rFonts w:ascii="Arial" w:hAnsi="Arial" w:cs="Arial"/>
          <w:sz w:val="24"/>
          <w:szCs w:val="24"/>
        </w:rPr>
        <w:t>insurance</w:t>
      </w:r>
      <w:r w:rsidRPr="00140B3D">
        <w:rPr>
          <w:rFonts w:ascii="Arial" w:hAnsi="Arial" w:cs="Arial"/>
          <w:sz w:val="24"/>
          <w:szCs w:val="24"/>
        </w:rPr>
        <w:t xml:space="preserve"> that align with their developing professional requirements and lifestyle. In contrast, individuals within the age range of late 30s to early 40s who are contemplating family planning and enduring commitments may exhibit a preference for policies that offer comprehensive coverage. </w:t>
      </w:r>
      <w:r w:rsidR="00047484" w:rsidRPr="00047484">
        <w:rPr>
          <w:rFonts w:ascii="Arial" w:hAnsi="Arial" w:cs="Arial"/>
          <w:sz w:val="24"/>
          <w:szCs w:val="24"/>
        </w:rPr>
        <w:t xml:space="preserve">Becker and Zweifel (2008) </w:t>
      </w:r>
      <w:r w:rsidR="00047484" w:rsidRPr="00140B3D">
        <w:rPr>
          <w:rFonts w:ascii="Arial" w:hAnsi="Arial" w:cs="Arial"/>
          <w:sz w:val="24"/>
          <w:szCs w:val="24"/>
        </w:rPr>
        <w:t>investigated</w:t>
      </w:r>
      <w:r w:rsidRPr="00140B3D">
        <w:rPr>
          <w:rFonts w:ascii="Arial" w:hAnsi="Arial" w:cs="Arial"/>
          <w:sz w:val="24"/>
          <w:szCs w:val="24"/>
        </w:rPr>
        <w:t xml:space="preserve"> to further explore the subject matter, revealing distinct trends in insurance choices among different age </w:t>
      </w:r>
      <w:r w:rsidRPr="00140B3D">
        <w:rPr>
          <w:rFonts w:ascii="Arial" w:hAnsi="Arial" w:cs="Arial"/>
          <w:sz w:val="24"/>
          <w:szCs w:val="24"/>
        </w:rPr>
        <w:lastRenderedPageBreak/>
        <w:t>cohorts. The results of their study emphasise the significance of insurance providers customising their offerings to accommodate the evolving needs of individuals across different stages of life.</w:t>
      </w:r>
    </w:p>
    <w:p w14:paraId="27EA24BE" w14:textId="00F9FF60" w:rsidR="0093592D" w:rsidRPr="00585CDA" w:rsidRDefault="00140B3D" w:rsidP="00585CDA">
      <w:pPr>
        <w:spacing w:line="360" w:lineRule="auto"/>
        <w:jc w:val="both"/>
        <w:rPr>
          <w:rFonts w:ascii="Arial" w:hAnsi="Arial" w:cs="Arial"/>
          <w:sz w:val="24"/>
          <w:szCs w:val="24"/>
        </w:rPr>
      </w:pPr>
      <w:r w:rsidRPr="00140B3D">
        <w:rPr>
          <w:rFonts w:ascii="Arial" w:hAnsi="Arial" w:cs="Arial"/>
          <w:sz w:val="24"/>
          <w:szCs w:val="24"/>
        </w:rPr>
        <w:t>The influence of gender on insurance choices is a</w:t>
      </w:r>
      <w:r w:rsidR="00047484">
        <w:rPr>
          <w:rFonts w:ascii="Arial" w:hAnsi="Arial" w:cs="Arial"/>
          <w:sz w:val="24"/>
          <w:szCs w:val="24"/>
        </w:rPr>
        <w:t>nother</w:t>
      </w:r>
      <w:r w:rsidRPr="00140B3D">
        <w:rPr>
          <w:rFonts w:ascii="Arial" w:hAnsi="Arial" w:cs="Arial"/>
          <w:sz w:val="24"/>
          <w:szCs w:val="24"/>
        </w:rPr>
        <w:t xml:space="preserve"> significant factor, as highlighted by </w:t>
      </w:r>
      <w:proofErr w:type="spellStart"/>
      <w:r w:rsidR="00047484" w:rsidRPr="00047484">
        <w:rPr>
          <w:rFonts w:ascii="Arial" w:hAnsi="Arial" w:cs="Arial"/>
          <w:sz w:val="24"/>
          <w:szCs w:val="24"/>
        </w:rPr>
        <w:t>Oraro</w:t>
      </w:r>
      <w:proofErr w:type="spellEnd"/>
      <w:r w:rsidR="00047484" w:rsidRPr="00047484">
        <w:rPr>
          <w:rFonts w:ascii="Arial" w:hAnsi="Arial" w:cs="Arial"/>
          <w:sz w:val="24"/>
          <w:szCs w:val="24"/>
        </w:rPr>
        <w:t xml:space="preserve"> et al. (2017)</w:t>
      </w:r>
      <w:r w:rsidRPr="00140B3D">
        <w:rPr>
          <w:rFonts w:ascii="Arial" w:hAnsi="Arial" w:cs="Arial"/>
          <w:sz w:val="24"/>
          <w:szCs w:val="24"/>
        </w:rPr>
        <w:t>. Women, as an illustrative example, may exhibit a preference for plans that prioritise full family coverage, which encompasses considerations for healthcare needs during pregnancy and childcare. Gaining insight into these gender-specific patterns is of utmost importance for insurers aiming to develop solutions that not only mirror but also address the varied needs of their clientele</w:t>
      </w:r>
      <w:r w:rsidR="0093592D" w:rsidRPr="00585CDA">
        <w:rPr>
          <w:rFonts w:ascii="Arial" w:hAnsi="Arial" w:cs="Arial"/>
          <w:sz w:val="24"/>
          <w:szCs w:val="24"/>
        </w:rPr>
        <w:t>.</w:t>
      </w:r>
    </w:p>
    <w:p w14:paraId="4DEFA222" w14:textId="51743FEF" w:rsidR="007B2FA6" w:rsidRPr="00585CDA" w:rsidRDefault="007B2FA6" w:rsidP="00585CDA">
      <w:pPr>
        <w:pStyle w:val="Heading2"/>
        <w:spacing w:before="240" w:line="360" w:lineRule="auto"/>
        <w:jc w:val="both"/>
        <w:rPr>
          <w:rFonts w:ascii="Arial" w:hAnsi="Arial" w:cs="Arial"/>
          <w:b/>
          <w:bCs/>
          <w:sz w:val="24"/>
          <w:szCs w:val="24"/>
        </w:rPr>
      </w:pPr>
      <w:bookmarkStart w:id="10" w:name="_Toc151558323"/>
      <w:r w:rsidRPr="00585CDA">
        <w:rPr>
          <w:rFonts w:ascii="Arial" w:hAnsi="Arial" w:cs="Arial"/>
          <w:b/>
          <w:bCs/>
          <w:sz w:val="24"/>
          <w:szCs w:val="24"/>
        </w:rPr>
        <w:t xml:space="preserve">4.2 </w:t>
      </w:r>
      <w:r w:rsidR="00336C9B" w:rsidRPr="00585CDA">
        <w:rPr>
          <w:rFonts w:ascii="Arial" w:hAnsi="Arial" w:cs="Arial"/>
          <w:b/>
          <w:bCs/>
          <w:sz w:val="24"/>
          <w:szCs w:val="24"/>
        </w:rPr>
        <w:t>Insurance Policies</w:t>
      </w:r>
      <w:bookmarkEnd w:id="10"/>
    </w:p>
    <w:p w14:paraId="144D58DF" w14:textId="1D36043A" w:rsidR="00140B3D" w:rsidRPr="00140B3D" w:rsidRDefault="00140B3D" w:rsidP="00140B3D">
      <w:pPr>
        <w:spacing w:line="360" w:lineRule="auto"/>
        <w:jc w:val="both"/>
        <w:rPr>
          <w:rFonts w:ascii="Arial" w:hAnsi="Arial" w:cs="Arial"/>
          <w:sz w:val="24"/>
          <w:szCs w:val="24"/>
        </w:rPr>
      </w:pPr>
      <w:r w:rsidRPr="00140B3D">
        <w:rPr>
          <w:rFonts w:ascii="Arial" w:hAnsi="Arial" w:cs="Arial"/>
          <w:sz w:val="24"/>
          <w:szCs w:val="24"/>
        </w:rPr>
        <w:t xml:space="preserve">Insurance policies are legally binding agreements that aim to offer monetary safeguarding and risk reduction for individuals or organisations confronted with the uncertainties inherent in personal and business matters </w:t>
      </w:r>
      <w:r w:rsidR="00047484" w:rsidRPr="00047484">
        <w:rPr>
          <w:rFonts w:ascii="Arial" w:hAnsi="Arial" w:cs="Arial"/>
          <w:sz w:val="24"/>
          <w:szCs w:val="24"/>
        </w:rPr>
        <w:t>(Dionne, 2013</w:t>
      </w:r>
      <w:r w:rsidR="00047484">
        <w:rPr>
          <w:rFonts w:ascii="Arial" w:hAnsi="Arial" w:cs="Arial"/>
          <w:sz w:val="24"/>
          <w:szCs w:val="24"/>
        </w:rPr>
        <w:t xml:space="preserve">; </w:t>
      </w:r>
      <w:r w:rsidR="00047484" w:rsidRPr="00047484">
        <w:rPr>
          <w:rFonts w:ascii="Arial" w:hAnsi="Arial" w:cs="Arial"/>
          <w:sz w:val="24"/>
          <w:szCs w:val="24"/>
        </w:rPr>
        <w:t>Arrow, 1992</w:t>
      </w:r>
      <w:r w:rsidR="00047484">
        <w:rPr>
          <w:rFonts w:ascii="Arial" w:hAnsi="Arial" w:cs="Arial"/>
          <w:sz w:val="24"/>
          <w:szCs w:val="24"/>
        </w:rPr>
        <w:t xml:space="preserve">; </w:t>
      </w:r>
      <w:r w:rsidR="00047484" w:rsidRPr="00047484">
        <w:rPr>
          <w:rFonts w:ascii="Arial" w:hAnsi="Arial" w:cs="Arial"/>
          <w:sz w:val="24"/>
          <w:szCs w:val="24"/>
        </w:rPr>
        <w:t xml:space="preserve">Finkelstein, Mahoney and </w:t>
      </w:r>
      <w:proofErr w:type="spellStart"/>
      <w:r w:rsidR="00047484" w:rsidRPr="00047484">
        <w:rPr>
          <w:rFonts w:ascii="Arial" w:hAnsi="Arial" w:cs="Arial"/>
          <w:sz w:val="24"/>
          <w:szCs w:val="24"/>
        </w:rPr>
        <w:t>Notowidigdo</w:t>
      </w:r>
      <w:proofErr w:type="spellEnd"/>
      <w:r w:rsidR="00047484" w:rsidRPr="00047484">
        <w:rPr>
          <w:rFonts w:ascii="Arial" w:hAnsi="Arial" w:cs="Arial"/>
          <w:sz w:val="24"/>
          <w:szCs w:val="24"/>
        </w:rPr>
        <w:t>, 2018)</w:t>
      </w:r>
      <w:r w:rsidRPr="00140B3D">
        <w:rPr>
          <w:rFonts w:ascii="Arial" w:hAnsi="Arial" w:cs="Arial"/>
          <w:sz w:val="24"/>
          <w:szCs w:val="24"/>
        </w:rPr>
        <w:t xml:space="preserve">. Insurance, as a fundamental concept, serves as a protective mechanism that safeguards individuals from the potentially detrimental economic consequences that may arise from unexpected occurrences, including a wide spectrum of events such as medical expenses, property destruction, or legal liabilities. </w:t>
      </w:r>
    </w:p>
    <w:p w14:paraId="7C43C3D1" w14:textId="0938FA41" w:rsidR="0093592D" w:rsidRPr="00585CDA" w:rsidRDefault="00047484" w:rsidP="00585CDA">
      <w:pPr>
        <w:spacing w:line="360" w:lineRule="auto"/>
        <w:jc w:val="both"/>
        <w:rPr>
          <w:rFonts w:ascii="Arial" w:hAnsi="Arial" w:cs="Arial"/>
          <w:sz w:val="24"/>
          <w:szCs w:val="24"/>
        </w:rPr>
      </w:pPr>
      <w:r>
        <w:rPr>
          <w:rFonts w:ascii="Arial" w:hAnsi="Arial" w:cs="Arial"/>
          <w:sz w:val="24"/>
          <w:szCs w:val="24"/>
        </w:rPr>
        <w:t xml:space="preserve">Additionally, </w:t>
      </w:r>
      <w:r w:rsidR="00CA1944" w:rsidRPr="00CA1944">
        <w:rPr>
          <w:rFonts w:ascii="Arial" w:hAnsi="Arial" w:cs="Arial"/>
          <w:sz w:val="24"/>
          <w:szCs w:val="24"/>
        </w:rPr>
        <w:t xml:space="preserve">Stempel (2009) </w:t>
      </w:r>
      <w:r w:rsidR="00140B3D" w:rsidRPr="00140B3D">
        <w:rPr>
          <w:rFonts w:ascii="Arial" w:hAnsi="Arial" w:cs="Arial"/>
          <w:sz w:val="24"/>
          <w:szCs w:val="24"/>
        </w:rPr>
        <w:t xml:space="preserve">conducted a study on the contractual structure of insurance policies, emphasising the legal environment that supports these agreements. Insurance policies serve as legally binding contracts that outline the specific terms and circumstances that regulate the relationship between the insurer and the policyholder. This legal perspective underscores the importance of employing policies that employ concise and easily understandable language </w:t>
      </w:r>
      <w:r w:rsidR="00CA1944" w:rsidRPr="00140B3D">
        <w:rPr>
          <w:rFonts w:ascii="Arial" w:hAnsi="Arial" w:cs="Arial"/>
          <w:sz w:val="24"/>
          <w:szCs w:val="24"/>
        </w:rPr>
        <w:t>to</w:t>
      </w:r>
      <w:r w:rsidR="00140B3D" w:rsidRPr="00140B3D">
        <w:rPr>
          <w:rFonts w:ascii="Arial" w:hAnsi="Arial" w:cs="Arial"/>
          <w:sz w:val="24"/>
          <w:szCs w:val="24"/>
        </w:rPr>
        <w:t xml:space="preserve"> promote shared understanding and adherence to legal obligations. </w:t>
      </w:r>
    </w:p>
    <w:p w14:paraId="1C93CD45" w14:textId="77777777" w:rsidR="00585CDA" w:rsidRPr="00585CDA" w:rsidRDefault="007B2FA6" w:rsidP="00585CDA">
      <w:pPr>
        <w:pStyle w:val="Heading2"/>
        <w:spacing w:before="240" w:line="360" w:lineRule="auto"/>
        <w:jc w:val="both"/>
        <w:rPr>
          <w:rFonts w:ascii="Arial" w:hAnsi="Arial" w:cs="Arial"/>
          <w:b/>
          <w:bCs/>
          <w:sz w:val="24"/>
          <w:szCs w:val="24"/>
        </w:rPr>
      </w:pPr>
      <w:bookmarkStart w:id="11" w:name="_Toc151558324"/>
      <w:r w:rsidRPr="00585CDA">
        <w:rPr>
          <w:rFonts w:ascii="Arial" w:hAnsi="Arial" w:cs="Arial"/>
          <w:b/>
          <w:bCs/>
          <w:sz w:val="24"/>
          <w:szCs w:val="24"/>
        </w:rPr>
        <w:t>4.</w:t>
      </w:r>
      <w:r w:rsidR="00D837A7" w:rsidRPr="00585CDA">
        <w:rPr>
          <w:rFonts w:ascii="Arial" w:hAnsi="Arial" w:cs="Arial"/>
          <w:b/>
          <w:bCs/>
          <w:sz w:val="24"/>
          <w:szCs w:val="24"/>
        </w:rPr>
        <w:t>3</w:t>
      </w:r>
      <w:r w:rsidRPr="00585CDA">
        <w:rPr>
          <w:rFonts w:ascii="Arial" w:hAnsi="Arial" w:cs="Arial"/>
          <w:b/>
          <w:bCs/>
          <w:sz w:val="24"/>
          <w:szCs w:val="24"/>
        </w:rPr>
        <w:t xml:space="preserve"> Financial Literacy</w:t>
      </w:r>
      <w:bookmarkEnd w:id="11"/>
    </w:p>
    <w:p w14:paraId="25F03EE9" w14:textId="4FEBCFBE" w:rsidR="00140B3D" w:rsidRPr="00140B3D" w:rsidRDefault="00140B3D" w:rsidP="00140B3D">
      <w:pPr>
        <w:spacing w:line="360" w:lineRule="auto"/>
        <w:jc w:val="both"/>
        <w:rPr>
          <w:rFonts w:ascii="Arial" w:hAnsi="Arial" w:cs="Arial"/>
          <w:sz w:val="24"/>
          <w:szCs w:val="24"/>
        </w:rPr>
      </w:pPr>
      <w:r w:rsidRPr="00140B3D">
        <w:rPr>
          <w:rFonts w:ascii="Arial" w:hAnsi="Arial" w:cs="Arial"/>
          <w:sz w:val="24"/>
          <w:szCs w:val="24"/>
        </w:rPr>
        <w:t xml:space="preserve">Financial literacy is a crucial factor that influences an individual's decision-making process regarding insurance policies. The study conducted by </w:t>
      </w:r>
      <w:proofErr w:type="spellStart"/>
      <w:r w:rsidR="00CA1944" w:rsidRPr="00CA1944">
        <w:rPr>
          <w:rFonts w:ascii="Arial" w:hAnsi="Arial" w:cs="Arial"/>
          <w:sz w:val="24"/>
          <w:szCs w:val="24"/>
        </w:rPr>
        <w:t>Weedige</w:t>
      </w:r>
      <w:proofErr w:type="spellEnd"/>
      <w:r w:rsidR="00CA1944" w:rsidRPr="00CA1944">
        <w:rPr>
          <w:rFonts w:ascii="Arial" w:hAnsi="Arial" w:cs="Arial"/>
          <w:sz w:val="24"/>
          <w:szCs w:val="24"/>
        </w:rPr>
        <w:t xml:space="preserve"> et al. (2019) </w:t>
      </w:r>
      <w:r w:rsidRPr="00140B3D">
        <w:rPr>
          <w:rFonts w:ascii="Arial" w:hAnsi="Arial" w:cs="Arial"/>
          <w:sz w:val="24"/>
          <w:szCs w:val="24"/>
        </w:rPr>
        <w:t>examines the intricacies of how individuals with differing levels of financial literacy navigate the intricate realm of insurance choices. A</w:t>
      </w:r>
      <w:r w:rsidR="00AF7949">
        <w:rPr>
          <w:rFonts w:ascii="Arial" w:hAnsi="Arial" w:cs="Arial"/>
          <w:sz w:val="24"/>
          <w:szCs w:val="24"/>
        </w:rPr>
        <w:t>lso, a</w:t>
      </w:r>
      <w:r w:rsidRPr="00140B3D">
        <w:rPr>
          <w:rFonts w:ascii="Arial" w:hAnsi="Arial" w:cs="Arial"/>
          <w:sz w:val="24"/>
          <w:szCs w:val="24"/>
        </w:rPr>
        <w:t xml:space="preserve">ccording to </w:t>
      </w:r>
      <w:r w:rsidR="00AF7949" w:rsidRPr="00AF7949">
        <w:rPr>
          <w:rFonts w:ascii="Arial" w:hAnsi="Arial" w:cs="Arial"/>
          <w:sz w:val="24"/>
          <w:szCs w:val="24"/>
        </w:rPr>
        <w:t>Lusardi and Mitchell (2014)</w:t>
      </w:r>
      <w:r w:rsidRPr="00140B3D">
        <w:rPr>
          <w:rFonts w:ascii="Arial" w:hAnsi="Arial" w:cs="Arial"/>
          <w:sz w:val="24"/>
          <w:szCs w:val="24"/>
        </w:rPr>
        <w:t xml:space="preserve">, there exists a positive correlation between enhanced financial literacy </w:t>
      </w:r>
      <w:r w:rsidRPr="00140B3D">
        <w:rPr>
          <w:rFonts w:ascii="Arial" w:hAnsi="Arial" w:cs="Arial"/>
          <w:sz w:val="24"/>
          <w:szCs w:val="24"/>
        </w:rPr>
        <w:lastRenderedPageBreak/>
        <w:t>and the ability to make more strategic decisions regarding insurance. This correlation suggests that individuals with a greater grasp of the nuanced differences between various insurance policies are more likely to make informed choices. This study highlights the significance of financial literacy at the individual level and underscores the importance of knowledge in decision-making. It lays the foundation for a more comprehensive analysis of financial literacy in relation to insurance.</w:t>
      </w:r>
    </w:p>
    <w:p w14:paraId="521B247D" w14:textId="1FF08CFB" w:rsidR="00585CDA" w:rsidRPr="00585CDA" w:rsidRDefault="00140B3D" w:rsidP="00585CDA">
      <w:pPr>
        <w:spacing w:line="360" w:lineRule="auto"/>
        <w:jc w:val="both"/>
        <w:rPr>
          <w:rFonts w:ascii="Arial" w:hAnsi="Arial" w:cs="Arial"/>
          <w:sz w:val="24"/>
          <w:szCs w:val="24"/>
        </w:rPr>
      </w:pPr>
      <w:r w:rsidRPr="00140B3D">
        <w:rPr>
          <w:rFonts w:ascii="Arial" w:hAnsi="Arial" w:cs="Arial"/>
          <w:sz w:val="24"/>
          <w:szCs w:val="24"/>
        </w:rPr>
        <w:t xml:space="preserve">Additionally, it is important to note that financial literacy encompasses a wider scope of significance in relation to financial education and safeguarding consumer interests, extending beyond the realm of individual decision-making. In their comprehensive investigation, </w:t>
      </w:r>
      <w:r w:rsidR="00AF7949" w:rsidRPr="00AF7949">
        <w:rPr>
          <w:rFonts w:ascii="Arial" w:hAnsi="Arial" w:cs="Arial"/>
          <w:sz w:val="24"/>
          <w:szCs w:val="24"/>
        </w:rPr>
        <w:t xml:space="preserve">Sanjeewa and </w:t>
      </w:r>
      <w:proofErr w:type="spellStart"/>
      <w:r w:rsidR="00AF7949" w:rsidRPr="00AF7949">
        <w:rPr>
          <w:rFonts w:ascii="Arial" w:hAnsi="Arial" w:cs="Arial"/>
          <w:sz w:val="24"/>
          <w:szCs w:val="24"/>
        </w:rPr>
        <w:t>Hongbing</w:t>
      </w:r>
      <w:proofErr w:type="spellEnd"/>
      <w:r w:rsidR="00AF7949" w:rsidRPr="00AF7949">
        <w:rPr>
          <w:rFonts w:ascii="Arial" w:hAnsi="Arial" w:cs="Arial"/>
          <w:sz w:val="24"/>
          <w:szCs w:val="24"/>
        </w:rPr>
        <w:t xml:space="preserve"> (2019) </w:t>
      </w:r>
      <w:r w:rsidRPr="00140B3D">
        <w:rPr>
          <w:rFonts w:ascii="Arial" w:hAnsi="Arial" w:cs="Arial"/>
          <w:sz w:val="24"/>
          <w:szCs w:val="24"/>
        </w:rPr>
        <w:t>undertook a</w:t>
      </w:r>
      <w:r w:rsidR="00AF7949">
        <w:rPr>
          <w:rFonts w:ascii="Arial" w:hAnsi="Arial" w:cs="Arial"/>
          <w:sz w:val="24"/>
          <w:szCs w:val="24"/>
        </w:rPr>
        <w:t xml:space="preserve">n </w:t>
      </w:r>
      <w:r w:rsidRPr="00140B3D">
        <w:rPr>
          <w:rFonts w:ascii="Arial" w:hAnsi="Arial" w:cs="Arial"/>
          <w:sz w:val="24"/>
          <w:szCs w:val="24"/>
        </w:rPr>
        <w:t xml:space="preserve">examination of the domain of financial literacy. The </w:t>
      </w:r>
      <w:r w:rsidR="00AF7949" w:rsidRPr="00140B3D">
        <w:rPr>
          <w:rFonts w:ascii="Arial" w:hAnsi="Arial" w:cs="Arial"/>
          <w:sz w:val="24"/>
          <w:szCs w:val="24"/>
        </w:rPr>
        <w:t>study</w:t>
      </w:r>
      <w:r w:rsidRPr="00140B3D">
        <w:rPr>
          <w:rFonts w:ascii="Arial" w:hAnsi="Arial" w:cs="Arial"/>
          <w:sz w:val="24"/>
          <w:szCs w:val="24"/>
        </w:rPr>
        <w:t xml:space="preserve"> provides evidence to substantiate the notion that individuals with higher levels of education exhibit a greater understanding of insurance options. This finding suggests a mutually beneficial association between education, financial literacy, and the process of making informed decisions regarding insurance. This expanded viewpoint transcends the scope of the person, highlighting the wider impact that financial literacy campaigns can potentially have. This suggests that deliberate interventions may have the potential to not only educate and empower consumers, but also to foster the development of a more robust and flexible financial landscape</w:t>
      </w:r>
      <w:r w:rsidR="00585CDA" w:rsidRPr="00585CDA">
        <w:rPr>
          <w:rFonts w:ascii="Arial" w:hAnsi="Arial" w:cs="Arial"/>
          <w:sz w:val="24"/>
          <w:szCs w:val="24"/>
        </w:rPr>
        <w:t>.</w:t>
      </w:r>
    </w:p>
    <w:p w14:paraId="35FB9204" w14:textId="76EB9672" w:rsidR="006A4928" w:rsidRPr="00585CDA" w:rsidRDefault="006A4928" w:rsidP="00585CDA">
      <w:pPr>
        <w:pStyle w:val="Heading2"/>
        <w:spacing w:before="240" w:line="360" w:lineRule="auto"/>
        <w:jc w:val="both"/>
        <w:rPr>
          <w:rFonts w:ascii="Arial" w:hAnsi="Arial" w:cs="Arial"/>
          <w:b/>
          <w:bCs/>
          <w:sz w:val="24"/>
          <w:szCs w:val="24"/>
        </w:rPr>
      </w:pPr>
      <w:bookmarkStart w:id="12" w:name="_Toc151558325"/>
      <w:r w:rsidRPr="00585CDA">
        <w:rPr>
          <w:rFonts w:ascii="Arial" w:hAnsi="Arial" w:cs="Arial"/>
          <w:b/>
          <w:bCs/>
          <w:sz w:val="24"/>
          <w:szCs w:val="24"/>
        </w:rPr>
        <w:t>4.</w:t>
      </w:r>
      <w:r w:rsidR="00D837A7" w:rsidRPr="00585CDA">
        <w:rPr>
          <w:rFonts w:ascii="Arial" w:hAnsi="Arial" w:cs="Arial"/>
          <w:b/>
          <w:bCs/>
          <w:sz w:val="24"/>
          <w:szCs w:val="24"/>
        </w:rPr>
        <w:t>4</w:t>
      </w:r>
      <w:r w:rsidRPr="00585CDA">
        <w:rPr>
          <w:rFonts w:ascii="Arial" w:hAnsi="Arial" w:cs="Arial"/>
          <w:b/>
          <w:bCs/>
          <w:sz w:val="24"/>
          <w:szCs w:val="24"/>
        </w:rPr>
        <w:t xml:space="preserve"> Gaps in Literature</w:t>
      </w:r>
      <w:bookmarkEnd w:id="12"/>
    </w:p>
    <w:p w14:paraId="4697CA60" w14:textId="60A28865" w:rsidR="00140B3D" w:rsidRPr="00140B3D" w:rsidRDefault="00140B3D" w:rsidP="00140B3D">
      <w:pPr>
        <w:spacing w:line="360" w:lineRule="auto"/>
        <w:jc w:val="both"/>
        <w:rPr>
          <w:rFonts w:ascii="Arial" w:hAnsi="Arial" w:cs="Arial"/>
          <w:sz w:val="24"/>
          <w:szCs w:val="24"/>
        </w:rPr>
      </w:pPr>
      <w:r w:rsidRPr="00140B3D">
        <w:rPr>
          <w:rFonts w:ascii="Arial" w:hAnsi="Arial" w:cs="Arial"/>
          <w:sz w:val="24"/>
          <w:szCs w:val="24"/>
        </w:rPr>
        <w:t xml:space="preserve">The existing body of research pertaining to the correlation between financial literacy and insurance decision-making is valuable; nonetheless, there exist notable areas of inquiry that warrant more investigation. One significant gap in the existing literature is the lack of investigation into the influence of socioeconomic factors on individuals' financial literacy and decision-making about insurance. The primary focus of </w:t>
      </w:r>
      <w:r w:rsidR="0015370C">
        <w:rPr>
          <w:rFonts w:ascii="Arial" w:hAnsi="Arial" w:cs="Arial"/>
          <w:sz w:val="24"/>
          <w:szCs w:val="24"/>
        </w:rPr>
        <w:t>existing</w:t>
      </w:r>
      <w:r w:rsidR="00AF7949">
        <w:rPr>
          <w:rFonts w:ascii="Arial" w:hAnsi="Arial" w:cs="Arial"/>
          <w:sz w:val="24"/>
          <w:szCs w:val="24"/>
        </w:rPr>
        <w:t xml:space="preserve"> </w:t>
      </w:r>
      <w:r w:rsidRPr="00140B3D">
        <w:rPr>
          <w:rFonts w:ascii="Arial" w:hAnsi="Arial" w:cs="Arial"/>
          <w:sz w:val="24"/>
          <w:szCs w:val="24"/>
        </w:rPr>
        <w:t xml:space="preserve">studies revolves around factors at the individual level. However, </w:t>
      </w:r>
      <w:r w:rsidR="00AF7949" w:rsidRPr="00140B3D">
        <w:rPr>
          <w:rFonts w:ascii="Arial" w:hAnsi="Arial" w:cs="Arial"/>
          <w:sz w:val="24"/>
          <w:szCs w:val="24"/>
        </w:rPr>
        <w:t>to</w:t>
      </w:r>
      <w:r w:rsidRPr="00140B3D">
        <w:rPr>
          <w:rFonts w:ascii="Arial" w:hAnsi="Arial" w:cs="Arial"/>
          <w:sz w:val="24"/>
          <w:szCs w:val="24"/>
        </w:rPr>
        <w:t xml:space="preserve"> achieve a thorough comprehension, it is important to delve into the ways in which cultural and socioeconomic </w:t>
      </w:r>
      <w:r w:rsidR="0015370C" w:rsidRPr="00140B3D">
        <w:rPr>
          <w:rFonts w:ascii="Arial" w:hAnsi="Arial" w:cs="Arial"/>
          <w:sz w:val="24"/>
          <w:szCs w:val="24"/>
        </w:rPr>
        <w:t>differences</w:t>
      </w:r>
      <w:r w:rsidRPr="00140B3D">
        <w:rPr>
          <w:rFonts w:ascii="Arial" w:hAnsi="Arial" w:cs="Arial"/>
          <w:sz w:val="24"/>
          <w:szCs w:val="24"/>
        </w:rPr>
        <w:t xml:space="preserve"> impact financial literacy. The examination of these contextual factors possesses the capacity to unveil diverse patterns within a broad spectrum of cultural and socioeconomic contexts, so introducing an additional level of intricacy to the ongoing discourse.</w:t>
      </w:r>
    </w:p>
    <w:p w14:paraId="40D2D998" w14:textId="2C37E2B1" w:rsidR="006A4928" w:rsidRPr="00585CDA" w:rsidRDefault="00140B3D" w:rsidP="00585CDA">
      <w:pPr>
        <w:spacing w:line="360" w:lineRule="auto"/>
        <w:jc w:val="both"/>
        <w:rPr>
          <w:rFonts w:ascii="Arial" w:hAnsi="Arial" w:cs="Arial"/>
          <w:sz w:val="24"/>
          <w:szCs w:val="24"/>
        </w:rPr>
      </w:pPr>
      <w:r w:rsidRPr="00140B3D">
        <w:rPr>
          <w:rFonts w:ascii="Arial" w:hAnsi="Arial" w:cs="Arial"/>
          <w:sz w:val="24"/>
          <w:szCs w:val="24"/>
        </w:rPr>
        <w:lastRenderedPageBreak/>
        <w:t>Moreover, previous research commonly used a generalised methodology, considering individuals as a uniform group and overlooking the intricate interplay of various factors that shape their perspectives on financial matters and decisions surrounding insurance.  To date, scholarly investigations have predominantly concentrated on individual-level characteristics such as educational attainment and financial resources, without adequately acknowledging the interplay between these factors and other dimensions of identity. For instance, individuals' encounters with financial literacy and insurance decisions might vary significantly based on factors such as race or gender, which often intersect with socioeconomic status. Comprehending these points of convergence is crucial for the formulation of tailored interventions that recognise and tackle the diverse requirements and obstacles encountered by individuals within this demographic</w:t>
      </w:r>
      <w:r w:rsidR="00585CDA" w:rsidRPr="00585CDA">
        <w:rPr>
          <w:rFonts w:ascii="Arial" w:hAnsi="Arial" w:cs="Arial"/>
          <w:sz w:val="24"/>
          <w:szCs w:val="24"/>
        </w:rPr>
        <w:t>.</w:t>
      </w:r>
    </w:p>
    <w:p w14:paraId="0EF30D55" w14:textId="6B92DD6C" w:rsidR="00C24527" w:rsidRPr="00585CDA" w:rsidRDefault="00C24527" w:rsidP="00585CDA">
      <w:pPr>
        <w:pStyle w:val="Heading1"/>
        <w:spacing w:line="360" w:lineRule="auto"/>
        <w:jc w:val="both"/>
        <w:rPr>
          <w:rFonts w:ascii="Arial" w:hAnsi="Arial" w:cs="Arial"/>
          <w:b/>
          <w:bCs/>
          <w:sz w:val="24"/>
          <w:szCs w:val="24"/>
        </w:rPr>
      </w:pPr>
      <w:bookmarkStart w:id="13" w:name="_Toc151558326"/>
      <w:r w:rsidRPr="00585CDA">
        <w:rPr>
          <w:rFonts w:ascii="Arial" w:hAnsi="Arial" w:cs="Arial"/>
          <w:b/>
          <w:bCs/>
          <w:sz w:val="24"/>
          <w:szCs w:val="24"/>
        </w:rPr>
        <w:t>5. Limitations</w:t>
      </w:r>
      <w:bookmarkEnd w:id="13"/>
    </w:p>
    <w:p w14:paraId="28C313E6" w14:textId="630A24B0" w:rsidR="00140B3D" w:rsidRPr="00140B3D" w:rsidRDefault="00140B3D" w:rsidP="00140B3D">
      <w:pPr>
        <w:pStyle w:val="NormalWeb"/>
        <w:spacing w:line="360" w:lineRule="auto"/>
        <w:jc w:val="both"/>
        <w:rPr>
          <w:rFonts w:ascii="Arial" w:hAnsi="Arial" w:cs="Arial"/>
        </w:rPr>
      </w:pPr>
      <w:r w:rsidRPr="00140B3D">
        <w:rPr>
          <w:rFonts w:ascii="Arial" w:hAnsi="Arial" w:cs="Arial"/>
        </w:rPr>
        <w:t xml:space="preserve">One weakness of this </w:t>
      </w:r>
      <w:r>
        <w:rPr>
          <w:rFonts w:ascii="Arial" w:hAnsi="Arial" w:cs="Arial"/>
        </w:rPr>
        <w:t>study</w:t>
      </w:r>
      <w:r w:rsidRPr="00140B3D">
        <w:rPr>
          <w:rFonts w:ascii="Arial" w:hAnsi="Arial" w:cs="Arial"/>
        </w:rPr>
        <w:t xml:space="preserve"> is the potential for self-reporting bias, a common worry in survey-based research. The potential influence of social desirability biases or inaccuracies on participant responses may undermine the overall validity of the research findings. When considering topics that involve sensitive information, such as an individual's health state or income, this bias becomes more relevant.</w:t>
      </w:r>
    </w:p>
    <w:p w14:paraId="5EDF2596" w14:textId="6AC6F139" w:rsidR="00140B3D" w:rsidRPr="00140B3D" w:rsidRDefault="00140B3D" w:rsidP="00140B3D">
      <w:pPr>
        <w:pStyle w:val="NormalWeb"/>
        <w:spacing w:line="360" w:lineRule="auto"/>
        <w:jc w:val="both"/>
        <w:rPr>
          <w:rFonts w:ascii="Arial" w:hAnsi="Arial" w:cs="Arial"/>
        </w:rPr>
      </w:pPr>
      <w:r w:rsidRPr="00140B3D">
        <w:rPr>
          <w:rFonts w:ascii="Arial" w:hAnsi="Arial" w:cs="Arial"/>
        </w:rPr>
        <w:t>Another major limitation is the probable lack of thorough insights. Surveys are a crucial instrument for collecting quantitative data; nevertheless, they may fall short in capturing the profound insights that can be derived from qualitative methodologies. When conducting an analysis of complex relationships between demographic factors and insurance preferences, it is crucial to consider minor nuances and contextual details.</w:t>
      </w:r>
    </w:p>
    <w:p w14:paraId="0CAA7C5C" w14:textId="181CE384" w:rsidR="00D100AA" w:rsidRPr="00585CDA" w:rsidRDefault="00140B3D" w:rsidP="00585CDA">
      <w:pPr>
        <w:pStyle w:val="NormalWeb"/>
        <w:spacing w:line="360" w:lineRule="auto"/>
        <w:jc w:val="both"/>
        <w:rPr>
          <w:rFonts w:ascii="Arial" w:hAnsi="Arial" w:cs="Arial"/>
        </w:rPr>
      </w:pPr>
      <w:r w:rsidRPr="00140B3D">
        <w:rPr>
          <w:rFonts w:ascii="Arial" w:hAnsi="Arial" w:cs="Arial"/>
        </w:rPr>
        <w:t>Non-response bias is an additional impediment that undermines the generalizability of the findings. Certain demographic cohorts may exhibit a diminished likelihood of engaging in survey research, hence leading to the formation of an unrepresentative sample. The limitation assumes particular importance when certain demographic groups are underrepresented in the research, as this has the potential to introduce bias and distort the resulting conclusions.</w:t>
      </w:r>
    </w:p>
    <w:p w14:paraId="111BF139" w14:textId="0CDD424C" w:rsidR="00442C71" w:rsidRPr="00585CDA" w:rsidRDefault="00585CDA" w:rsidP="00585CDA">
      <w:pPr>
        <w:pStyle w:val="Heading1"/>
        <w:spacing w:line="360" w:lineRule="auto"/>
        <w:jc w:val="both"/>
        <w:rPr>
          <w:rFonts w:ascii="Arial" w:hAnsi="Arial" w:cs="Arial"/>
          <w:b/>
          <w:bCs/>
          <w:sz w:val="24"/>
          <w:szCs w:val="24"/>
        </w:rPr>
      </w:pPr>
      <w:bookmarkStart w:id="14" w:name="_Toc151558327"/>
      <w:r w:rsidRPr="00585CDA">
        <w:rPr>
          <w:rFonts w:ascii="Arial" w:hAnsi="Arial" w:cs="Arial"/>
          <w:b/>
          <w:bCs/>
          <w:sz w:val="24"/>
          <w:szCs w:val="24"/>
        </w:rPr>
        <w:lastRenderedPageBreak/>
        <w:t>6</w:t>
      </w:r>
      <w:r w:rsidR="00C24527" w:rsidRPr="00585CDA">
        <w:rPr>
          <w:rFonts w:ascii="Arial" w:hAnsi="Arial" w:cs="Arial"/>
          <w:b/>
          <w:bCs/>
          <w:sz w:val="24"/>
          <w:szCs w:val="24"/>
        </w:rPr>
        <w:t>. Conclusion</w:t>
      </w:r>
      <w:bookmarkEnd w:id="14"/>
    </w:p>
    <w:p w14:paraId="285D6D96" w14:textId="2493D9BC" w:rsidR="003C6EC3" w:rsidRDefault="00140B3D" w:rsidP="003C6EC3">
      <w:pPr>
        <w:spacing w:before="240" w:line="360" w:lineRule="auto"/>
        <w:jc w:val="both"/>
        <w:rPr>
          <w:rFonts w:ascii="Arial" w:hAnsi="Arial" w:cs="Arial"/>
          <w:sz w:val="24"/>
          <w:szCs w:val="24"/>
        </w:rPr>
      </w:pPr>
      <w:r w:rsidRPr="00140B3D">
        <w:rPr>
          <w:rFonts w:ascii="Arial" w:eastAsia="Times New Roman" w:hAnsi="Arial" w:cs="Arial"/>
          <w:kern w:val="0"/>
          <w:sz w:val="24"/>
          <w:szCs w:val="24"/>
          <w:lang w:val="en-IN" w:eastAsia="en-IN"/>
          <w14:ligatures w14:val="none"/>
        </w:rPr>
        <w:t xml:space="preserve">The research proposal adeptly presents a comprehensive overview of the research questions and objectives, underscoring the significance of delving into this intricate topic. The various obstacles that may occur have been duly addressed, and the constraints of the research design, particularly the reliance on surveys as the primary method of data collecting, have been thoroughly examined. The recommended timeline of 16 weeks outlines a methodical approach for the various phases of the research, ensuring the thorough and efficient accomplishment of each objective. The activities encompassed under this domain encompass doing a comprehensive assessment of existing literature, formulating surveys, gathering data, </w:t>
      </w:r>
      <w:r w:rsidR="0015370C" w:rsidRPr="00140B3D">
        <w:rPr>
          <w:rFonts w:ascii="Arial" w:eastAsia="Times New Roman" w:hAnsi="Arial" w:cs="Arial"/>
          <w:kern w:val="0"/>
          <w:sz w:val="24"/>
          <w:szCs w:val="24"/>
          <w:lang w:val="en-IN" w:eastAsia="en-IN"/>
          <w14:ligatures w14:val="none"/>
        </w:rPr>
        <w:t>analysing,</w:t>
      </w:r>
      <w:r w:rsidRPr="00140B3D">
        <w:rPr>
          <w:rFonts w:ascii="Arial" w:eastAsia="Times New Roman" w:hAnsi="Arial" w:cs="Arial"/>
          <w:kern w:val="0"/>
          <w:sz w:val="24"/>
          <w:szCs w:val="24"/>
          <w:lang w:val="en-IN" w:eastAsia="en-IN"/>
          <w14:ligatures w14:val="none"/>
        </w:rPr>
        <w:t xml:space="preserve"> and interpreting the collected information, and composing </w:t>
      </w:r>
      <w:r w:rsidR="0015370C">
        <w:rPr>
          <w:rFonts w:ascii="Arial" w:eastAsia="Times New Roman" w:hAnsi="Arial" w:cs="Arial"/>
          <w:kern w:val="0"/>
          <w:sz w:val="24"/>
          <w:szCs w:val="24"/>
          <w:lang w:val="en-IN" w:eastAsia="en-IN"/>
          <w14:ligatures w14:val="none"/>
        </w:rPr>
        <w:t xml:space="preserve">an </w:t>
      </w:r>
      <w:r w:rsidR="0015370C" w:rsidRPr="00140B3D">
        <w:rPr>
          <w:rFonts w:ascii="Arial" w:eastAsia="Times New Roman" w:hAnsi="Arial" w:cs="Arial"/>
          <w:kern w:val="0"/>
          <w:sz w:val="24"/>
          <w:szCs w:val="24"/>
          <w:lang w:val="en-IN" w:eastAsia="en-IN"/>
          <w14:ligatures w14:val="none"/>
        </w:rPr>
        <w:t>inclusive</w:t>
      </w:r>
      <w:r w:rsidRPr="00140B3D">
        <w:rPr>
          <w:rFonts w:ascii="Arial" w:eastAsia="Times New Roman" w:hAnsi="Arial" w:cs="Arial"/>
          <w:kern w:val="0"/>
          <w:sz w:val="24"/>
          <w:szCs w:val="24"/>
          <w:lang w:val="en-IN" w:eastAsia="en-IN"/>
          <w14:ligatures w14:val="none"/>
        </w:rPr>
        <w:t xml:space="preserve"> report.</w:t>
      </w:r>
    </w:p>
    <w:p w14:paraId="09A0C913" w14:textId="77777777" w:rsidR="003C6EC3" w:rsidRDefault="003C6EC3" w:rsidP="003C6EC3">
      <w:pPr>
        <w:spacing w:before="240" w:line="360" w:lineRule="auto"/>
        <w:jc w:val="both"/>
        <w:rPr>
          <w:rFonts w:ascii="Arial" w:hAnsi="Arial" w:cs="Arial"/>
          <w:sz w:val="24"/>
          <w:szCs w:val="24"/>
        </w:rPr>
      </w:pPr>
    </w:p>
    <w:p w14:paraId="77FB559E" w14:textId="77777777" w:rsidR="003C6EC3" w:rsidRDefault="003C6EC3" w:rsidP="003C6EC3">
      <w:pPr>
        <w:spacing w:before="240" w:line="360" w:lineRule="auto"/>
        <w:jc w:val="both"/>
        <w:rPr>
          <w:rFonts w:ascii="Arial" w:hAnsi="Arial" w:cs="Arial"/>
          <w:sz w:val="24"/>
          <w:szCs w:val="24"/>
        </w:rPr>
      </w:pPr>
    </w:p>
    <w:p w14:paraId="6226706F" w14:textId="77777777" w:rsidR="00D86009" w:rsidRDefault="00D86009" w:rsidP="003C6EC3">
      <w:pPr>
        <w:spacing w:before="240" w:line="360" w:lineRule="auto"/>
        <w:jc w:val="both"/>
        <w:rPr>
          <w:rFonts w:ascii="Arial" w:hAnsi="Arial" w:cs="Arial"/>
          <w:sz w:val="24"/>
          <w:szCs w:val="24"/>
        </w:rPr>
      </w:pPr>
    </w:p>
    <w:p w14:paraId="578D67BA" w14:textId="77777777" w:rsidR="00D86009" w:rsidRDefault="00D86009" w:rsidP="003C6EC3">
      <w:pPr>
        <w:spacing w:before="240" w:line="360" w:lineRule="auto"/>
        <w:jc w:val="both"/>
        <w:rPr>
          <w:rFonts w:ascii="Arial" w:hAnsi="Arial" w:cs="Arial"/>
          <w:sz w:val="24"/>
          <w:szCs w:val="24"/>
        </w:rPr>
      </w:pPr>
    </w:p>
    <w:p w14:paraId="04797343" w14:textId="77777777" w:rsidR="00D86009" w:rsidRDefault="00D86009" w:rsidP="003C6EC3">
      <w:pPr>
        <w:spacing w:before="240" w:line="360" w:lineRule="auto"/>
        <w:jc w:val="both"/>
        <w:rPr>
          <w:rFonts w:ascii="Arial" w:hAnsi="Arial" w:cs="Arial"/>
          <w:sz w:val="24"/>
          <w:szCs w:val="24"/>
        </w:rPr>
      </w:pPr>
    </w:p>
    <w:p w14:paraId="4E90C2A5" w14:textId="77777777" w:rsidR="00D86009" w:rsidRDefault="00D86009" w:rsidP="003C6EC3">
      <w:pPr>
        <w:spacing w:before="240" w:line="360" w:lineRule="auto"/>
        <w:jc w:val="both"/>
        <w:rPr>
          <w:rFonts w:ascii="Arial" w:hAnsi="Arial" w:cs="Arial"/>
          <w:sz w:val="24"/>
          <w:szCs w:val="24"/>
        </w:rPr>
      </w:pPr>
    </w:p>
    <w:p w14:paraId="5BE3DC87" w14:textId="77777777" w:rsidR="00D86009" w:rsidRDefault="00D86009" w:rsidP="003C6EC3">
      <w:pPr>
        <w:spacing w:before="240" w:line="360" w:lineRule="auto"/>
        <w:jc w:val="both"/>
        <w:rPr>
          <w:rFonts w:ascii="Arial" w:hAnsi="Arial" w:cs="Arial"/>
          <w:sz w:val="24"/>
          <w:szCs w:val="24"/>
        </w:rPr>
      </w:pPr>
    </w:p>
    <w:p w14:paraId="66DFBD56" w14:textId="77777777" w:rsidR="00D86009" w:rsidRDefault="00D86009" w:rsidP="003C6EC3">
      <w:pPr>
        <w:spacing w:before="240" w:line="360" w:lineRule="auto"/>
        <w:jc w:val="both"/>
        <w:rPr>
          <w:rFonts w:ascii="Arial" w:hAnsi="Arial" w:cs="Arial"/>
          <w:sz w:val="24"/>
          <w:szCs w:val="24"/>
        </w:rPr>
      </w:pPr>
    </w:p>
    <w:p w14:paraId="3D35FF18" w14:textId="77777777" w:rsidR="00D86009" w:rsidRDefault="00D86009" w:rsidP="003C6EC3">
      <w:pPr>
        <w:spacing w:before="240" w:line="360" w:lineRule="auto"/>
        <w:jc w:val="both"/>
        <w:rPr>
          <w:rFonts w:ascii="Arial" w:hAnsi="Arial" w:cs="Arial"/>
          <w:sz w:val="24"/>
          <w:szCs w:val="24"/>
        </w:rPr>
      </w:pPr>
    </w:p>
    <w:p w14:paraId="7D0BCE05" w14:textId="77777777" w:rsidR="0015370C" w:rsidRDefault="0015370C" w:rsidP="003C6EC3">
      <w:pPr>
        <w:spacing w:before="240" w:line="360" w:lineRule="auto"/>
        <w:jc w:val="both"/>
        <w:rPr>
          <w:rFonts w:ascii="Arial" w:hAnsi="Arial" w:cs="Arial"/>
          <w:sz w:val="24"/>
          <w:szCs w:val="24"/>
        </w:rPr>
      </w:pPr>
    </w:p>
    <w:p w14:paraId="0E7D0B4C" w14:textId="77777777" w:rsidR="0015370C" w:rsidRDefault="0015370C" w:rsidP="003C6EC3">
      <w:pPr>
        <w:spacing w:before="240" w:line="360" w:lineRule="auto"/>
        <w:jc w:val="both"/>
        <w:rPr>
          <w:rFonts w:ascii="Arial" w:hAnsi="Arial" w:cs="Arial"/>
          <w:sz w:val="24"/>
          <w:szCs w:val="24"/>
        </w:rPr>
      </w:pPr>
    </w:p>
    <w:p w14:paraId="24207E36" w14:textId="77777777" w:rsidR="003C6EC3" w:rsidRDefault="003C6EC3" w:rsidP="003C6EC3">
      <w:pPr>
        <w:spacing w:before="240" w:line="360" w:lineRule="auto"/>
        <w:jc w:val="both"/>
        <w:rPr>
          <w:rFonts w:ascii="Arial" w:hAnsi="Arial" w:cs="Arial"/>
          <w:sz w:val="24"/>
          <w:szCs w:val="24"/>
        </w:rPr>
      </w:pPr>
    </w:p>
    <w:p w14:paraId="3B581FD7" w14:textId="60D918A4" w:rsidR="003C6EC3" w:rsidRDefault="003C6EC3" w:rsidP="003C6EC3">
      <w:pPr>
        <w:pStyle w:val="Heading1"/>
        <w:spacing w:line="360" w:lineRule="auto"/>
        <w:jc w:val="both"/>
        <w:rPr>
          <w:rFonts w:ascii="Arial" w:hAnsi="Arial" w:cs="Arial"/>
          <w:b/>
          <w:bCs/>
          <w:sz w:val="24"/>
          <w:szCs w:val="24"/>
        </w:rPr>
      </w:pPr>
      <w:bookmarkStart w:id="15" w:name="_Toc151558328"/>
      <w:r>
        <w:rPr>
          <w:rFonts w:ascii="Arial" w:hAnsi="Arial" w:cs="Arial"/>
          <w:b/>
          <w:bCs/>
          <w:sz w:val="24"/>
          <w:szCs w:val="24"/>
        </w:rPr>
        <w:lastRenderedPageBreak/>
        <w:t>References</w:t>
      </w:r>
      <w:bookmarkEnd w:id="15"/>
    </w:p>
    <w:p w14:paraId="37C9C387" w14:textId="77777777" w:rsidR="0015370C" w:rsidRPr="00261E6D" w:rsidRDefault="0015370C" w:rsidP="00B23B7A">
      <w:pPr>
        <w:pStyle w:val="NormalWeb"/>
        <w:spacing w:before="0" w:beforeAutospacing="0" w:after="160" w:afterAutospacing="0" w:line="360" w:lineRule="auto"/>
        <w:rPr>
          <w:rFonts w:ascii="Arial" w:hAnsi="Arial" w:cs="Arial"/>
        </w:rPr>
      </w:pPr>
      <w:r w:rsidRPr="00261E6D">
        <w:rPr>
          <w:rFonts w:ascii="Arial" w:hAnsi="Arial" w:cs="Arial"/>
        </w:rPr>
        <w:t xml:space="preserve">Arrow, K.J. (1992) 'Insurance, risk and resource allocation,' in </w:t>
      </w:r>
      <w:r w:rsidRPr="00261E6D">
        <w:rPr>
          <w:rFonts w:ascii="Arial" w:hAnsi="Arial" w:cs="Arial"/>
          <w:i/>
          <w:iCs/>
        </w:rPr>
        <w:t>Hübner international series on risk, insurance, and economic security</w:t>
      </w:r>
      <w:r w:rsidRPr="00261E6D">
        <w:rPr>
          <w:rFonts w:ascii="Arial" w:hAnsi="Arial" w:cs="Arial"/>
        </w:rPr>
        <w:t>, pp. 220–229. https://doi.org/10.1007/978-94-015-7957-5_11.</w:t>
      </w:r>
    </w:p>
    <w:p w14:paraId="525EE92F" w14:textId="77777777" w:rsidR="0015370C" w:rsidRPr="00261E6D" w:rsidRDefault="0015370C" w:rsidP="00B23B7A">
      <w:pPr>
        <w:pStyle w:val="NormalWeb"/>
        <w:spacing w:before="0" w:beforeAutospacing="0" w:after="160" w:afterAutospacing="0" w:line="360" w:lineRule="auto"/>
        <w:rPr>
          <w:rFonts w:ascii="Arial" w:hAnsi="Arial" w:cs="Arial"/>
        </w:rPr>
      </w:pPr>
      <w:r w:rsidRPr="00261E6D">
        <w:rPr>
          <w:rFonts w:ascii="Arial" w:hAnsi="Arial" w:cs="Arial"/>
        </w:rPr>
        <w:t xml:space="preserve">Becker, K. and Zweifel, P. (2008) 'Age and Choice in Health Insurance,' </w:t>
      </w:r>
      <w:r w:rsidRPr="00261E6D">
        <w:rPr>
          <w:rFonts w:ascii="Arial" w:hAnsi="Arial" w:cs="Arial"/>
          <w:i/>
          <w:iCs/>
        </w:rPr>
        <w:t>The Patient: Patient-</w:t>
      </w:r>
      <w:proofErr w:type="spellStart"/>
      <w:r w:rsidRPr="00261E6D">
        <w:rPr>
          <w:rFonts w:ascii="Arial" w:hAnsi="Arial" w:cs="Arial"/>
          <w:i/>
          <w:iCs/>
        </w:rPr>
        <w:t>Centered</w:t>
      </w:r>
      <w:proofErr w:type="spellEnd"/>
      <w:r w:rsidRPr="00261E6D">
        <w:rPr>
          <w:rFonts w:ascii="Arial" w:hAnsi="Arial" w:cs="Arial"/>
          <w:i/>
          <w:iCs/>
        </w:rPr>
        <w:t xml:space="preserve"> Outcomes Research</w:t>
      </w:r>
      <w:r w:rsidRPr="00261E6D">
        <w:rPr>
          <w:rFonts w:ascii="Arial" w:hAnsi="Arial" w:cs="Arial"/>
        </w:rPr>
        <w:t>, 1(1), pp. 27–40. https://doi.org/10.2165/01312067-200801010-00006.</w:t>
      </w:r>
    </w:p>
    <w:p w14:paraId="1E24936E" w14:textId="77777777" w:rsidR="0015370C" w:rsidRPr="00261E6D" w:rsidRDefault="0015370C" w:rsidP="00B23B7A">
      <w:pPr>
        <w:pStyle w:val="NormalWeb"/>
        <w:spacing w:before="0" w:beforeAutospacing="0" w:after="160" w:afterAutospacing="0" w:line="360" w:lineRule="auto"/>
        <w:rPr>
          <w:rFonts w:ascii="Arial" w:hAnsi="Arial" w:cs="Arial"/>
        </w:rPr>
      </w:pPr>
      <w:r w:rsidRPr="00261E6D">
        <w:rPr>
          <w:rFonts w:ascii="Arial" w:hAnsi="Arial" w:cs="Arial"/>
        </w:rPr>
        <w:t xml:space="preserve">Dionne, G. (2013) </w:t>
      </w:r>
      <w:r w:rsidRPr="00261E6D">
        <w:rPr>
          <w:rFonts w:ascii="Arial" w:hAnsi="Arial" w:cs="Arial"/>
          <w:i/>
          <w:iCs/>
        </w:rPr>
        <w:t>Handbook of insurance</w:t>
      </w:r>
      <w:r w:rsidRPr="00261E6D">
        <w:rPr>
          <w:rFonts w:ascii="Arial" w:hAnsi="Arial" w:cs="Arial"/>
        </w:rPr>
        <w:t xml:space="preserve">, </w:t>
      </w:r>
      <w:r w:rsidRPr="00261E6D">
        <w:rPr>
          <w:rFonts w:ascii="Arial" w:hAnsi="Arial" w:cs="Arial"/>
          <w:i/>
          <w:iCs/>
        </w:rPr>
        <w:t>Springer eBooks</w:t>
      </w:r>
      <w:r w:rsidRPr="00261E6D">
        <w:rPr>
          <w:rFonts w:ascii="Arial" w:hAnsi="Arial" w:cs="Arial"/>
        </w:rPr>
        <w:t>. https://doi.org/10.1007/978-1-4614-0155-1.</w:t>
      </w:r>
    </w:p>
    <w:p w14:paraId="7C38B740" w14:textId="77777777" w:rsidR="0015370C" w:rsidRPr="00261E6D" w:rsidRDefault="0015370C" w:rsidP="00B23B7A">
      <w:pPr>
        <w:pStyle w:val="NormalWeb"/>
        <w:spacing w:before="0" w:beforeAutospacing="0" w:after="160" w:afterAutospacing="0" w:line="360" w:lineRule="auto"/>
        <w:rPr>
          <w:rFonts w:ascii="Arial" w:hAnsi="Arial" w:cs="Arial"/>
        </w:rPr>
      </w:pPr>
      <w:r w:rsidRPr="00261E6D">
        <w:rPr>
          <w:rFonts w:ascii="Arial" w:hAnsi="Arial" w:cs="Arial"/>
        </w:rPr>
        <w:t xml:space="preserve">Finkelstein, A., Mahoney, N. and </w:t>
      </w:r>
      <w:proofErr w:type="spellStart"/>
      <w:r w:rsidRPr="00261E6D">
        <w:rPr>
          <w:rFonts w:ascii="Arial" w:hAnsi="Arial" w:cs="Arial"/>
        </w:rPr>
        <w:t>Notowidigdo</w:t>
      </w:r>
      <w:proofErr w:type="spellEnd"/>
      <w:r w:rsidRPr="00261E6D">
        <w:rPr>
          <w:rFonts w:ascii="Arial" w:hAnsi="Arial" w:cs="Arial"/>
        </w:rPr>
        <w:t xml:space="preserve">, M. (2018) 'What does (Formal) Health Insurance do, and for </w:t>
      </w:r>
      <w:proofErr w:type="gramStart"/>
      <w:r w:rsidRPr="00261E6D">
        <w:rPr>
          <w:rFonts w:ascii="Arial" w:hAnsi="Arial" w:cs="Arial"/>
        </w:rPr>
        <w:t>whom?,</w:t>
      </w:r>
      <w:proofErr w:type="gramEnd"/>
      <w:r w:rsidRPr="00261E6D">
        <w:rPr>
          <w:rFonts w:ascii="Arial" w:hAnsi="Arial" w:cs="Arial"/>
        </w:rPr>
        <w:t xml:space="preserve">' </w:t>
      </w:r>
      <w:r w:rsidRPr="00261E6D">
        <w:rPr>
          <w:rFonts w:ascii="Arial" w:hAnsi="Arial" w:cs="Arial"/>
          <w:i/>
          <w:iCs/>
        </w:rPr>
        <w:t>Annual Review of Economics</w:t>
      </w:r>
      <w:r w:rsidRPr="00261E6D">
        <w:rPr>
          <w:rFonts w:ascii="Arial" w:hAnsi="Arial" w:cs="Arial"/>
        </w:rPr>
        <w:t>, 10(1), pp. 261–286. https://doi.org/10.1146/annurev-economics-080217-053608.</w:t>
      </w:r>
    </w:p>
    <w:p w14:paraId="26DB1FB7" w14:textId="77777777" w:rsidR="0015370C" w:rsidRPr="00261E6D" w:rsidRDefault="0015370C" w:rsidP="00B23B7A">
      <w:pPr>
        <w:pStyle w:val="NormalWeb"/>
        <w:spacing w:before="0" w:beforeAutospacing="0" w:after="160" w:afterAutospacing="0" w:line="360" w:lineRule="auto"/>
        <w:rPr>
          <w:rFonts w:ascii="Arial" w:hAnsi="Arial" w:cs="Arial"/>
        </w:rPr>
      </w:pPr>
      <w:r w:rsidRPr="00261E6D">
        <w:rPr>
          <w:rFonts w:ascii="Arial" w:hAnsi="Arial" w:cs="Arial"/>
        </w:rPr>
        <w:t xml:space="preserve">Gajula, S., P S, L. and </w:t>
      </w:r>
      <w:proofErr w:type="spellStart"/>
      <w:r w:rsidRPr="00261E6D">
        <w:rPr>
          <w:rFonts w:ascii="Arial" w:hAnsi="Arial" w:cs="Arial"/>
        </w:rPr>
        <w:t>Paidipati</w:t>
      </w:r>
      <w:proofErr w:type="spellEnd"/>
      <w:r w:rsidRPr="00261E6D">
        <w:rPr>
          <w:rFonts w:ascii="Arial" w:hAnsi="Arial" w:cs="Arial"/>
        </w:rPr>
        <w:t xml:space="preserve">, K.K. (2022) 'A Study on Impact of Socio-Economic Variables and Barriers in Selecting the Health Insurance Policies in Hyderabad City,' </w:t>
      </w:r>
      <w:r w:rsidRPr="00261E6D">
        <w:rPr>
          <w:rFonts w:ascii="Arial" w:hAnsi="Arial" w:cs="Arial"/>
          <w:i/>
          <w:iCs/>
        </w:rPr>
        <w:t>Empirical Economics Letters, 21 (Special Issue 1)</w:t>
      </w:r>
      <w:r w:rsidRPr="00261E6D">
        <w:rPr>
          <w:rFonts w:ascii="Arial" w:hAnsi="Arial" w:cs="Arial"/>
        </w:rPr>
        <w:t xml:space="preserve"> [Preprint].</w:t>
      </w:r>
    </w:p>
    <w:p w14:paraId="3F5C86EC" w14:textId="77777777" w:rsidR="0015370C" w:rsidRPr="00261E6D" w:rsidRDefault="0015370C" w:rsidP="00B23B7A">
      <w:pPr>
        <w:spacing w:line="360" w:lineRule="auto"/>
        <w:rPr>
          <w:rFonts w:ascii="Arial" w:eastAsia="Times New Roman" w:hAnsi="Arial" w:cs="Arial"/>
          <w:kern w:val="0"/>
          <w:sz w:val="24"/>
          <w:szCs w:val="24"/>
          <w:lang w:val="en-IN" w:eastAsia="en-IN"/>
          <w14:ligatures w14:val="none"/>
        </w:rPr>
      </w:pPr>
      <w:r w:rsidRPr="00261E6D">
        <w:rPr>
          <w:rFonts w:ascii="Arial" w:eastAsia="Times New Roman" w:hAnsi="Arial" w:cs="Arial"/>
          <w:kern w:val="0"/>
          <w:sz w:val="24"/>
          <w:szCs w:val="24"/>
          <w:lang w:val="en-IN" w:eastAsia="en-IN"/>
          <w14:ligatures w14:val="none"/>
        </w:rPr>
        <w:t xml:space="preserve">Gürbüz, S., (2017) Survey as a quantitative research method. </w:t>
      </w:r>
      <w:r w:rsidRPr="00261E6D">
        <w:rPr>
          <w:rFonts w:ascii="Arial" w:eastAsia="Times New Roman" w:hAnsi="Arial" w:cs="Arial"/>
          <w:i/>
          <w:iCs/>
          <w:kern w:val="0"/>
          <w:sz w:val="24"/>
          <w:szCs w:val="24"/>
          <w:lang w:val="en-IN" w:eastAsia="en-IN"/>
          <w14:ligatures w14:val="none"/>
        </w:rPr>
        <w:t>Research Methods and Techniques in Public Relations and Advertising</w:t>
      </w:r>
      <w:r w:rsidRPr="00261E6D">
        <w:rPr>
          <w:rFonts w:ascii="Arial" w:eastAsia="Times New Roman" w:hAnsi="Arial" w:cs="Arial"/>
          <w:kern w:val="0"/>
          <w:sz w:val="24"/>
          <w:szCs w:val="24"/>
          <w:lang w:val="en-IN" w:eastAsia="en-IN"/>
          <w14:ligatures w14:val="none"/>
        </w:rPr>
        <w:t xml:space="preserve">, </w:t>
      </w:r>
      <w:r w:rsidRPr="00261E6D">
        <w:rPr>
          <w:rFonts w:ascii="Arial" w:eastAsia="Times New Roman" w:hAnsi="Arial" w:cs="Arial"/>
          <w:i/>
          <w:iCs/>
          <w:kern w:val="0"/>
          <w:sz w:val="24"/>
          <w:szCs w:val="24"/>
          <w:lang w:val="en-IN" w:eastAsia="en-IN"/>
          <w14:ligatures w14:val="none"/>
        </w:rPr>
        <w:t>2017</w:t>
      </w:r>
      <w:r w:rsidRPr="00261E6D">
        <w:rPr>
          <w:rFonts w:ascii="Arial" w:eastAsia="Times New Roman" w:hAnsi="Arial" w:cs="Arial"/>
          <w:kern w:val="0"/>
          <w:sz w:val="24"/>
          <w:szCs w:val="24"/>
          <w:lang w:val="en-IN" w:eastAsia="en-IN"/>
          <w14:ligatures w14:val="none"/>
        </w:rPr>
        <w:t xml:space="preserve">, pp.141-62. </w:t>
      </w:r>
    </w:p>
    <w:p w14:paraId="5BB0E499" w14:textId="77777777" w:rsidR="0015370C" w:rsidRPr="00261E6D" w:rsidRDefault="0015370C" w:rsidP="00B23B7A">
      <w:pPr>
        <w:pStyle w:val="NormalWeb"/>
        <w:spacing w:before="0" w:beforeAutospacing="0" w:after="160" w:afterAutospacing="0" w:line="360" w:lineRule="auto"/>
        <w:rPr>
          <w:rFonts w:ascii="Arial" w:hAnsi="Arial" w:cs="Arial"/>
        </w:rPr>
      </w:pPr>
      <w:r w:rsidRPr="00261E6D">
        <w:rPr>
          <w:rFonts w:ascii="Arial" w:hAnsi="Arial" w:cs="Arial"/>
        </w:rPr>
        <w:t xml:space="preserve">Lusardi, </w:t>
      </w:r>
      <w:proofErr w:type="gramStart"/>
      <w:r w:rsidRPr="00261E6D">
        <w:rPr>
          <w:rFonts w:ascii="Arial" w:hAnsi="Arial" w:cs="Arial"/>
        </w:rPr>
        <w:t>A.</w:t>
      </w:r>
      <w:proofErr w:type="gramEnd"/>
      <w:r w:rsidRPr="00261E6D">
        <w:rPr>
          <w:rFonts w:ascii="Arial" w:hAnsi="Arial" w:cs="Arial"/>
        </w:rPr>
        <w:t xml:space="preserve"> and Mitchell, O.S. (2014) 'The Economic Importance of Financial Literacy: Theory and evidence,' </w:t>
      </w:r>
      <w:r w:rsidRPr="00261E6D">
        <w:rPr>
          <w:rFonts w:ascii="Arial" w:hAnsi="Arial" w:cs="Arial"/>
          <w:i/>
          <w:iCs/>
        </w:rPr>
        <w:t>Journal of Economic Literature</w:t>
      </w:r>
      <w:r w:rsidRPr="00261E6D">
        <w:rPr>
          <w:rFonts w:ascii="Arial" w:hAnsi="Arial" w:cs="Arial"/>
        </w:rPr>
        <w:t>, 52(1), pp. 5–44. https://doi.org/10.1257/jel.52.1.5.</w:t>
      </w:r>
    </w:p>
    <w:p w14:paraId="2C3EABC2" w14:textId="77777777" w:rsidR="0015370C" w:rsidRPr="00261E6D" w:rsidRDefault="0015370C" w:rsidP="00B23B7A">
      <w:pPr>
        <w:pStyle w:val="NormalWeb"/>
        <w:spacing w:before="0" w:beforeAutospacing="0" w:after="160" w:afterAutospacing="0" w:line="360" w:lineRule="auto"/>
        <w:rPr>
          <w:rFonts w:ascii="Arial" w:hAnsi="Arial" w:cs="Arial"/>
        </w:rPr>
      </w:pPr>
      <w:proofErr w:type="spellStart"/>
      <w:r w:rsidRPr="00261E6D">
        <w:rPr>
          <w:rFonts w:ascii="Arial" w:hAnsi="Arial" w:cs="Arial"/>
        </w:rPr>
        <w:t>Oraro</w:t>
      </w:r>
      <w:proofErr w:type="spellEnd"/>
      <w:r w:rsidRPr="00261E6D">
        <w:rPr>
          <w:rFonts w:ascii="Arial" w:hAnsi="Arial" w:cs="Arial"/>
        </w:rPr>
        <w:t xml:space="preserve">, T. </w:t>
      </w:r>
      <w:r w:rsidRPr="00261E6D">
        <w:rPr>
          <w:rFonts w:ascii="Arial" w:hAnsi="Arial" w:cs="Arial"/>
          <w:i/>
          <w:iCs/>
        </w:rPr>
        <w:t>et al.</w:t>
      </w:r>
      <w:r w:rsidRPr="00261E6D">
        <w:rPr>
          <w:rFonts w:ascii="Arial" w:hAnsi="Arial" w:cs="Arial"/>
        </w:rPr>
        <w:t xml:space="preserve"> (2017) 'The influence of gender and household headship on voluntary health insurance: the case of North-West Cameroon,' </w:t>
      </w:r>
      <w:r w:rsidRPr="00261E6D">
        <w:rPr>
          <w:rFonts w:ascii="Arial" w:hAnsi="Arial" w:cs="Arial"/>
          <w:i/>
          <w:iCs/>
        </w:rPr>
        <w:t>Health Policy and Planning</w:t>
      </w:r>
      <w:r w:rsidRPr="00261E6D">
        <w:rPr>
          <w:rFonts w:ascii="Arial" w:hAnsi="Arial" w:cs="Arial"/>
        </w:rPr>
        <w:t>, 33(2), pp. 163–170. https://doi.org/10.1093/heapol/czx152.</w:t>
      </w:r>
    </w:p>
    <w:p w14:paraId="7B4FF3B6" w14:textId="77777777" w:rsidR="0015370C" w:rsidRPr="00261E6D" w:rsidRDefault="0015370C" w:rsidP="00B23B7A">
      <w:pPr>
        <w:pStyle w:val="NormalWeb"/>
        <w:spacing w:before="0" w:beforeAutospacing="0" w:after="160" w:afterAutospacing="0" w:line="360" w:lineRule="auto"/>
        <w:rPr>
          <w:rFonts w:ascii="Arial" w:hAnsi="Arial" w:cs="Arial"/>
        </w:rPr>
      </w:pPr>
      <w:r w:rsidRPr="00261E6D">
        <w:rPr>
          <w:rFonts w:ascii="Arial" w:hAnsi="Arial" w:cs="Arial"/>
        </w:rPr>
        <w:t xml:space="preserve">Sanjeewa, W.S. and </w:t>
      </w:r>
      <w:proofErr w:type="spellStart"/>
      <w:r w:rsidRPr="00261E6D">
        <w:rPr>
          <w:rFonts w:ascii="Arial" w:hAnsi="Arial" w:cs="Arial"/>
        </w:rPr>
        <w:t>Hongbing</w:t>
      </w:r>
      <w:proofErr w:type="spellEnd"/>
      <w:r w:rsidRPr="00261E6D">
        <w:rPr>
          <w:rFonts w:ascii="Arial" w:hAnsi="Arial" w:cs="Arial"/>
        </w:rPr>
        <w:t xml:space="preserve">, O. (2019) 'Consumers’ Insurance Literacy: Literature Review, Conceptual Definition, and Approach for a Measurement Instrument,' </w:t>
      </w:r>
      <w:r w:rsidRPr="00261E6D">
        <w:rPr>
          <w:rFonts w:ascii="Arial" w:hAnsi="Arial" w:cs="Arial"/>
          <w:i/>
          <w:iCs/>
        </w:rPr>
        <w:t>European Journal of Business and Management</w:t>
      </w:r>
      <w:r w:rsidRPr="00261E6D">
        <w:rPr>
          <w:rFonts w:ascii="Arial" w:hAnsi="Arial" w:cs="Arial"/>
        </w:rPr>
        <w:t>, 11(26), pp. 49–65. https://doi.org/10.7176/ejbm/11-26-05.</w:t>
      </w:r>
    </w:p>
    <w:p w14:paraId="45457CD6" w14:textId="77777777" w:rsidR="0015370C" w:rsidRPr="00261E6D" w:rsidRDefault="0015370C" w:rsidP="00B23B7A">
      <w:pPr>
        <w:pStyle w:val="NormalWeb"/>
        <w:spacing w:before="0" w:beforeAutospacing="0" w:after="160" w:afterAutospacing="0" w:line="360" w:lineRule="auto"/>
        <w:rPr>
          <w:rFonts w:ascii="Arial" w:hAnsi="Arial" w:cs="Arial"/>
        </w:rPr>
      </w:pPr>
      <w:r w:rsidRPr="00261E6D">
        <w:rPr>
          <w:rFonts w:ascii="Arial" w:hAnsi="Arial" w:cs="Arial"/>
        </w:rPr>
        <w:t xml:space="preserve">Stempel, J. (2009) 'THE INSURANCE POLICY AS THING,' </w:t>
      </w:r>
      <w:r w:rsidRPr="00261E6D">
        <w:rPr>
          <w:rFonts w:ascii="Arial" w:hAnsi="Arial" w:cs="Arial"/>
          <w:i/>
          <w:iCs/>
        </w:rPr>
        <w:t>Tort Trial &amp; Insurance Practice Law Journal</w:t>
      </w:r>
      <w:r w:rsidRPr="00261E6D">
        <w:rPr>
          <w:rFonts w:ascii="Arial" w:hAnsi="Arial" w:cs="Arial"/>
        </w:rPr>
        <w:t>, 44, pp. 813–869. https://www.jstor.org/stable/25763937.</w:t>
      </w:r>
    </w:p>
    <w:p w14:paraId="15D2F0FE" w14:textId="77777777" w:rsidR="0015370C" w:rsidRPr="00261E6D" w:rsidRDefault="0015370C" w:rsidP="00B23B7A">
      <w:pPr>
        <w:pStyle w:val="NormalWeb"/>
        <w:spacing w:before="0" w:beforeAutospacing="0" w:after="160" w:afterAutospacing="0" w:line="360" w:lineRule="auto"/>
        <w:rPr>
          <w:rFonts w:ascii="Arial" w:hAnsi="Arial" w:cs="Arial"/>
        </w:rPr>
      </w:pPr>
      <w:proofErr w:type="spellStart"/>
      <w:r w:rsidRPr="00261E6D">
        <w:rPr>
          <w:rFonts w:ascii="Arial" w:hAnsi="Arial" w:cs="Arial"/>
        </w:rPr>
        <w:lastRenderedPageBreak/>
        <w:t>Weedige</w:t>
      </w:r>
      <w:proofErr w:type="spellEnd"/>
      <w:r w:rsidRPr="00261E6D">
        <w:rPr>
          <w:rFonts w:ascii="Arial" w:hAnsi="Arial" w:cs="Arial"/>
        </w:rPr>
        <w:t xml:space="preserve">, S.S. </w:t>
      </w:r>
      <w:r w:rsidRPr="00261E6D">
        <w:rPr>
          <w:rFonts w:ascii="Arial" w:hAnsi="Arial" w:cs="Arial"/>
          <w:i/>
          <w:iCs/>
        </w:rPr>
        <w:t>et al.</w:t>
      </w:r>
      <w:r w:rsidRPr="00261E6D">
        <w:rPr>
          <w:rFonts w:ascii="Arial" w:hAnsi="Arial" w:cs="Arial"/>
        </w:rPr>
        <w:t xml:space="preserve"> (2019) 'Decision making in Personal Insurance: Impact of insurance Literacy,' </w:t>
      </w:r>
      <w:r w:rsidRPr="00261E6D">
        <w:rPr>
          <w:rFonts w:ascii="Arial" w:hAnsi="Arial" w:cs="Arial"/>
          <w:i/>
          <w:iCs/>
        </w:rPr>
        <w:t>Sustainability</w:t>
      </w:r>
      <w:r w:rsidRPr="00261E6D">
        <w:rPr>
          <w:rFonts w:ascii="Arial" w:hAnsi="Arial" w:cs="Arial"/>
        </w:rPr>
        <w:t>, 11(23), p. 6795. https://doi.org/10.3390/su11236795.</w:t>
      </w:r>
    </w:p>
    <w:p w14:paraId="6E0458A6" w14:textId="77777777" w:rsidR="0015370C" w:rsidRPr="0015370C" w:rsidRDefault="0015370C" w:rsidP="0015370C"/>
    <w:p w14:paraId="3126DF7A" w14:textId="78AB1545" w:rsidR="003C6EC3" w:rsidRPr="003C6EC3" w:rsidRDefault="003C6EC3" w:rsidP="00D86009">
      <w:pPr>
        <w:pStyle w:val="NormalWeb"/>
        <w:spacing w:before="240" w:beforeAutospacing="0" w:after="0" w:afterAutospacing="0" w:line="360" w:lineRule="auto"/>
        <w:rPr>
          <w:rFonts w:ascii="Arial" w:hAnsi="Arial" w:cs="Arial"/>
        </w:rPr>
      </w:pPr>
    </w:p>
    <w:sectPr w:rsidR="003C6EC3" w:rsidRPr="003C6EC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B6E46" w14:textId="77777777" w:rsidR="00480AD0" w:rsidRDefault="00480AD0" w:rsidP="00FF0F31">
      <w:pPr>
        <w:spacing w:after="0" w:line="240" w:lineRule="auto"/>
      </w:pPr>
      <w:r>
        <w:separator/>
      </w:r>
    </w:p>
  </w:endnote>
  <w:endnote w:type="continuationSeparator" w:id="0">
    <w:p w14:paraId="68798117" w14:textId="77777777" w:rsidR="00480AD0" w:rsidRDefault="00480AD0" w:rsidP="00FF0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266658"/>
      <w:docPartObj>
        <w:docPartGallery w:val="Page Numbers (Bottom of Page)"/>
        <w:docPartUnique/>
      </w:docPartObj>
    </w:sdtPr>
    <w:sdtContent>
      <w:p w14:paraId="46ABDB43" w14:textId="45D69D93" w:rsidR="00927384" w:rsidRDefault="0092738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73EED2A" w14:textId="77777777" w:rsidR="00927384" w:rsidRDefault="009273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FE765" w14:textId="77777777" w:rsidR="00480AD0" w:rsidRDefault="00480AD0" w:rsidP="00FF0F31">
      <w:pPr>
        <w:spacing w:after="0" w:line="240" w:lineRule="auto"/>
      </w:pPr>
      <w:r>
        <w:separator/>
      </w:r>
    </w:p>
  </w:footnote>
  <w:footnote w:type="continuationSeparator" w:id="0">
    <w:p w14:paraId="600EFB1B" w14:textId="77777777" w:rsidR="00480AD0" w:rsidRDefault="00480AD0" w:rsidP="00FF0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29B8"/>
    <w:multiLevelType w:val="multilevel"/>
    <w:tmpl w:val="859C4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7019E4"/>
    <w:multiLevelType w:val="multilevel"/>
    <w:tmpl w:val="CFE6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D8625E"/>
    <w:multiLevelType w:val="multilevel"/>
    <w:tmpl w:val="03DA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F441F"/>
    <w:multiLevelType w:val="hybridMultilevel"/>
    <w:tmpl w:val="41886D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357177C"/>
    <w:multiLevelType w:val="multilevel"/>
    <w:tmpl w:val="5630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205070"/>
    <w:multiLevelType w:val="hybridMultilevel"/>
    <w:tmpl w:val="32A8B9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D382230"/>
    <w:multiLevelType w:val="hybridMultilevel"/>
    <w:tmpl w:val="AA7846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10F50AF"/>
    <w:multiLevelType w:val="hybridMultilevel"/>
    <w:tmpl w:val="163C47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1A12BB5"/>
    <w:multiLevelType w:val="hybridMultilevel"/>
    <w:tmpl w:val="12CC5E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3D70728"/>
    <w:multiLevelType w:val="multilevel"/>
    <w:tmpl w:val="07DE43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3878A5"/>
    <w:multiLevelType w:val="multilevel"/>
    <w:tmpl w:val="2786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0591208">
    <w:abstractNumId w:val="0"/>
  </w:num>
  <w:num w:numId="2" w16cid:durableId="192041543">
    <w:abstractNumId w:val="4"/>
  </w:num>
  <w:num w:numId="3" w16cid:durableId="1088576494">
    <w:abstractNumId w:val="2"/>
  </w:num>
  <w:num w:numId="4" w16cid:durableId="176426110">
    <w:abstractNumId w:val="1"/>
  </w:num>
  <w:num w:numId="5" w16cid:durableId="1417749996">
    <w:abstractNumId w:val="10"/>
  </w:num>
  <w:num w:numId="6" w16cid:durableId="556471295">
    <w:abstractNumId w:val="7"/>
  </w:num>
  <w:num w:numId="7" w16cid:durableId="1264268724">
    <w:abstractNumId w:val="9"/>
  </w:num>
  <w:num w:numId="8" w16cid:durableId="195235224">
    <w:abstractNumId w:val="3"/>
  </w:num>
  <w:num w:numId="9" w16cid:durableId="1101492830">
    <w:abstractNumId w:val="8"/>
  </w:num>
  <w:num w:numId="10" w16cid:durableId="1938633352">
    <w:abstractNumId w:val="5"/>
  </w:num>
  <w:num w:numId="11" w16cid:durableId="12032454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527"/>
    <w:rsid w:val="00047484"/>
    <w:rsid w:val="000A3DDB"/>
    <w:rsid w:val="000E6782"/>
    <w:rsid w:val="00140B3D"/>
    <w:rsid w:val="0015370C"/>
    <w:rsid w:val="002F785E"/>
    <w:rsid w:val="00317E33"/>
    <w:rsid w:val="00336C9B"/>
    <w:rsid w:val="003555FD"/>
    <w:rsid w:val="003C6EC3"/>
    <w:rsid w:val="003D4E32"/>
    <w:rsid w:val="003E34F6"/>
    <w:rsid w:val="00422CAF"/>
    <w:rsid w:val="00424FDD"/>
    <w:rsid w:val="00442C71"/>
    <w:rsid w:val="00480AD0"/>
    <w:rsid w:val="005352CC"/>
    <w:rsid w:val="00585CDA"/>
    <w:rsid w:val="006A4928"/>
    <w:rsid w:val="006D522B"/>
    <w:rsid w:val="007B2FA6"/>
    <w:rsid w:val="0083629A"/>
    <w:rsid w:val="00840C40"/>
    <w:rsid w:val="00927384"/>
    <w:rsid w:val="0093408B"/>
    <w:rsid w:val="0093592D"/>
    <w:rsid w:val="00A30FFD"/>
    <w:rsid w:val="00A97895"/>
    <w:rsid w:val="00AF7949"/>
    <w:rsid w:val="00B23B7A"/>
    <w:rsid w:val="00C24527"/>
    <w:rsid w:val="00C9452A"/>
    <w:rsid w:val="00CA1944"/>
    <w:rsid w:val="00D100AA"/>
    <w:rsid w:val="00D7282B"/>
    <w:rsid w:val="00D837A7"/>
    <w:rsid w:val="00D86009"/>
    <w:rsid w:val="00E05C78"/>
    <w:rsid w:val="00EA24C0"/>
    <w:rsid w:val="00F758EE"/>
    <w:rsid w:val="00FB2A0B"/>
    <w:rsid w:val="00FF0F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1D2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245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45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4527"/>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Strong">
    <w:name w:val="Strong"/>
    <w:basedOn w:val="DefaultParagraphFont"/>
    <w:uiPriority w:val="22"/>
    <w:qFormat/>
    <w:rsid w:val="00C24527"/>
    <w:rPr>
      <w:b/>
      <w:bCs/>
    </w:rPr>
  </w:style>
  <w:style w:type="paragraph" w:styleId="ListParagraph">
    <w:name w:val="List Paragraph"/>
    <w:basedOn w:val="Normal"/>
    <w:uiPriority w:val="34"/>
    <w:qFormat/>
    <w:rsid w:val="00C24527"/>
    <w:pPr>
      <w:ind w:left="720"/>
      <w:contextualSpacing/>
    </w:pPr>
  </w:style>
  <w:style w:type="character" w:customStyle="1" w:styleId="Heading1Char">
    <w:name w:val="Heading 1 Char"/>
    <w:basedOn w:val="DefaultParagraphFont"/>
    <w:link w:val="Heading1"/>
    <w:uiPriority w:val="9"/>
    <w:rsid w:val="00C24527"/>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24527"/>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C24527"/>
    <w:pPr>
      <w:outlineLvl w:val="9"/>
    </w:pPr>
    <w:rPr>
      <w:kern w:val="0"/>
      <w:lang w:val="en-US"/>
      <w14:ligatures w14:val="none"/>
    </w:rPr>
  </w:style>
  <w:style w:type="paragraph" w:styleId="TOC1">
    <w:name w:val="toc 1"/>
    <w:basedOn w:val="Normal"/>
    <w:next w:val="Normal"/>
    <w:autoRedefine/>
    <w:uiPriority w:val="39"/>
    <w:unhideWhenUsed/>
    <w:rsid w:val="00C24527"/>
    <w:pPr>
      <w:spacing w:after="100"/>
    </w:pPr>
  </w:style>
  <w:style w:type="paragraph" w:styleId="TOC2">
    <w:name w:val="toc 2"/>
    <w:basedOn w:val="Normal"/>
    <w:next w:val="Normal"/>
    <w:autoRedefine/>
    <w:uiPriority w:val="39"/>
    <w:unhideWhenUsed/>
    <w:rsid w:val="00C24527"/>
    <w:pPr>
      <w:spacing w:after="100"/>
      <w:ind w:left="220"/>
    </w:pPr>
  </w:style>
  <w:style w:type="character" w:styleId="Hyperlink">
    <w:name w:val="Hyperlink"/>
    <w:basedOn w:val="DefaultParagraphFont"/>
    <w:uiPriority w:val="99"/>
    <w:unhideWhenUsed/>
    <w:rsid w:val="00C24527"/>
    <w:rPr>
      <w:color w:val="0563C1" w:themeColor="hyperlink"/>
      <w:u w:val="single"/>
    </w:rPr>
  </w:style>
  <w:style w:type="paragraph" w:styleId="Header">
    <w:name w:val="header"/>
    <w:basedOn w:val="Normal"/>
    <w:link w:val="HeaderChar"/>
    <w:uiPriority w:val="99"/>
    <w:unhideWhenUsed/>
    <w:rsid w:val="00FF0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F31"/>
    <w:rPr>
      <w:lang w:val="en-GB"/>
    </w:rPr>
  </w:style>
  <w:style w:type="paragraph" w:styleId="Footer">
    <w:name w:val="footer"/>
    <w:basedOn w:val="Normal"/>
    <w:link w:val="FooterChar"/>
    <w:uiPriority w:val="99"/>
    <w:unhideWhenUsed/>
    <w:rsid w:val="00FF0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F3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38471">
      <w:bodyDiv w:val="1"/>
      <w:marLeft w:val="0"/>
      <w:marRight w:val="0"/>
      <w:marTop w:val="0"/>
      <w:marBottom w:val="0"/>
      <w:divBdr>
        <w:top w:val="none" w:sz="0" w:space="0" w:color="auto"/>
        <w:left w:val="none" w:sz="0" w:space="0" w:color="auto"/>
        <w:bottom w:val="none" w:sz="0" w:space="0" w:color="auto"/>
        <w:right w:val="none" w:sz="0" w:space="0" w:color="auto"/>
      </w:divBdr>
    </w:div>
    <w:div w:id="153690411">
      <w:bodyDiv w:val="1"/>
      <w:marLeft w:val="0"/>
      <w:marRight w:val="0"/>
      <w:marTop w:val="0"/>
      <w:marBottom w:val="0"/>
      <w:divBdr>
        <w:top w:val="none" w:sz="0" w:space="0" w:color="auto"/>
        <w:left w:val="none" w:sz="0" w:space="0" w:color="auto"/>
        <w:bottom w:val="none" w:sz="0" w:space="0" w:color="auto"/>
        <w:right w:val="none" w:sz="0" w:space="0" w:color="auto"/>
      </w:divBdr>
    </w:div>
    <w:div w:id="186985475">
      <w:bodyDiv w:val="1"/>
      <w:marLeft w:val="0"/>
      <w:marRight w:val="0"/>
      <w:marTop w:val="0"/>
      <w:marBottom w:val="0"/>
      <w:divBdr>
        <w:top w:val="none" w:sz="0" w:space="0" w:color="auto"/>
        <w:left w:val="none" w:sz="0" w:space="0" w:color="auto"/>
        <w:bottom w:val="none" w:sz="0" w:space="0" w:color="auto"/>
        <w:right w:val="none" w:sz="0" w:space="0" w:color="auto"/>
      </w:divBdr>
    </w:div>
    <w:div w:id="605239309">
      <w:bodyDiv w:val="1"/>
      <w:marLeft w:val="0"/>
      <w:marRight w:val="0"/>
      <w:marTop w:val="0"/>
      <w:marBottom w:val="0"/>
      <w:divBdr>
        <w:top w:val="none" w:sz="0" w:space="0" w:color="auto"/>
        <w:left w:val="none" w:sz="0" w:space="0" w:color="auto"/>
        <w:bottom w:val="none" w:sz="0" w:space="0" w:color="auto"/>
        <w:right w:val="none" w:sz="0" w:space="0" w:color="auto"/>
      </w:divBdr>
    </w:div>
    <w:div w:id="714813436">
      <w:bodyDiv w:val="1"/>
      <w:marLeft w:val="0"/>
      <w:marRight w:val="0"/>
      <w:marTop w:val="0"/>
      <w:marBottom w:val="0"/>
      <w:divBdr>
        <w:top w:val="none" w:sz="0" w:space="0" w:color="auto"/>
        <w:left w:val="none" w:sz="0" w:space="0" w:color="auto"/>
        <w:bottom w:val="none" w:sz="0" w:space="0" w:color="auto"/>
        <w:right w:val="none" w:sz="0" w:space="0" w:color="auto"/>
      </w:divBdr>
    </w:div>
    <w:div w:id="1029451940">
      <w:bodyDiv w:val="1"/>
      <w:marLeft w:val="0"/>
      <w:marRight w:val="0"/>
      <w:marTop w:val="0"/>
      <w:marBottom w:val="0"/>
      <w:divBdr>
        <w:top w:val="none" w:sz="0" w:space="0" w:color="auto"/>
        <w:left w:val="none" w:sz="0" w:space="0" w:color="auto"/>
        <w:bottom w:val="none" w:sz="0" w:space="0" w:color="auto"/>
        <w:right w:val="none" w:sz="0" w:space="0" w:color="auto"/>
      </w:divBdr>
    </w:div>
    <w:div w:id="1072971288">
      <w:bodyDiv w:val="1"/>
      <w:marLeft w:val="0"/>
      <w:marRight w:val="0"/>
      <w:marTop w:val="0"/>
      <w:marBottom w:val="0"/>
      <w:divBdr>
        <w:top w:val="none" w:sz="0" w:space="0" w:color="auto"/>
        <w:left w:val="none" w:sz="0" w:space="0" w:color="auto"/>
        <w:bottom w:val="none" w:sz="0" w:space="0" w:color="auto"/>
        <w:right w:val="none" w:sz="0" w:space="0" w:color="auto"/>
      </w:divBdr>
    </w:div>
    <w:div w:id="1249386523">
      <w:bodyDiv w:val="1"/>
      <w:marLeft w:val="0"/>
      <w:marRight w:val="0"/>
      <w:marTop w:val="0"/>
      <w:marBottom w:val="0"/>
      <w:divBdr>
        <w:top w:val="none" w:sz="0" w:space="0" w:color="auto"/>
        <w:left w:val="none" w:sz="0" w:space="0" w:color="auto"/>
        <w:bottom w:val="none" w:sz="0" w:space="0" w:color="auto"/>
        <w:right w:val="none" w:sz="0" w:space="0" w:color="auto"/>
      </w:divBdr>
    </w:div>
    <w:div w:id="1260332229">
      <w:bodyDiv w:val="1"/>
      <w:marLeft w:val="0"/>
      <w:marRight w:val="0"/>
      <w:marTop w:val="0"/>
      <w:marBottom w:val="0"/>
      <w:divBdr>
        <w:top w:val="none" w:sz="0" w:space="0" w:color="auto"/>
        <w:left w:val="none" w:sz="0" w:space="0" w:color="auto"/>
        <w:bottom w:val="none" w:sz="0" w:space="0" w:color="auto"/>
        <w:right w:val="none" w:sz="0" w:space="0" w:color="auto"/>
      </w:divBdr>
    </w:div>
    <w:div w:id="1385325940">
      <w:bodyDiv w:val="1"/>
      <w:marLeft w:val="0"/>
      <w:marRight w:val="0"/>
      <w:marTop w:val="0"/>
      <w:marBottom w:val="0"/>
      <w:divBdr>
        <w:top w:val="none" w:sz="0" w:space="0" w:color="auto"/>
        <w:left w:val="none" w:sz="0" w:space="0" w:color="auto"/>
        <w:bottom w:val="none" w:sz="0" w:space="0" w:color="auto"/>
        <w:right w:val="none" w:sz="0" w:space="0" w:color="auto"/>
      </w:divBdr>
    </w:div>
    <w:div w:id="1546987396">
      <w:bodyDiv w:val="1"/>
      <w:marLeft w:val="0"/>
      <w:marRight w:val="0"/>
      <w:marTop w:val="0"/>
      <w:marBottom w:val="0"/>
      <w:divBdr>
        <w:top w:val="none" w:sz="0" w:space="0" w:color="auto"/>
        <w:left w:val="none" w:sz="0" w:space="0" w:color="auto"/>
        <w:bottom w:val="none" w:sz="0" w:space="0" w:color="auto"/>
        <w:right w:val="none" w:sz="0" w:space="0" w:color="auto"/>
      </w:divBdr>
    </w:div>
    <w:div w:id="1733505764">
      <w:bodyDiv w:val="1"/>
      <w:marLeft w:val="0"/>
      <w:marRight w:val="0"/>
      <w:marTop w:val="0"/>
      <w:marBottom w:val="0"/>
      <w:divBdr>
        <w:top w:val="none" w:sz="0" w:space="0" w:color="auto"/>
        <w:left w:val="none" w:sz="0" w:space="0" w:color="auto"/>
        <w:bottom w:val="none" w:sz="0" w:space="0" w:color="auto"/>
        <w:right w:val="none" w:sz="0" w:space="0" w:color="auto"/>
      </w:divBdr>
    </w:div>
    <w:div w:id="1820001148">
      <w:bodyDiv w:val="1"/>
      <w:marLeft w:val="0"/>
      <w:marRight w:val="0"/>
      <w:marTop w:val="0"/>
      <w:marBottom w:val="0"/>
      <w:divBdr>
        <w:top w:val="none" w:sz="0" w:space="0" w:color="auto"/>
        <w:left w:val="none" w:sz="0" w:space="0" w:color="auto"/>
        <w:bottom w:val="none" w:sz="0" w:space="0" w:color="auto"/>
        <w:right w:val="none" w:sz="0" w:space="0" w:color="auto"/>
      </w:divBdr>
    </w:div>
    <w:div w:id="1973510695">
      <w:bodyDiv w:val="1"/>
      <w:marLeft w:val="0"/>
      <w:marRight w:val="0"/>
      <w:marTop w:val="0"/>
      <w:marBottom w:val="0"/>
      <w:divBdr>
        <w:top w:val="none" w:sz="0" w:space="0" w:color="auto"/>
        <w:left w:val="none" w:sz="0" w:space="0" w:color="auto"/>
        <w:bottom w:val="none" w:sz="0" w:space="0" w:color="auto"/>
        <w:right w:val="none" w:sz="0" w:space="0" w:color="auto"/>
      </w:divBdr>
    </w:div>
    <w:div w:id="2028091602">
      <w:bodyDiv w:val="1"/>
      <w:marLeft w:val="0"/>
      <w:marRight w:val="0"/>
      <w:marTop w:val="0"/>
      <w:marBottom w:val="0"/>
      <w:divBdr>
        <w:top w:val="none" w:sz="0" w:space="0" w:color="auto"/>
        <w:left w:val="none" w:sz="0" w:space="0" w:color="auto"/>
        <w:bottom w:val="none" w:sz="0" w:space="0" w:color="auto"/>
        <w:right w:val="none" w:sz="0" w:space="0" w:color="auto"/>
      </w:divBdr>
    </w:div>
    <w:div w:id="2103455308">
      <w:bodyDiv w:val="1"/>
      <w:marLeft w:val="0"/>
      <w:marRight w:val="0"/>
      <w:marTop w:val="0"/>
      <w:marBottom w:val="0"/>
      <w:divBdr>
        <w:top w:val="none" w:sz="0" w:space="0" w:color="auto"/>
        <w:left w:val="none" w:sz="0" w:space="0" w:color="auto"/>
        <w:bottom w:val="none" w:sz="0" w:space="0" w:color="auto"/>
        <w:right w:val="none" w:sz="0" w:space="0" w:color="auto"/>
      </w:divBdr>
    </w:div>
    <w:div w:id="2129471636">
      <w:bodyDiv w:val="1"/>
      <w:marLeft w:val="0"/>
      <w:marRight w:val="0"/>
      <w:marTop w:val="0"/>
      <w:marBottom w:val="0"/>
      <w:divBdr>
        <w:top w:val="none" w:sz="0" w:space="0" w:color="auto"/>
        <w:left w:val="none" w:sz="0" w:space="0" w:color="auto"/>
        <w:bottom w:val="none" w:sz="0" w:space="0" w:color="auto"/>
        <w:right w:val="none" w:sz="0" w:space="0" w:color="auto"/>
      </w:divBdr>
    </w:div>
    <w:div w:id="2143183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6277D-DEC8-4681-85A4-95DA84CD4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2616</Words>
  <Characters>14915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2023-11-01T20:06:00Z</dcterms:created>
  <dcterms:modified xsi:type="dcterms:W3CDTF">2023-11-22T15:13:00Z</dcterms:modified>
</cp:coreProperties>
</file>