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701B6FE8">
      <w:pPr>
        <w:spacing w:before="200"/>
        <w:ind w:firstLine="720"/>
        <w:jc w:val="center"/>
        <w:rPr>
          <w:rFonts w:cs="Arial"/>
          <w:b/>
          <w:sz w:val="22"/>
          <w:szCs w:val="22"/>
        </w:rPr>
      </w:pPr>
      <w:r>
        <w:rPr>
          <w:rFonts w:cs="Arial"/>
          <w:b/>
          <w:sz w:val="22"/>
          <w:szCs w:val="22"/>
        </w:rPr>
        <w:t>PG1 - FULL RESEARCH PROPOSAL</w:t>
      </w:r>
    </w:p>
    <w:p w14:paraId="67A10B1E">
      <w:pPr>
        <w:rPr>
          <w:rFonts w:cs="Arial"/>
          <w:b/>
          <w:sz w:val="22"/>
          <w:szCs w:val="22"/>
        </w:rPr>
      </w:pPr>
    </w:p>
    <w:tbl>
      <w:tblPr>
        <w:tblStyle w:val="14"/>
        <w:tblW w:w="977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776"/>
      </w:tblGrid>
      <w:tr w14:paraId="7FC8494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776" w:type="dxa"/>
          </w:tcPr>
          <w:p w14:paraId="2834770F">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cs="Arial"/>
                <w:sz w:val="22"/>
                <w:szCs w:val="22"/>
              </w:rPr>
            </w:pPr>
            <w:r>
              <w:rPr>
                <w:rFonts w:cs="Arial"/>
                <w:sz w:val="22"/>
                <w:szCs w:val="22"/>
              </w:rPr>
              <w:t xml:space="preserve">This form is to be completed by both the student and supervisory team within </w:t>
            </w:r>
            <w:r>
              <w:rPr>
                <w:rFonts w:cs="Arial"/>
                <w:b/>
                <w:sz w:val="22"/>
                <w:szCs w:val="22"/>
              </w:rPr>
              <w:t>THREE</w:t>
            </w:r>
            <w:r>
              <w:rPr>
                <w:rFonts w:cs="Arial"/>
                <w:sz w:val="22"/>
                <w:szCs w:val="22"/>
              </w:rPr>
              <w:t xml:space="preserve"> months for full-time students and </w:t>
            </w:r>
            <w:r>
              <w:rPr>
                <w:rFonts w:cs="Arial"/>
                <w:b/>
                <w:sz w:val="22"/>
                <w:szCs w:val="22"/>
              </w:rPr>
              <w:t xml:space="preserve">SIX </w:t>
            </w:r>
            <w:r>
              <w:rPr>
                <w:rFonts w:cs="Arial"/>
                <w:sz w:val="22"/>
                <w:szCs w:val="22"/>
              </w:rPr>
              <w:t xml:space="preserve">months for part time students, after the commencement of the research degree or Part Two. </w:t>
            </w:r>
            <w:r>
              <w:rPr>
                <w:rFonts w:cs="Arial"/>
                <w:bCs/>
                <w:sz w:val="22"/>
                <w:szCs w:val="22"/>
              </w:rPr>
              <w:t xml:space="preserve">Return the completed form to the </w:t>
            </w:r>
            <w:r>
              <w:rPr>
                <w:rFonts w:cs="Arial"/>
                <w:b/>
                <w:bCs/>
                <w:sz w:val="22"/>
                <w:szCs w:val="22"/>
              </w:rPr>
              <w:t xml:space="preserve">Academic Office </w:t>
            </w:r>
            <w:r>
              <w:fldChar w:fldCharType="begin"/>
            </w:r>
            <w:r>
              <w:instrText xml:space="preserve"> HYPERLINK "mailto:pgresearch@uwtsd.ac.uk" </w:instrText>
            </w:r>
            <w:r>
              <w:fldChar w:fldCharType="separate"/>
            </w:r>
            <w:r>
              <w:rPr>
                <w:rStyle w:val="19"/>
                <w:rFonts w:cs="Arial"/>
                <w:sz w:val="22"/>
                <w:szCs w:val="22"/>
              </w:rPr>
              <w:t>pgresearch@uwtsd.ac.uk</w:t>
            </w:r>
            <w:r>
              <w:rPr>
                <w:rStyle w:val="19"/>
                <w:rFonts w:cs="Arial"/>
                <w:sz w:val="22"/>
                <w:szCs w:val="22"/>
              </w:rPr>
              <w:fldChar w:fldCharType="end"/>
            </w:r>
            <w:r>
              <w:rPr>
                <w:rFonts w:cs="Arial"/>
                <w:b/>
                <w:bCs/>
                <w:sz w:val="22"/>
                <w:szCs w:val="22"/>
              </w:rPr>
              <w:t xml:space="preserve">. </w:t>
            </w:r>
          </w:p>
        </w:tc>
      </w:tr>
    </w:tbl>
    <w:p w14:paraId="41AFDF91">
      <w:pPr>
        <w:rPr>
          <w:rFonts w:cs="Arial"/>
          <w:b/>
          <w:sz w:val="22"/>
          <w:szCs w:val="22"/>
        </w:rPr>
      </w:pPr>
    </w:p>
    <w:p w14:paraId="13208F20">
      <w:pPr>
        <w:spacing w:before="240"/>
        <w:rPr>
          <w:rFonts w:cs="Arial"/>
          <w:b/>
          <w:sz w:val="22"/>
          <w:szCs w:val="22"/>
        </w:rPr>
      </w:pPr>
      <w:r>
        <w:rPr>
          <w:rFonts w:cs="Arial"/>
          <w:b/>
          <w:sz w:val="22"/>
          <w:szCs w:val="22"/>
        </w:rPr>
        <w:t xml:space="preserve">Student Details </w:t>
      </w:r>
    </w:p>
    <w:tbl>
      <w:tblPr>
        <w:tblStyle w:val="13"/>
        <w:tblW w:w="9781"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618"/>
        <w:gridCol w:w="1697"/>
        <w:gridCol w:w="3631"/>
        <w:gridCol w:w="2835"/>
      </w:tblGrid>
      <w:tr w14:paraId="0707E42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315" w:type="dxa"/>
            <w:gridSpan w:val="2"/>
            <w:shd w:val="clear" w:color="auto" w:fill="F1F1F1" w:themeFill="background1" w:themeFillShade="F2"/>
          </w:tcPr>
          <w:p w14:paraId="631F831C">
            <w:pPr>
              <w:tabs>
                <w:tab w:val="center" w:pos="2202"/>
              </w:tabs>
              <w:rPr>
                <w:rFonts w:cs="Arial"/>
                <w:sz w:val="22"/>
                <w:szCs w:val="22"/>
              </w:rPr>
            </w:pPr>
            <w:r>
              <w:rPr>
                <w:rFonts w:cs="Arial"/>
                <w:sz w:val="22"/>
                <w:szCs w:val="22"/>
              </w:rPr>
              <w:t>Student Family / Surname:</w:t>
            </w:r>
          </w:p>
          <w:p w14:paraId="4AF5A3C3">
            <w:pPr>
              <w:rPr>
                <w:rFonts w:cs="Arial"/>
                <w:sz w:val="22"/>
                <w:szCs w:val="22"/>
              </w:rPr>
            </w:pPr>
          </w:p>
        </w:tc>
        <w:tc>
          <w:tcPr>
            <w:tcW w:w="6466" w:type="dxa"/>
            <w:gridSpan w:val="2"/>
            <w:shd w:val="clear" w:color="auto" w:fill="auto"/>
          </w:tcPr>
          <w:p w14:paraId="4C983A78">
            <w:pPr>
              <w:rPr>
                <w:rFonts w:hint="eastAsia" w:eastAsia="宋体" w:cs="Arial"/>
                <w:sz w:val="22"/>
                <w:szCs w:val="22"/>
                <w:lang w:val="en-US" w:eastAsia="zh-CN"/>
              </w:rPr>
            </w:pPr>
            <w:r>
              <w:rPr>
                <w:rFonts w:hint="eastAsia" w:eastAsia="宋体" w:cs="Arial"/>
                <w:sz w:val="22"/>
                <w:szCs w:val="22"/>
                <w:lang w:val="en-US" w:eastAsia="zh-CN"/>
              </w:rPr>
              <w:t>Yexuan</w:t>
            </w:r>
          </w:p>
        </w:tc>
      </w:tr>
      <w:tr w14:paraId="75A0E51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315" w:type="dxa"/>
            <w:gridSpan w:val="2"/>
            <w:shd w:val="clear" w:color="auto" w:fill="F1F1F1" w:themeFill="background1" w:themeFillShade="F2"/>
          </w:tcPr>
          <w:p w14:paraId="54C7E4AF">
            <w:pPr>
              <w:rPr>
                <w:rFonts w:cs="Arial"/>
                <w:sz w:val="22"/>
                <w:szCs w:val="22"/>
              </w:rPr>
            </w:pPr>
            <w:r>
              <w:rPr>
                <w:rFonts w:cs="Arial"/>
                <w:sz w:val="22"/>
                <w:szCs w:val="22"/>
              </w:rPr>
              <w:t>Student Given / First name:</w:t>
            </w:r>
          </w:p>
          <w:p w14:paraId="139D02D7">
            <w:pPr>
              <w:rPr>
                <w:rFonts w:cs="Arial"/>
                <w:sz w:val="22"/>
                <w:szCs w:val="22"/>
              </w:rPr>
            </w:pPr>
          </w:p>
        </w:tc>
        <w:tc>
          <w:tcPr>
            <w:tcW w:w="6466" w:type="dxa"/>
            <w:gridSpan w:val="2"/>
            <w:shd w:val="clear" w:color="auto" w:fill="auto"/>
          </w:tcPr>
          <w:p w14:paraId="0982AFDA">
            <w:pPr>
              <w:rPr>
                <w:rFonts w:hint="eastAsia" w:eastAsia="宋体" w:cs="Arial"/>
                <w:sz w:val="22"/>
                <w:szCs w:val="22"/>
                <w:lang w:val="en-US" w:eastAsia="zh-CN"/>
              </w:rPr>
            </w:pPr>
            <w:r>
              <w:rPr>
                <w:rFonts w:hint="eastAsia" w:eastAsia="宋体" w:cs="Arial"/>
                <w:sz w:val="22"/>
                <w:szCs w:val="22"/>
                <w:lang w:val="en-US" w:eastAsia="zh-CN"/>
              </w:rPr>
              <w:t>Zhang</w:t>
            </w:r>
          </w:p>
        </w:tc>
      </w:tr>
      <w:tr w14:paraId="3BE87A2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315" w:type="dxa"/>
            <w:gridSpan w:val="2"/>
            <w:shd w:val="clear" w:color="auto" w:fill="F1F1F1" w:themeFill="background1" w:themeFillShade="F2"/>
          </w:tcPr>
          <w:p w14:paraId="38813AE2">
            <w:pPr>
              <w:rPr>
                <w:rFonts w:cs="Arial"/>
                <w:sz w:val="22"/>
                <w:szCs w:val="22"/>
              </w:rPr>
            </w:pPr>
            <w:r>
              <w:rPr>
                <w:rFonts w:cs="Arial"/>
                <w:sz w:val="22"/>
                <w:szCs w:val="22"/>
              </w:rPr>
              <w:t>Student Number</w:t>
            </w:r>
          </w:p>
          <w:p w14:paraId="50BCCB4A">
            <w:pPr>
              <w:tabs>
                <w:tab w:val="center" w:pos="2202"/>
              </w:tabs>
              <w:rPr>
                <w:rFonts w:cs="Arial"/>
                <w:sz w:val="22"/>
                <w:szCs w:val="22"/>
              </w:rPr>
            </w:pPr>
          </w:p>
        </w:tc>
        <w:tc>
          <w:tcPr>
            <w:tcW w:w="6466" w:type="dxa"/>
            <w:gridSpan w:val="2"/>
            <w:shd w:val="clear" w:color="auto" w:fill="auto"/>
          </w:tcPr>
          <w:p w14:paraId="75CFB1E4">
            <w:pPr>
              <w:rPr>
                <w:rFonts w:hint="default" w:eastAsia="宋体" w:cs="Arial"/>
                <w:sz w:val="22"/>
                <w:szCs w:val="22"/>
                <w:lang w:val="en-US" w:eastAsia="zh-CN"/>
              </w:rPr>
            </w:pPr>
            <w:r>
              <w:rPr>
                <w:rFonts w:hint="eastAsia" w:eastAsia="宋体" w:cs="Arial"/>
                <w:sz w:val="22"/>
                <w:szCs w:val="22"/>
                <w:lang w:val="en-US" w:eastAsia="zh-CN"/>
              </w:rPr>
              <w:t>2319316</w:t>
            </w:r>
          </w:p>
        </w:tc>
      </w:tr>
      <w:tr w14:paraId="38B5035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3315" w:type="dxa"/>
            <w:gridSpan w:val="2"/>
            <w:shd w:val="clear" w:color="auto" w:fill="F1F1F1" w:themeFill="background1" w:themeFillShade="F2"/>
          </w:tcPr>
          <w:p w14:paraId="60A21908">
            <w:pPr>
              <w:tabs>
                <w:tab w:val="left" w:pos="-1440"/>
                <w:tab w:val="left" w:pos="-720"/>
                <w:tab w:val="left" w:pos="1440"/>
                <w:tab w:val="left" w:pos="2160"/>
                <w:tab w:val="left" w:pos="2880"/>
                <w:tab w:val="left" w:pos="3600"/>
                <w:tab w:val="left" w:pos="4320"/>
                <w:tab w:val="left" w:pos="5040"/>
                <w:tab w:val="left" w:pos="5373"/>
              </w:tabs>
              <w:jc w:val="both"/>
              <w:rPr>
                <w:rFonts w:cs="Arial"/>
                <w:sz w:val="22"/>
                <w:szCs w:val="22"/>
              </w:rPr>
            </w:pPr>
            <w:r>
              <w:rPr>
                <w:rFonts w:cs="Arial"/>
                <w:sz w:val="22"/>
                <w:szCs w:val="22"/>
              </w:rPr>
              <w:t>UWTSD Institute</w:t>
            </w:r>
          </w:p>
        </w:tc>
        <w:tc>
          <w:tcPr>
            <w:tcW w:w="6466" w:type="dxa"/>
            <w:gridSpan w:val="2"/>
            <w:shd w:val="clear" w:color="auto" w:fill="auto"/>
          </w:tcPr>
          <w:p w14:paraId="45A727F7">
            <w:pPr>
              <w:rPr>
                <w:rFonts w:hint="default" w:eastAsia="宋体" w:cs="Arial"/>
                <w:sz w:val="22"/>
                <w:szCs w:val="22"/>
                <w:lang w:val="en-US" w:eastAsia="zh-CN"/>
              </w:rPr>
            </w:pPr>
            <w:r>
              <w:rPr>
                <w:rFonts w:hint="eastAsia" w:eastAsia="宋体" w:cs="Arial"/>
                <w:sz w:val="22"/>
                <w:szCs w:val="22"/>
                <w:lang w:val="en-US" w:eastAsia="zh-CN"/>
              </w:rPr>
              <w:t>Wales institute of Science and Art</w:t>
            </w:r>
          </w:p>
        </w:tc>
      </w:tr>
      <w:tr w14:paraId="61E0884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3315" w:type="dxa"/>
            <w:gridSpan w:val="2"/>
            <w:shd w:val="clear" w:color="auto" w:fill="F1F1F1" w:themeFill="background1" w:themeFillShade="F2"/>
          </w:tcPr>
          <w:p w14:paraId="134D63C4">
            <w:pPr>
              <w:tabs>
                <w:tab w:val="left" w:pos="-1440"/>
                <w:tab w:val="left" w:pos="-720"/>
                <w:tab w:val="left" w:pos="1440"/>
                <w:tab w:val="left" w:pos="2160"/>
                <w:tab w:val="left" w:pos="2880"/>
                <w:tab w:val="left" w:pos="3600"/>
                <w:tab w:val="left" w:pos="4320"/>
                <w:tab w:val="left" w:pos="5040"/>
                <w:tab w:val="left" w:pos="5373"/>
              </w:tabs>
              <w:jc w:val="both"/>
              <w:rPr>
                <w:rFonts w:cs="Arial"/>
                <w:sz w:val="22"/>
                <w:szCs w:val="22"/>
              </w:rPr>
            </w:pPr>
            <w:r>
              <w:rPr>
                <w:rFonts w:cs="Arial"/>
                <w:sz w:val="22"/>
                <w:szCs w:val="22"/>
              </w:rPr>
              <w:t>UWTSD Partner Institute (if appropriate)</w:t>
            </w:r>
          </w:p>
        </w:tc>
        <w:tc>
          <w:tcPr>
            <w:tcW w:w="6466" w:type="dxa"/>
            <w:gridSpan w:val="2"/>
            <w:shd w:val="clear" w:color="auto" w:fill="auto"/>
          </w:tcPr>
          <w:p w14:paraId="1AF91D2A">
            <w:pPr>
              <w:rPr>
                <w:rFonts w:cs="Arial"/>
                <w:sz w:val="22"/>
                <w:szCs w:val="22"/>
              </w:rPr>
            </w:pPr>
          </w:p>
        </w:tc>
      </w:tr>
      <w:tr w14:paraId="567B826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18" w:type="dxa"/>
            <w:shd w:val="clear" w:color="auto" w:fill="F1F1F1" w:themeFill="background1" w:themeFillShade="F2"/>
          </w:tcPr>
          <w:p w14:paraId="7DD8280F">
            <w:pPr>
              <w:rPr>
                <w:rFonts w:cs="Arial"/>
                <w:sz w:val="22"/>
                <w:szCs w:val="22"/>
              </w:rPr>
            </w:pPr>
            <w:r>
              <w:rPr>
                <w:rFonts w:cs="Arial"/>
                <w:sz w:val="22"/>
                <w:szCs w:val="22"/>
              </w:rPr>
              <w:t>Start Date</w:t>
            </w:r>
          </w:p>
        </w:tc>
        <w:tc>
          <w:tcPr>
            <w:tcW w:w="1697" w:type="dxa"/>
            <w:shd w:val="clear" w:color="auto" w:fill="FFFFFF" w:themeFill="background1"/>
          </w:tcPr>
          <w:p w14:paraId="6885D0B7">
            <w:pPr>
              <w:rPr>
                <w:rFonts w:hint="default" w:eastAsia="宋体" w:cs="Arial"/>
                <w:sz w:val="22"/>
                <w:szCs w:val="22"/>
                <w:lang w:val="en-US" w:eastAsia="zh-CN"/>
              </w:rPr>
            </w:pPr>
            <w:r>
              <w:rPr>
                <w:rFonts w:hint="eastAsia" w:eastAsia="宋体" w:cs="Arial"/>
                <w:sz w:val="22"/>
                <w:szCs w:val="22"/>
                <w:lang w:val="en-US" w:eastAsia="zh-CN"/>
              </w:rPr>
              <w:t>01/02/2024</w:t>
            </w:r>
          </w:p>
        </w:tc>
        <w:tc>
          <w:tcPr>
            <w:tcW w:w="3631" w:type="dxa"/>
            <w:shd w:val="clear" w:color="auto" w:fill="F1F1F1" w:themeFill="background1" w:themeFillShade="F2"/>
          </w:tcPr>
          <w:p w14:paraId="70A4F3B0">
            <w:pPr>
              <w:rPr>
                <w:rFonts w:hint="default" w:eastAsia="宋体" w:cs="Arial"/>
                <w:sz w:val="22"/>
                <w:szCs w:val="22"/>
                <w:lang w:val="en-US" w:eastAsia="zh-CN"/>
              </w:rPr>
            </w:pPr>
            <w:r>
              <w:rPr>
                <w:rFonts w:hint="eastAsia" w:eastAsia="宋体" w:cs="Arial"/>
                <w:sz w:val="22"/>
                <w:szCs w:val="22"/>
                <w:lang w:val="en-US" w:eastAsia="zh-CN"/>
              </w:rPr>
              <w:t>End Date</w:t>
            </w:r>
          </w:p>
        </w:tc>
        <w:tc>
          <w:tcPr>
            <w:tcW w:w="2835" w:type="dxa"/>
            <w:shd w:val="clear" w:color="auto" w:fill="auto"/>
          </w:tcPr>
          <w:p w14:paraId="0325A6C5">
            <w:pPr>
              <w:rPr>
                <w:rFonts w:hint="default" w:eastAsia="宋体" w:cs="Arial"/>
                <w:sz w:val="22"/>
                <w:szCs w:val="22"/>
                <w:lang w:val="en-US" w:eastAsia="zh-CN"/>
              </w:rPr>
            </w:pPr>
            <w:r>
              <w:rPr>
                <w:rFonts w:hint="eastAsia" w:eastAsia="宋体" w:cs="Arial"/>
                <w:sz w:val="22"/>
                <w:szCs w:val="22"/>
                <w:lang w:val="en-US" w:eastAsia="zh-CN"/>
              </w:rPr>
              <w:t>01/02/2027</w:t>
            </w:r>
          </w:p>
        </w:tc>
      </w:tr>
      <w:tr w14:paraId="251E083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315" w:type="dxa"/>
            <w:gridSpan w:val="2"/>
            <w:shd w:val="clear" w:color="auto" w:fill="F1F1F1" w:themeFill="background1" w:themeFillShade="F2"/>
          </w:tcPr>
          <w:p w14:paraId="5B464AB0">
            <w:pPr>
              <w:rPr>
                <w:rFonts w:cs="Arial"/>
                <w:sz w:val="22"/>
                <w:szCs w:val="22"/>
              </w:rPr>
            </w:pPr>
            <w:r>
              <w:rPr>
                <w:rFonts w:cs="Arial"/>
                <w:sz w:val="22"/>
                <w:szCs w:val="22"/>
              </w:rPr>
              <w:t>Mode of Study</w:t>
            </w:r>
          </w:p>
          <w:p w14:paraId="32AC254B">
            <w:pPr>
              <w:rPr>
                <w:rFonts w:cs="Arial"/>
                <w:sz w:val="22"/>
                <w:szCs w:val="22"/>
              </w:rPr>
            </w:pPr>
          </w:p>
        </w:tc>
        <w:tc>
          <w:tcPr>
            <w:tcW w:w="3631" w:type="dxa"/>
            <w:shd w:val="clear" w:color="auto" w:fill="auto"/>
          </w:tcPr>
          <w:p w14:paraId="111F828B">
            <w:pPr>
              <w:rPr>
                <w:rFonts w:cs="Arial"/>
                <w:sz w:val="22"/>
                <w:szCs w:val="22"/>
              </w:rPr>
            </w:pPr>
            <w:r>
              <w:rPr>
                <w:rFonts w:cs="Arial"/>
                <w:sz w:val="22"/>
                <w:szCs w:val="22"/>
              </w:rPr>
              <w:t xml:space="preserve">Part time   </w:t>
            </w:r>
            <w:sdt>
              <w:sdtPr>
                <w:rPr>
                  <w:rFonts w:cs="Arial"/>
                  <w:sz w:val="22"/>
                  <w:szCs w:val="22"/>
                </w:rPr>
                <w:id w:val="714779916"/>
                <w14:checkbox>
                  <w14:checked w14:val="0"/>
                  <w14:checkedState w14:val="2612" w14:font="MS Gothic"/>
                  <w14:uncheckedState w14:val="2610" w14:font="MS Gothic"/>
                </w14:checkbox>
              </w:sdtPr>
              <w:sdtEndPr>
                <w:rPr>
                  <w:rFonts w:cs="Arial"/>
                  <w:sz w:val="22"/>
                  <w:szCs w:val="22"/>
                </w:rPr>
              </w:sdtEndPr>
              <w:sdtContent>
                <w:r>
                  <w:rPr>
                    <w:rFonts w:ascii="MS Gothic" w:hAnsi="MS Gothic" w:eastAsia="MS Gothic" w:cs="Arial"/>
                    <w:sz w:val="22"/>
                    <w:szCs w:val="22"/>
                  </w:rPr>
                  <w:t>☐</w:t>
                </w:r>
              </w:sdtContent>
            </w:sdt>
          </w:p>
        </w:tc>
        <w:tc>
          <w:tcPr>
            <w:tcW w:w="2835" w:type="dxa"/>
            <w:shd w:val="clear" w:color="auto" w:fill="auto"/>
          </w:tcPr>
          <w:p w14:paraId="00DFCF3D">
            <w:pPr>
              <w:rPr>
                <w:rFonts w:cs="Arial"/>
                <w:sz w:val="22"/>
                <w:szCs w:val="22"/>
              </w:rPr>
            </w:pPr>
            <w:r>
              <w:rPr>
                <w:rFonts w:cs="Arial"/>
                <w:sz w:val="22"/>
                <w:szCs w:val="22"/>
              </w:rPr>
              <w:t xml:space="preserve">Full time   </w:t>
            </w:r>
            <w:sdt>
              <w:sdtPr>
                <w:rPr>
                  <w:rFonts w:cs="Arial"/>
                  <w:sz w:val="22"/>
                  <w:szCs w:val="22"/>
                </w:rPr>
                <w:id w:val="324639206"/>
                <w14:checkbox>
                  <w14:checked w14:val="1"/>
                  <w14:checkedState w14:val="2612" w14:font="MS Gothic"/>
                  <w14:uncheckedState w14:val="2610" w14:font="MS Gothic"/>
                </w14:checkbox>
              </w:sdtPr>
              <w:sdtEndPr>
                <w:rPr>
                  <w:rFonts w:cs="Arial"/>
                  <w:sz w:val="22"/>
                  <w:szCs w:val="22"/>
                </w:rPr>
              </w:sdtEndPr>
              <w:sdtContent>
                <w:r>
                  <w:rPr>
                    <w:rFonts w:ascii="MS Gothic" w:hAnsi="MS Gothic" w:eastAsia="MS Gothic" w:cs="Arial"/>
                    <w:sz w:val="22"/>
                    <w:szCs w:val="22"/>
                    <w:lang w:val="en-GB" w:eastAsia="en-GB" w:bidi="ar-SA"/>
                  </w:rPr>
                  <w:t>☒</w:t>
                </w:r>
              </w:sdtContent>
            </w:sdt>
          </w:p>
        </w:tc>
      </w:tr>
    </w:tbl>
    <w:tbl>
      <w:tblPr>
        <w:tblStyle w:val="14"/>
        <w:tblW w:w="9747"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623"/>
        <w:gridCol w:w="1660"/>
        <w:gridCol w:w="1648"/>
        <w:gridCol w:w="1662"/>
        <w:gridCol w:w="1629"/>
        <w:gridCol w:w="1525"/>
      </w:tblGrid>
      <w:tr w14:paraId="52116E2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23" w:type="dxa"/>
            <w:shd w:val="clear" w:color="auto" w:fill="F1F1F1" w:themeFill="background1" w:themeFillShade="F2"/>
          </w:tcPr>
          <w:p w14:paraId="0C2EE508">
            <w:pPr>
              <w:rPr>
                <w:rFonts w:cs="Arial"/>
                <w:sz w:val="22"/>
                <w:szCs w:val="22"/>
              </w:rPr>
            </w:pPr>
            <w:r>
              <w:rPr>
                <w:rFonts w:cs="Arial"/>
                <w:sz w:val="22"/>
                <w:szCs w:val="22"/>
              </w:rPr>
              <w:t>PhD</w:t>
            </w:r>
          </w:p>
          <w:p w14:paraId="7E150CDA">
            <w:pPr>
              <w:rPr>
                <w:rFonts w:cs="Arial"/>
                <w:sz w:val="22"/>
                <w:szCs w:val="22"/>
              </w:rPr>
            </w:pPr>
            <w:r>
              <w:rPr>
                <w:rFonts w:cs="Arial"/>
                <w:sz w:val="22"/>
                <w:szCs w:val="22"/>
              </w:rPr>
              <w:t>by Research</w:t>
            </w:r>
          </w:p>
        </w:tc>
        <w:tc>
          <w:tcPr>
            <w:tcW w:w="1660" w:type="dxa"/>
            <w:shd w:val="clear" w:color="auto" w:fill="F1F1F1" w:themeFill="background1" w:themeFillShade="F2"/>
          </w:tcPr>
          <w:p w14:paraId="089AFE73">
            <w:pPr>
              <w:rPr>
                <w:rFonts w:cs="Arial"/>
                <w:sz w:val="22"/>
                <w:szCs w:val="22"/>
              </w:rPr>
            </w:pPr>
            <w:r>
              <w:rPr>
                <w:rFonts w:cs="Arial"/>
                <w:sz w:val="22"/>
                <w:szCs w:val="22"/>
              </w:rPr>
              <w:t xml:space="preserve">PhD </w:t>
            </w:r>
          </w:p>
          <w:p w14:paraId="3D202538">
            <w:pPr>
              <w:rPr>
                <w:rFonts w:cs="Arial"/>
                <w:sz w:val="22"/>
                <w:szCs w:val="22"/>
              </w:rPr>
            </w:pPr>
            <w:r>
              <w:rPr>
                <w:rFonts w:cs="Arial"/>
                <w:sz w:val="22"/>
                <w:szCs w:val="22"/>
              </w:rPr>
              <w:t>Practice Based</w:t>
            </w:r>
          </w:p>
        </w:tc>
        <w:tc>
          <w:tcPr>
            <w:tcW w:w="1648" w:type="dxa"/>
            <w:shd w:val="clear" w:color="auto" w:fill="F1F1F1" w:themeFill="background1" w:themeFillShade="F2"/>
          </w:tcPr>
          <w:p w14:paraId="1540ABF7">
            <w:pPr>
              <w:rPr>
                <w:rFonts w:cs="Arial"/>
                <w:sz w:val="22"/>
                <w:szCs w:val="22"/>
              </w:rPr>
            </w:pPr>
            <w:r>
              <w:rPr>
                <w:rFonts w:cs="Arial"/>
                <w:sz w:val="22"/>
                <w:szCs w:val="22"/>
              </w:rPr>
              <w:t xml:space="preserve">PhD by </w:t>
            </w:r>
          </w:p>
          <w:p w14:paraId="6D11D54E">
            <w:pPr>
              <w:rPr>
                <w:rFonts w:cs="Arial"/>
                <w:sz w:val="22"/>
                <w:szCs w:val="22"/>
              </w:rPr>
            </w:pPr>
            <w:r>
              <w:rPr>
                <w:rFonts w:cs="Arial"/>
                <w:sz w:val="22"/>
                <w:szCs w:val="22"/>
              </w:rPr>
              <w:t>Published Works</w:t>
            </w:r>
          </w:p>
        </w:tc>
        <w:tc>
          <w:tcPr>
            <w:tcW w:w="1662" w:type="dxa"/>
            <w:shd w:val="clear" w:color="auto" w:fill="F1F1F1" w:themeFill="background1" w:themeFillShade="F2"/>
          </w:tcPr>
          <w:p w14:paraId="6031027A">
            <w:pPr>
              <w:rPr>
                <w:rFonts w:cs="Arial"/>
                <w:sz w:val="22"/>
                <w:szCs w:val="22"/>
              </w:rPr>
            </w:pPr>
            <w:r>
              <w:rPr>
                <w:rFonts w:cs="Arial"/>
                <w:sz w:val="22"/>
                <w:szCs w:val="22"/>
              </w:rPr>
              <w:t>Professional Doctorate</w:t>
            </w:r>
          </w:p>
          <w:p w14:paraId="5338E6CC">
            <w:pPr>
              <w:rPr>
                <w:rFonts w:cs="Arial"/>
                <w:sz w:val="22"/>
                <w:szCs w:val="22"/>
              </w:rPr>
            </w:pPr>
            <w:r>
              <w:rPr>
                <w:rFonts w:cs="Arial"/>
                <w:szCs w:val="22"/>
              </w:rPr>
              <w:t>(including DBA, DProf, Ed D)</w:t>
            </w:r>
          </w:p>
        </w:tc>
        <w:tc>
          <w:tcPr>
            <w:tcW w:w="1629" w:type="dxa"/>
            <w:shd w:val="clear" w:color="auto" w:fill="F1F1F1" w:themeFill="background1" w:themeFillShade="F2"/>
          </w:tcPr>
          <w:p w14:paraId="48FB1034">
            <w:pPr>
              <w:rPr>
                <w:rFonts w:cs="Arial"/>
                <w:sz w:val="22"/>
                <w:szCs w:val="22"/>
              </w:rPr>
            </w:pPr>
            <w:r>
              <w:rPr>
                <w:rFonts w:cs="Arial"/>
                <w:sz w:val="22"/>
                <w:szCs w:val="22"/>
              </w:rPr>
              <w:t>MPhil by Research</w:t>
            </w:r>
          </w:p>
          <w:p w14:paraId="62A96A8A">
            <w:pPr>
              <w:rPr>
                <w:rFonts w:cs="Arial"/>
                <w:sz w:val="22"/>
                <w:szCs w:val="22"/>
              </w:rPr>
            </w:pPr>
          </w:p>
        </w:tc>
        <w:tc>
          <w:tcPr>
            <w:tcW w:w="1525" w:type="dxa"/>
            <w:shd w:val="clear" w:color="auto" w:fill="F1F1F1" w:themeFill="background1" w:themeFillShade="F2"/>
          </w:tcPr>
          <w:p w14:paraId="18690D32">
            <w:pPr>
              <w:rPr>
                <w:rFonts w:cs="Arial"/>
                <w:sz w:val="22"/>
                <w:szCs w:val="22"/>
              </w:rPr>
            </w:pPr>
            <w:r>
              <w:rPr>
                <w:rFonts w:cs="Arial"/>
                <w:sz w:val="22"/>
                <w:szCs w:val="22"/>
              </w:rPr>
              <w:t>MPhil</w:t>
            </w:r>
          </w:p>
          <w:p w14:paraId="112C0192">
            <w:pPr>
              <w:rPr>
                <w:rFonts w:cs="Arial"/>
                <w:sz w:val="22"/>
                <w:szCs w:val="22"/>
              </w:rPr>
            </w:pPr>
            <w:r>
              <w:rPr>
                <w:rFonts w:cs="Arial"/>
                <w:sz w:val="22"/>
                <w:szCs w:val="22"/>
              </w:rPr>
              <w:t xml:space="preserve">Practice Based </w:t>
            </w:r>
          </w:p>
          <w:p w14:paraId="6044FFAD">
            <w:pPr>
              <w:rPr>
                <w:rFonts w:cs="Arial"/>
                <w:sz w:val="22"/>
                <w:szCs w:val="22"/>
              </w:rPr>
            </w:pPr>
          </w:p>
        </w:tc>
      </w:tr>
      <w:tr w14:paraId="7302DE4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23" w:type="dxa"/>
          </w:tcPr>
          <w:sdt>
            <w:sdtPr>
              <w:rPr>
                <w:rFonts w:cs="Arial"/>
                <w:sz w:val="22"/>
                <w:szCs w:val="22"/>
              </w:rPr>
              <w:id w:val="746380728"/>
              <w14:checkbox>
                <w14:checked w14:val="0"/>
                <w14:checkedState w14:val="2612" w14:font="MS Gothic"/>
                <w14:uncheckedState w14:val="2610" w14:font="MS Gothic"/>
              </w14:checkbox>
            </w:sdtPr>
            <w:sdtEndPr>
              <w:rPr>
                <w:rFonts w:cs="Arial"/>
                <w:sz w:val="22"/>
                <w:szCs w:val="22"/>
              </w:rPr>
            </w:sdtEndPr>
            <w:sdtContent>
              <w:p w14:paraId="01BCCEDB">
                <w:pPr>
                  <w:jc w:val="center"/>
                  <w:rPr>
                    <w:rFonts w:cs="Arial"/>
                    <w:sz w:val="22"/>
                    <w:szCs w:val="22"/>
                  </w:rPr>
                </w:pPr>
                <w:r>
                  <w:rPr>
                    <w:rFonts w:ascii="MS Gothic" w:hAnsi="MS Gothic" w:eastAsia="MS Gothic" w:cs="Arial"/>
                    <w:sz w:val="22"/>
                    <w:szCs w:val="22"/>
                  </w:rPr>
                  <w:t>☐</w:t>
                </w:r>
              </w:p>
            </w:sdtContent>
          </w:sdt>
          <w:p w14:paraId="43584980">
            <w:pPr>
              <w:jc w:val="center"/>
              <w:rPr>
                <w:rFonts w:cs="Arial"/>
                <w:sz w:val="22"/>
                <w:szCs w:val="22"/>
              </w:rPr>
            </w:pPr>
          </w:p>
        </w:tc>
        <w:sdt>
          <w:sdtPr>
            <w:rPr>
              <w:rFonts w:cs="Arial"/>
              <w:sz w:val="22"/>
              <w:szCs w:val="22"/>
            </w:rPr>
            <w:id w:val="1301043622"/>
            <w14:checkbox>
              <w14:checked w14:val="0"/>
              <w14:checkedState w14:val="2612" w14:font="MS Gothic"/>
              <w14:uncheckedState w14:val="2610" w14:font="MS Gothic"/>
            </w14:checkbox>
          </w:sdtPr>
          <w:sdtEndPr>
            <w:rPr>
              <w:rFonts w:cs="Arial"/>
              <w:sz w:val="22"/>
              <w:szCs w:val="22"/>
            </w:rPr>
          </w:sdtEndPr>
          <w:sdtContent>
            <w:tc>
              <w:tcPr>
                <w:tcW w:w="1660" w:type="dxa"/>
              </w:tcPr>
              <w:p w14:paraId="2D089835">
                <w:pPr>
                  <w:jc w:val="center"/>
                  <w:rPr>
                    <w:rFonts w:cs="Arial"/>
                    <w:sz w:val="22"/>
                    <w:szCs w:val="22"/>
                  </w:rPr>
                </w:pPr>
                <w:r>
                  <w:rPr>
                    <w:rFonts w:ascii="MS Gothic" w:hAnsi="MS Gothic" w:eastAsia="MS Gothic" w:cs="Arial"/>
                    <w:sz w:val="22"/>
                    <w:szCs w:val="22"/>
                  </w:rPr>
                  <w:t>☐</w:t>
                </w:r>
              </w:p>
            </w:tc>
          </w:sdtContent>
        </w:sdt>
        <w:sdt>
          <w:sdtPr>
            <w:rPr>
              <w:rFonts w:cs="Arial"/>
              <w:sz w:val="22"/>
              <w:szCs w:val="22"/>
            </w:rPr>
            <w:id w:val="1162436734"/>
            <w14:checkbox>
              <w14:checked w14:val="0"/>
              <w14:checkedState w14:val="2612" w14:font="MS Gothic"/>
              <w14:uncheckedState w14:val="2610" w14:font="MS Gothic"/>
            </w14:checkbox>
          </w:sdtPr>
          <w:sdtEndPr>
            <w:rPr>
              <w:rFonts w:cs="Arial"/>
              <w:sz w:val="22"/>
              <w:szCs w:val="22"/>
            </w:rPr>
          </w:sdtEndPr>
          <w:sdtContent>
            <w:tc>
              <w:tcPr>
                <w:tcW w:w="1648" w:type="dxa"/>
              </w:tcPr>
              <w:p w14:paraId="3DC3F887">
                <w:pPr>
                  <w:jc w:val="center"/>
                  <w:rPr>
                    <w:rFonts w:cs="Arial"/>
                    <w:sz w:val="22"/>
                    <w:szCs w:val="22"/>
                  </w:rPr>
                </w:pPr>
                <w:r>
                  <w:rPr>
                    <w:rFonts w:ascii="MS Gothic" w:hAnsi="MS Gothic" w:eastAsia="MS Gothic" w:cs="Arial"/>
                    <w:sz w:val="22"/>
                    <w:szCs w:val="22"/>
                  </w:rPr>
                  <w:t>☐</w:t>
                </w:r>
              </w:p>
            </w:tc>
          </w:sdtContent>
        </w:sdt>
        <w:sdt>
          <w:sdtPr>
            <w:rPr>
              <w:rFonts w:cs="Arial"/>
              <w:sz w:val="22"/>
              <w:szCs w:val="22"/>
            </w:rPr>
            <w:id w:val="-2110955926"/>
            <w14:checkbox>
              <w14:checked w14:val="1"/>
              <w14:checkedState w14:val="2612" w14:font="MS Gothic"/>
              <w14:uncheckedState w14:val="2610" w14:font="MS Gothic"/>
            </w14:checkbox>
          </w:sdtPr>
          <w:sdtEndPr>
            <w:rPr>
              <w:rFonts w:cs="Arial"/>
              <w:sz w:val="22"/>
              <w:szCs w:val="22"/>
            </w:rPr>
          </w:sdtEndPr>
          <w:sdtContent>
            <w:tc>
              <w:tcPr>
                <w:tcW w:w="1662" w:type="dxa"/>
              </w:tcPr>
              <w:p w14:paraId="222233A1">
                <w:pPr>
                  <w:jc w:val="center"/>
                  <w:rPr>
                    <w:rFonts w:cs="Arial"/>
                    <w:sz w:val="22"/>
                    <w:szCs w:val="22"/>
                  </w:rPr>
                </w:pPr>
                <w:r>
                  <w:rPr>
                    <w:rFonts w:ascii="MS Gothic" w:hAnsi="MS Gothic" w:eastAsia="MS Gothic" w:cs="Arial"/>
                    <w:sz w:val="22"/>
                    <w:szCs w:val="22"/>
                    <w:lang w:val="en-GB" w:eastAsia="en-GB" w:bidi="ar-SA"/>
                  </w:rPr>
                  <w:t>☒</w:t>
                </w:r>
              </w:p>
            </w:tc>
          </w:sdtContent>
        </w:sdt>
        <w:sdt>
          <w:sdtPr>
            <w:rPr>
              <w:rFonts w:cs="Arial"/>
              <w:sz w:val="22"/>
              <w:szCs w:val="22"/>
            </w:rPr>
            <w:id w:val="239523278"/>
            <w14:checkbox>
              <w14:checked w14:val="0"/>
              <w14:checkedState w14:val="2612" w14:font="MS Gothic"/>
              <w14:uncheckedState w14:val="2610" w14:font="MS Gothic"/>
            </w14:checkbox>
          </w:sdtPr>
          <w:sdtEndPr>
            <w:rPr>
              <w:rFonts w:cs="Arial"/>
              <w:sz w:val="22"/>
              <w:szCs w:val="22"/>
            </w:rPr>
          </w:sdtEndPr>
          <w:sdtContent>
            <w:tc>
              <w:tcPr>
                <w:tcW w:w="1629" w:type="dxa"/>
              </w:tcPr>
              <w:p w14:paraId="15236023">
                <w:pPr>
                  <w:jc w:val="center"/>
                  <w:rPr>
                    <w:rFonts w:cs="Arial"/>
                    <w:sz w:val="22"/>
                    <w:szCs w:val="22"/>
                  </w:rPr>
                </w:pPr>
                <w:r>
                  <w:rPr>
                    <w:rFonts w:ascii="MS Gothic" w:hAnsi="MS Gothic" w:eastAsia="MS Gothic" w:cs="Arial"/>
                    <w:sz w:val="22"/>
                    <w:szCs w:val="22"/>
                  </w:rPr>
                  <w:t>☐</w:t>
                </w:r>
              </w:p>
            </w:tc>
          </w:sdtContent>
        </w:sdt>
        <w:sdt>
          <w:sdtPr>
            <w:rPr>
              <w:rFonts w:cs="Arial"/>
              <w:sz w:val="22"/>
              <w:szCs w:val="22"/>
            </w:rPr>
            <w:id w:val="1767879163"/>
            <w14:checkbox>
              <w14:checked w14:val="0"/>
              <w14:checkedState w14:val="2612" w14:font="MS Gothic"/>
              <w14:uncheckedState w14:val="2610" w14:font="MS Gothic"/>
            </w14:checkbox>
          </w:sdtPr>
          <w:sdtEndPr>
            <w:rPr>
              <w:rFonts w:cs="Arial"/>
              <w:sz w:val="22"/>
              <w:szCs w:val="22"/>
            </w:rPr>
          </w:sdtEndPr>
          <w:sdtContent>
            <w:tc>
              <w:tcPr>
                <w:tcW w:w="1525" w:type="dxa"/>
              </w:tcPr>
              <w:p w14:paraId="092BDE7C">
                <w:pPr>
                  <w:jc w:val="center"/>
                  <w:rPr>
                    <w:rFonts w:cs="Arial"/>
                    <w:sz w:val="22"/>
                    <w:szCs w:val="22"/>
                  </w:rPr>
                </w:pPr>
                <w:r>
                  <w:rPr>
                    <w:rFonts w:ascii="MS Gothic" w:hAnsi="MS Gothic" w:eastAsia="MS Gothic" w:cs="Arial"/>
                    <w:sz w:val="22"/>
                    <w:szCs w:val="22"/>
                  </w:rPr>
                  <w:t>☐</w:t>
                </w:r>
              </w:p>
            </w:tc>
          </w:sdtContent>
        </w:sdt>
      </w:tr>
      <w:tr w14:paraId="002C30E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23" w:type="dxa"/>
            <w:shd w:val="clear" w:color="auto" w:fill="D8D8D8" w:themeFill="background1" w:themeFillShade="D9"/>
          </w:tcPr>
          <w:p w14:paraId="5015986A">
            <w:pPr>
              <w:jc w:val="center"/>
              <w:rPr>
                <w:rFonts w:cs="Arial"/>
                <w:sz w:val="22"/>
                <w:szCs w:val="22"/>
              </w:rPr>
            </w:pPr>
            <w:r>
              <w:rPr>
                <w:rFonts w:cs="Arial"/>
                <w:sz w:val="22"/>
                <w:szCs w:val="22"/>
              </w:rPr>
              <w:t>MA by Research</w:t>
            </w:r>
          </w:p>
        </w:tc>
        <w:tc>
          <w:tcPr>
            <w:tcW w:w="1660" w:type="dxa"/>
            <w:shd w:val="clear" w:color="auto" w:fill="D8D8D8" w:themeFill="background1" w:themeFillShade="D9"/>
          </w:tcPr>
          <w:p w14:paraId="6784FFE2">
            <w:pPr>
              <w:jc w:val="center"/>
              <w:rPr>
                <w:rFonts w:cs="Arial"/>
                <w:sz w:val="22"/>
                <w:szCs w:val="22"/>
              </w:rPr>
            </w:pPr>
            <w:r>
              <w:rPr>
                <w:rFonts w:cs="Arial"/>
                <w:sz w:val="22"/>
                <w:szCs w:val="22"/>
              </w:rPr>
              <w:t>MSc by Research</w:t>
            </w:r>
          </w:p>
        </w:tc>
        <w:tc>
          <w:tcPr>
            <w:tcW w:w="1648" w:type="dxa"/>
            <w:shd w:val="clear" w:color="auto" w:fill="D8D8D8" w:themeFill="background1" w:themeFillShade="D9"/>
          </w:tcPr>
          <w:p w14:paraId="74597816">
            <w:pPr>
              <w:jc w:val="center"/>
              <w:rPr>
                <w:rFonts w:cs="Arial"/>
                <w:sz w:val="22"/>
                <w:szCs w:val="22"/>
              </w:rPr>
            </w:pPr>
            <w:r>
              <w:rPr>
                <w:rFonts w:cs="Arial"/>
                <w:sz w:val="22"/>
                <w:szCs w:val="22"/>
              </w:rPr>
              <w:t>MRes</w:t>
            </w:r>
          </w:p>
        </w:tc>
        <w:tc>
          <w:tcPr>
            <w:tcW w:w="1662" w:type="dxa"/>
            <w:shd w:val="clear" w:color="auto" w:fill="D8D8D8" w:themeFill="background1" w:themeFillShade="D9"/>
          </w:tcPr>
          <w:p w14:paraId="2760CEEB">
            <w:pPr>
              <w:jc w:val="center"/>
              <w:rPr>
                <w:rFonts w:cs="Arial"/>
                <w:sz w:val="22"/>
                <w:szCs w:val="22"/>
              </w:rPr>
            </w:pPr>
          </w:p>
        </w:tc>
        <w:tc>
          <w:tcPr>
            <w:tcW w:w="1629" w:type="dxa"/>
            <w:shd w:val="clear" w:color="auto" w:fill="D8D8D8" w:themeFill="background1" w:themeFillShade="D9"/>
          </w:tcPr>
          <w:p w14:paraId="47EEC8A4">
            <w:pPr>
              <w:jc w:val="center"/>
              <w:rPr>
                <w:rFonts w:cs="Arial"/>
                <w:sz w:val="22"/>
                <w:szCs w:val="22"/>
              </w:rPr>
            </w:pPr>
          </w:p>
        </w:tc>
        <w:tc>
          <w:tcPr>
            <w:tcW w:w="1525" w:type="dxa"/>
            <w:shd w:val="clear" w:color="auto" w:fill="D8D8D8" w:themeFill="background1" w:themeFillShade="D9"/>
          </w:tcPr>
          <w:p w14:paraId="2E94090E">
            <w:pPr>
              <w:jc w:val="center"/>
              <w:rPr>
                <w:rFonts w:cs="Arial"/>
                <w:sz w:val="22"/>
                <w:szCs w:val="22"/>
              </w:rPr>
            </w:pPr>
          </w:p>
        </w:tc>
      </w:tr>
      <w:tr w14:paraId="6E7B34B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23" w:type="dxa"/>
          </w:tcPr>
          <w:sdt>
            <w:sdtPr>
              <w:rPr>
                <w:rFonts w:cs="Arial"/>
                <w:sz w:val="22"/>
                <w:szCs w:val="22"/>
              </w:rPr>
              <w:id w:val="1366476584"/>
              <w14:checkbox>
                <w14:checked w14:val="0"/>
                <w14:checkedState w14:val="2612" w14:font="MS Gothic"/>
                <w14:uncheckedState w14:val="2610" w14:font="MS Gothic"/>
              </w14:checkbox>
            </w:sdtPr>
            <w:sdtEndPr>
              <w:rPr>
                <w:rFonts w:cs="Arial"/>
                <w:sz w:val="22"/>
                <w:szCs w:val="22"/>
              </w:rPr>
            </w:sdtEndPr>
            <w:sdtContent>
              <w:p w14:paraId="3A5C1CED">
                <w:pPr>
                  <w:jc w:val="center"/>
                  <w:rPr>
                    <w:rFonts w:cs="Arial"/>
                    <w:sz w:val="22"/>
                    <w:szCs w:val="22"/>
                  </w:rPr>
                </w:pPr>
                <w:r>
                  <w:rPr>
                    <w:rFonts w:ascii="MS Gothic" w:hAnsi="MS Gothic" w:eastAsia="MS Gothic" w:cs="Arial"/>
                    <w:sz w:val="22"/>
                    <w:szCs w:val="22"/>
                  </w:rPr>
                  <w:t>☐</w:t>
                </w:r>
              </w:p>
            </w:sdtContent>
          </w:sdt>
          <w:p w14:paraId="7ACE8D3B">
            <w:pPr>
              <w:jc w:val="center"/>
              <w:rPr>
                <w:rFonts w:cs="Arial"/>
                <w:sz w:val="22"/>
                <w:szCs w:val="22"/>
              </w:rPr>
            </w:pPr>
          </w:p>
        </w:tc>
        <w:tc>
          <w:tcPr>
            <w:tcW w:w="1660" w:type="dxa"/>
          </w:tcPr>
          <w:sdt>
            <w:sdtPr>
              <w:rPr>
                <w:rFonts w:cs="Arial"/>
                <w:sz w:val="22"/>
                <w:szCs w:val="22"/>
              </w:rPr>
              <w:id w:val="111249766"/>
              <w14:checkbox>
                <w14:checked w14:val="0"/>
                <w14:checkedState w14:val="2612" w14:font="MS Gothic"/>
                <w14:uncheckedState w14:val="2610" w14:font="MS Gothic"/>
              </w14:checkbox>
            </w:sdtPr>
            <w:sdtEndPr>
              <w:rPr>
                <w:rFonts w:cs="Arial"/>
                <w:sz w:val="22"/>
                <w:szCs w:val="22"/>
              </w:rPr>
            </w:sdtEndPr>
            <w:sdtContent>
              <w:p w14:paraId="610D168E">
                <w:pPr>
                  <w:jc w:val="center"/>
                  <w:rPr>
                    <w:rFonts w:cs="Arial"/>
                    <w:sz w:val="22"/>
                    <w:szCs w:val="22"/>
                  </w:rPr>
                </w:pPr>
                <w:r>
                  <w:rPr>
                    <w:rFonts w:ascii="MS Gothic" w:hAnsi="MS Gothic" w:eastAsia="MS Gothic" w:cs="Arial"/>
                    <w:sz w:val="22"/>
                    <w:szCs w:val="22"/>
                  </w:rPr>
                  <w:t>☐</w:t>
                </w:r>
              </w:p>
            </w:sdtContent>
          </w:sdt>
          <w:p w14:paraId="4E2724AB">
            <w:pPr>
              <w:jc w:val="center"/>
              <w:rPr>
                <w:rFonts w:cs="Arial"/>
                <w:sz w:val="22"/>
                <w:szCs w:val="22"/>
              </w:rPr>
            </w:pPr>
          </w:p>
        </w:tc>
        <w:tc>
          <w:tcPr>
            <w:tcW w:w="1648" w:type="dxa"/>
          </w:tcPr>
          <w:sdt>
            <w:sdtPr>
              <w:rPr>
                <w:rFonts w:cs="Arial"/>
                <w:sz w:val="22"/>
                <w:szCs w:val="22"/>
              </w:rPr>
              <w:id w:val="2016034112"/>
              <w14:checkbox>
                <w14:checked w14:val="0"/>
                <w14:checkedState w14:val="2612" w14:font="MS Gothic"/>
                <w14:uncheckedState w14:val="2610" w14:font="MS Gothic"/>
              </w14:checkbox>
            </w:sdtPr>
            <w:sdtEndPr>
              <w:rPr>
                <w:rFonts w:cs="Arial"/>
                <w:sz w:val="22"/>
                <w:szCs w:val="22"/>
              </w:rPr>
            </w:sdtEndPr>
            <w:sdtContent>
              <w:p w14:paraId="4EB6A137">
                <w:pPr>
                  <w:jc w:val="center"/>
                  <w:rPr>
                    <w:rFonts w:cs="Arial"/>
                    <w:sz w:val="22"/>
                    <w:szCs w:val="22"/>
                  </w:rPr>
                </w:pPr>
                <w:r>
                  <w:rPr>
                    <w:rFonts w:ascii="MS Gothic" w:hAnsi="MS Gothic" w:eastAsia="MS Gothic" w:cs="Arial"/>
                    <w:sz w:val="22"/>
                    <w:szCs w:val="22"/>
                  </w:rPr>
                  <w:t>☐</w:t>
                </w:r>
              </w:p>
            </w:sdtContent>
          </w:sdt>
          <w:p w14:paraId="4F53A6CD">
            <w:pPr>
              <w:jc w:val="center"/>
              <w:rPr>
                <w:rFonts w:cs="Arial"/>
                <w:sz w:val="22"/>
                <w:szCs w:val="22"/>
              </w:rPr>
            </w:pPr>
          </w:p>
        </w:tc>
        <w:tc>
          <w:tcPr>
            <w:tcW w:w="1662" w:type="dxa"/>
          </w:tcPr>
          <w:p w14:paraId="5732EEEC">
            <w:pPr>
              <w:jc w:val="center"/>
              <w:rPr>
                <w:rFonts w:cs="Arial"/>
                <w:sz w:val="22"/>
                <w:szCs w:val="22"/>
              </w:rPr>
            </w:pPr>
          </w:p>
        </w:tc>
        <w:tc>
          <w:tcPr>
            <w:tcW w:w="1629" w:type="dxa"/>
          </w:tcPr>
          <w:p w14:paraId="5804B584">
            <w:pPr>
              <w:jc w:val="center"/>
              <w:rPr>
                <w:rFonts w:cs="Arial"/>
                <w:sz w:val="22"/>
                <w:szCs w:val="22"/>
              </w:rPr>
            </w:pPr>
          </w:p>
        </w:tc>
        <w:tc>
          <w:tcPr>
            <w:tcW w:w="1525" w:type="dxa"/>
          </w:tcPr>
          <w:p w14:paraId="47B4645E">
            <w:pPr>
              <w:jc w:val="center"/>
              <w:rPr>
                <w:rFonts w:cs="Arial"/>
                <w:sz w:val="22"/>
                <w:szCs w:val="22"/>
              </w:rPr>
            </w:pPr>
          </w:p>
        </w:tc>
      </w:tr>
    </w:tbl>
    <w:p w14:paraId="07A1ACF8">
      <w:pPr>
        <w:ind w:left="180" w:hanging="270"/>
        <w:rPr>
          <w:rFonts w:cs="Arial"/>
          <w:b/>
          <w:sz w:val="22"/>
          <w:szCs w:val="22"/>
        </w:rPr>
      </w:pPr>
    </w:p>
    <w:p w14:paraId="607555D2">
      <w:pPr>
        <w:rPr>
          <w:rFonts w:cs="Arial"/>
          <w:sz w:val="22"/>
          <w:szCs w:val="22"/>
        </w:rPr>
      </w:pPr>
    </w:p>
    <w:p w14:paraId="106A4E2E">
      <w:pPr>
        <w:ind w:left="-142"/>
        <w:rPr>
          <w:rFonts w:cs="Arial"/>
          <w:bCs/>
          <w:sz w:val="22"/>
          <w:szCs w:val="22"/>
        </w:rPr>
      </w:pPr>
      <w:r>
        <w:rPr>
          <w:rFonts w:cs="Arial"/>
          <w:b/>
          <w:bCs/>
          <w:sz w:val="22"/>
          <w:szCs w:val="22"/>
        </w:rPr>
        <w:t>Proposed Research</w:t>
      </w:r>
    </w:p>
    <w:p w14:paraId="5945FBF9">
      <w:pPr>
        <w:rPr>
          <w:rFonts w:cs="Arial"/>
          <w:sz w:val="22"/>
          <w:szCs w:val="22"/>
        </w:rPr>
      </w:pPr>
    </w:p>
    <w:tbl>
      <w:tblPr>
        <w:tblStyle w:val="13"/>
        <w:tblW w:w="9781"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9781"/>
      </w:tblGrid>
      <w:tr w14:paraId="77021C7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7" w:hRule="atLeast"/>
        </w:trPr>
        <w:tc>
          <w:tcPr>
            <w:tcW w:w="9781" w:type="dxa"/>
            <w:shd w:val="clear" w:color="auto" w:fill="F1F1F1" w:themeFill="background1" w:themeFillShade="F2"/>
            <w:vAlign w:val="center"/>
          </w:tcPr>
          <w:p w14:paraId="6CE06150">
            <w:pPr>
              <w:rPr>
                <w:rFonts w:cs="Arial"/>
                <w:sz w:val="22"/>
                <w:szCs w:val="22"/>
              </w:rPr>
            </w:pPr>
            <w:r>
              <w:rPr>
                <w:rFonts w:cs="Arial"/>
                <w:sz w:val="22"/>
                <w:szCs w:val="22"/>
              </w:rPr>
              <w:t>Current Proposed Title (20 / 30 words):</w:t>
            </w:r>
          </w:p>
        </w:tc>
      </w:tr>
      <w:tr w14:paraId="46DEBF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7" w:hRule="atLeast"/>
        </w:trPr>
        <w:tc>
          <w:tcPr>
            <w:tcW w:w="9781" w:type="dxa"/>
            <w:vAlign w:val="center"/>
          </w:tcPr>
          <w:p w14:paraId="382DB878">
            <w:pPr>
              <w:pStyle w:val="27"/>
              <w:numPr>
                <w:ilvl w:val="0"/>
                <w:numId w:val="0"/>
              </w:numPr>
              <w:autoSpaceDE w:val="0"/>
              <w:autoSpaceDN w:val="0"/>
              <w:adjustRightInd w:val="0"/>
              <w:ind w:left="360" w:leftChars="0"/>
              <w:contextualSpacing/>
              <w:rPr>
                <w:rFonts w:hint="eastAsia" w:ascii="Times New Roman" w:hAnsi="Times New Roman" w:eastAsia="宋体" w:cs="Times New Roman"/>
                <w:sz w:val="60"/>
                <w:szCs w:val="60"/>
                <w:lang w:val="en-US" w:eastAsia="zh-CN"/>
              </w:rPr>
            </w:pPr>
            <w:r>
              <w:rPr>
                <w:rFonts w:hint="eastAsia" w:ascii="Times New Roman" w:hAnsi="Times New Roman" w:eastAsia="宋体" w:cs="Times New Roman"/>
                <w:sz w:val="28"/>
                <w:szCs w:val="28"/>
                <w:lang w:val="en-US" w:eastAsia="zh-CN"/>
              </w:rPr>
              <w:t>A Research on the Inheritance and Innovation of Nanjing Traditional Intangible Cultural Heritage Handicrafts in the Context of Digital Intelligence</w:t>
            </w:r>
            <w:r>
              <w:rPr>
                <w:rFonts w:hint="eastAsia" w:ascii="Times New Roman" w:hAnsi="Times New Roman" w:eastAsia="宋体" w:cs="Times New Roman"/>
                <w:sz w:val="60"/>
                <w:szCs w:val="60"/>
                <w:lang w:val="en-US" w:eastAsia="zh-CN"/>
              </w:rPr>
              <w:t xml:space="preserve"> </w:t>
            </w:r>
          </w:p>
          <w:p w14:paraId="58731A63">
            <w:pPr>
              <w:pStyle w:val="27"/>
              <w:numPr>
                <w:ilvl w:val="0"/>
                <w:numId w:val="0"/>
              </w:numPr>
              <w:autoSpaceDE w:val="0"/>
              <w:autoSpaceDN w:val="0"/>
              <w:adjustRightInd w:val="0"/>
              <w:ind w:left="360" w:leftChars="0"/>
              <w:contextualSpacing/>
              <w:rPr>
                <w:rFonts w:hint="default" w:ascii="Times New Roman" w:hAnsi="Times New Roman" w:eastAsia="宋体" w:cs="Times New Roman"/>
                <w:sz w:val="24"/>
                <w:szCs w:val="24"/>
                <w:lang w:val="en-US" w:eastAsia="zh-CN"/>
              </w:rPr>
            </w:pPr>
          </w:p>
        </w:tc>
      </w:tr>
      <w:tr w14:paraId="047A55B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7" w:hRule="atLeast"/>
        </w:trPr>
        <w:tc>
          <w:tcPr>
            <w:tcW w:w="9781" w:type="dxa"/>
            <w:shd w:val="clear" w:color="auto" w:fill="F1F1F1" w:themeFill="background1" w:themeFillShade="F2"/>
            <w:vAlign w:val="center"/>
          </w:tcPr>
          <w:p w14:paraId="6A6E17FC">
            <w:pPr>
              <w:rPr>
                <w:rFonts w:cs="Arial"/>
                <w:sz w:val="22"/>
                <w:szCs w:val="22"/>
              </w:rPr>
            </w:pPr>
            <w:r>
              <w:rPr>
                <w:rFonts w:cs="Arial"/>
                <w:sz w:val="22"/>
                <w:szCs w:val="22"/>
              </w:rPr>
              <w:t xml:space="preserve"> </w:t>
            </w:r>
          </w:p>
          <w:p w14:paraId="1C9B2173">
            <w:pPr>
              <w:rPr>
                <w:rFonts w:cs="Arial"/>
                <w:sz w:val="22"/>
                <w:szCs w:val="22"/>
              </w:rPr>
            </w:pPr>
            <w:r>
              <w:rPr>
                <w:rFonts w:cs="Arial"/>
                <w:sz w:val="22"/>
                <w:szCs w:val="22"/>
              </w:rPr>
              <w:t>Background &amp; Context (approx. 500 words)</w:t>
            </w:r>
          </w:p>
          <w:p w14:paraId="065EF8C5">
            <w:pPr>
              <w:rPr>
                <w:rFonts w:cs="Arial"/>
                <w:sz w:val="22"/>
                <w:szCs w:val="22"/>
              </w:rPr>
            </w:pPr>
          </w:p>
        </w:tc>
      </w:tr>
      <w:tr w14:paraId="3F5B44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7" w:hRule="atLeast"/>
        </w:trPr>
        <w:tc>
          <w:tcPr>
            <w:tcW w:w="9781" w:type="dxa"/>
            <w:vAlign w:val="center"/>
          </w:tcPr>
          <w:p w14:paraId="11183D2E">
            <w:pPr>
              <w:rPr>
                <w:rFonts w:cs="Arial"/>
                <w:sz w:val="22"/>
                <w:szCs w:val="22"/>
              </w:rPr>
            </w:pPr>
          </w:p>
          <w:p w14:paraId="64361CA6">
            <w:pPr>
              <w:rPr>
                <w:rFonts w:cs="Arial"/>
                <w:sz w:val="22"/>
                <w:szCs w:val="22"/>
              </w:rPr>
            </w:pPr>
            <w:r>
              <w:rPr>
                <w:rFonts w:cs="Arial"/>
                <w:sz w:val="22"/>
                <w:szCs w:val="22"/>
              </w:rPr>
              <w:t>In this section you will need to:</w:t>
            </w:r>
          </w:p>
          <w:p w14:paraId="0AF5F2BC">
            <w:pPr>
              <w:pStyle w:val="27"/>
              <w:numPr>
                <w:ilvl w:val="0"/>
                <w:numId w:val="1"/>
              </w:numPr>
              <w:autoSpaceDE w:val="0"/>
              <w:autoSpaceDN w:val="0"/>
              <w:adjustRightInd w:val="0"/>
              <w:contextualSpacing/>
              <w:rPr>
                <w:rFonts w:cs="Arial"/>
                <w:sz w:val="22"/>
                <w:szCs w:val="22"/>
              </w:rPr>
            </w:pPr>
            <w:r>
              <w:rPr>
                <w:rFonts w:cs="Arial"/>
                <w:sz w:val="22"/>
                <w:szCs w:val="22"/>
              </w:rPr>
              <w:t>Place the research topic in its historical, cultural and social context.</w:t>
            </w:r>
          </w:p>
          <w:p w14:paraId="186DD564">
            <w:pPr>
              <w:pStyle w:val="27"/>
              <w:numPr>
                <w:ilvl w:val="0"/>
                <w:numId w:val="1"/>
              </w:numPr>
              <w:autoSpaceDE w:val="0"/>
              <w:autoSpaceDN w:val="0"/>
              <w:adjustRightInd w:val="0"/>
              <w:contextualSpacing/>
              <w:rPr>
                <w:rFonts w:cs="Arial"/>
                <w:sz w:val="22"/>
                <w:szCs w:val="22"/>
              </w:rPr>
            </w:pPr>
            <w:r>
              <w:rPr>
                <w:rFonts w:cs="Arial"/>
                <w:sz w:val="22"/>
                <w:szCs w:val="22"/>
              </w:rPr>
              <w:t>Explain why the research is significant and important.</w:t>
            </w:r>
          </w:p>
          <w:p w14:paraId="76AC5E00">
            <w:pPr>
              <w:pStyle w:val="27"/>
              <w:numPr>
                <w:ilvl w:val="0"/>
                <w:numId w:val="1"/>
              </w:numPr>
              <w:autoSpaceDE w:val="0"/>
              <w:autoSpaceDN w:val="0"/>
              <w:adjustRightInd w:val="0"/>
              <w:contextualSpacing/>
              <w:rPr>
                <w:rFonts w:cs="Arial"/>
                <w:sz w:val="22"/>
                <w:szCs w:val="22"/>
              </w:rPr>
            </w:pPr>
            <w:r>
              <w:rPr>
                <w:rFonts w:cs="Arial"/>
                <w:sz w:val="22"/>
                <w:szCs w:val="22"/>
              </w:rPr>
              <w:t>Place the research in the current academic context.</w:t>
            </w:r>
          </w:p>
          <w:p w14:paraId="6B58E3C7">
            <w:pPr>
              <w:pStyle w:val="27"/>
              <w:autoSpaceDE w:val="0"/>
              <w:autoSpaceDN w:val="0"/>
              <w:adjustRightInd w:val="0"/>
              <w:contextualSpacing/>
              <w:rPr>
                <w:rFonts w:cs="Arial"/>
                <w:sz w:val="22"/>
                <w:szCs w:val="22"/>
              </w:rPr>
            </w:pPr>
          </w:p>
          <w:p w14:paraId="0D166504">
            <w:pPr>
              <w:pStyle w:val="27"/>
              <w:numPr>
                <w:ilvl w:val="0"/>
                <w:numId w:val="0"/>
              </w:numPr>
              <w:autoSpaceDE w:val="0"/>
              <w:autoSpaceDN w:val="0"/>
              <w:adjustRightInd w:val="0"/>
              <w:contextualSpacing/>
              <w:jc w:val="both"/>
              <w:rPr>
                <w:rFonts w:hint="eastAsia" w:ascii="宋体" w:hAnsi="宋体" w:eastAsia="宋体" w:cs="宋体"/>
                <w:color w:val="auto"/>
                <w:lang w:val="en-US" w:eastAsia="zh-CN"/>
              </w:rPr>
            </w:pPr>
          </w:p>
          <w:p w14:paraId="12CF5CA9">
            <w:pPr>
              <w:pStyle w:val="27"/>
              <w:numPr>
                <w:ilvl w:val="0"/>
                <w:numId w:val="0"/>
              </w:numPr>
              <w:autoSpaceDE w:val="0"/>
              <w:autoSpaceDN w:val="0"/>
              <w:adjustRightInd w:val="0"/>
              <w:contextualSpacing/>
              <w:jc w:val="both"/>
              <w:rPr>
                <w:rFonts w:hint="default" w:ascii="Arial" w:hAnsi="Arial" w:eastAsia="微软雅黑" w:cs="Arial"/>
                <w:b/>
                <w:bCs/>
                <w:color w:val="auto"/>
                <w:sz w:val="22"/>
                <w:szCs w:val="22"/>
                <w:highlight w:val="none"/>
                <w:lang w:val="en-US" w:eastAsia="zh-CN"/>
              </w:rPr>
            </w:pPr>
            <w:r>
              <w:rPr>
                <w:rFonts w:hint="default" w:ascii="Arial" w:hAnsi="Arial" w:eastAsia="微软雅黑" w:cs="Arial"/>
                <w:b/>
                <w:bCs/>
                <w:color w:val="auto"/>
                <w:sz w:val="22"/>
                <w:szCs w:val="22"/>
                <w:highlight w:val="none"/>
                <w:lang w:val="en-US" w:eastAsia="zh-CN"/>
              </w:rPr>
              <w:t>Place the research topic in its historical, cultural and social context.</w:t>
            </w:r>
          </w:p>
          <w:p w14:paraId="2FCA2CDB">
            <w:pPr>
              <w:rPr>
                <w:rFonts w:cs="Arial"/>
                <w:sz w:val="22"/>
                <w:szCs w:val="22"/>
              </w:rPr>
            </w:pPr>
          </w:p>
          <w:p w14:paraId="67C5015C">
            <w:pPr>
              <w:jc w:val="both"/>
              <w:rPr>
                <w:rFonts w:hint="eastAsia" w:ascii="Arial" w:hAnsi="Arial" w:eastAsia="宋体" w:cs="Arial"/>
                <w:sz w:val="22"/>
                <w:szCs w:val="22"/>
                <w:lang w:val="en-US" w:eastAsia="zh-CN"/>
              </w:rPr>
            </w:pPr>
            <w:r>
              <w:rPr>
                <w:rFonts w:hint="default" w:ascii="Arial" w:hAnsi="Arial" w:eastAsia="宋体" w:cs="Arial"/>
                <w:sz w:val="22"/>
                <w:szCs w:val="22"/>
                <w:lang w:val="en-US" w:eastAsia="zh-CN"/>
              </w:rPr>
              <w:t xml:space="preserve">According to the five domains in which Intangible Cultural Heritage is manifested, as proposed in the Convention for the </w:t>
            </w:r>
            <w:r>
              <w:rPr>
                <w:rFonts w:hint="default" w:ascii="Arial" w:hAnsi="Arial" w:eastAsia="宋体" w:cs="Arial"/>
                <w:i/>
                <w:iCs/>
                <w:sz w:val="22"/>
                <w:szCs w:val="22"/>
                <w:lang w:val="en-US" w:eastAsia="zh-CN"/>
              </w:rPr>
              <w:t>Safeguarding of the Intangible Cultural Heritage</w:t>
            </w:r>
            <w:r>
              <w:rPr>
                <w:rFonts w:hint="default" w:ascii="Arial" w:hAnsi="Arial" w:eastAsia="宋体" w:cs="Arial"/>
                <w:sz w:val="22"/>
                <w:szCs w:val="22"/>
                <w:lang w:val="en-US" w:eastAsia="zh-CN"/>
              </w:rPr>
              <w:t xml:space="preserve"> adopted by UNESCO</w:t>
            </w:r>
            <w:r>
              <w:rPr>
                <w:rFonts w:hint="eastAsia" w:ascii="Arial" w:hAnsi="Arial" w:eastAsia="宋体" w:cs="Arial"/>
                <w:sz w:val="22"/>
                <w:szCs w:val="22"/>
                <w:lang w:val="en-US" w:eastAsia="zh-CN"/>
              </w:rPr>
              <w:t xml:space="preserve"> (UNESCO,2003)</w:t>
            </w:r>
            <w:r>
              <w:rPr>
                <w:rFonts w:hint="default" w:ascii="Arial" w:hAnsi="Arial" w:eastAsia="宋体" w:cs="Arial"/>
                <w:sz w:val="22"/>
                <w:szCs w:val="22"/>
                <w:lang w:val="en-US" w:eastAsia="zh-CN"/>
              </w:rPr>
              <w:t xml:space="preserve"> in 2003, these include:</w:t>
            </w:r>
            <w:r>
              <w:rPr>
                <w:rFonts w:hint="eastAsia" w:ascii="Arial" w:hAnsi="Arial" w:eastAsia="宋体" w:cs="Arial"/>
                <w:sz w:val="22"/>
                <w:szCs w:val="22"/>
                <w:lang w:val="en-US" w:eastAsia="zh-CN"/>
              </w:rPr>
              <w:t>(</w:t>
            </w:r>
            <w:r>
              <w:rPr>
                <w:rFonts w:hint="default" w:ascii="Arial" w:hAnsi="Arial" w:eastAsia="宋体" w:cs="Arial"/>
                <w:sz w:val="22"/>
                <w:szCs w:val="22"/>
                <w:lang w:val="en-US" w:eastAsia="zh-CN"/>
              </w:rPr>
              <w:t>1</w:t>
            </w:r>
            <w:r>
              <w:rPr>
                <w:rFonts w:hint="eastAsia" w:ascii="Arial" w:hAnsi="Arial" w:eastAsia="宋体" w:cs="Arial"/>
                <w:sz w:val="22"/>
                <w:szCs w:val="22"/>
                <w:lang w:val="en-US" w:eastAsia="zh-CN"/>
              </w:rPr>
              <w:t>)</w:t>
            </w:r>
            <w:r>
              <w:rPr>
                <w:rFonts w:hint="default" w:ascii="Arial" w:hAnsi="Arial" w:eastAsia="宋体" w:cs="Arial"/>
                <w:sz w:val="22"/>
                <w:szCs w:val="22"/>
                <w:lang w:val="en-US" w:eastAsia="zh-CN"/>
              </w:rPr>
              <w:t>.oral traditions and expressions;</w:t>
            </w:r>
            <w:r>
              <w:rPr>
                <w:rFonts w:hint="eastAsia" w:ascii="Arial" w:hAnsi="Arial" w:eastAsia="宋体" w:cs="Arial"/>
                <w:sz w:val="22"/>
                <w:szCs w:val="22"/>
                <w:lang w:val="en-US" w:eastAsia="zh-CN"/>
              </w:rPr>
              <w:t xml:space="preserve"> (</w:t>
            </w:r>
            <w:r>
              <w:rPr>
                <w:rFonts w:hint="default" w:ascii="Arial" w:hAnsi="Arial" w:eastAsia="宋体" w:cs="Arial"/>
                <w:sz w:val="22"/>
                <w:szCs w:val="22"/>
                <w:lang w:val="en-US" w:eastAsia="zh-CN"/>
              </w:rPr>
              <w:t>2</w:t>
            </w:r>
            <w:r>
              <w:rPr>
                <w:rFonts w:hint="eastAsia" w:ascii="Arial" w:hAnsi="Arial" w:eastAsia="宋体" w:cs="Arial"/>
                <w:sz w:val="22"/>
                <w:szCs w:val="22"/>
                <w:lang w:val="en-US" w:eastAsia="zh-CN"/>
              </w:rPr>
              <w:t>)</w:t>
            </w:r>
            <w:r>
              <w:rPr>
                <w:rFonts w:hint="default" w:ascii="Arial" w:hAnsi="Arial" w:eastAsia="宋体" w:cs="Arial"/>
                <w:sz w:val="22"/>
                <w:szCs w:val="22"/>
                <w:lang w:val="en-US" w:eastAsia="zh-CN"/>
              </w:rPr>
              <w:t>.performing arts;</w:t>
            </w:r>
            <w:r>
              <w:rPr>
                <w:rFonts w:hint="eastAsia" w:ascii="Arial" w:hAnsi="Arial" w:eastAsia="宋体" w:cs="Arial"/>
                <w:sz w:val="22"/>
                <w:szCs w:val="22"/>
                <w:lang w:val="en-US" w:eastAsia="zh-CN"/>
              </w:rPr>
              <w:t xml:space="preserve"> (</w:t>
            </w:r>
            <w:r>
              <w:rPr>
                <w:rFonts w:hint="default" w:ascii="Arial" w:hAnsi="Arial" w:eastAsia="宋体" w:cs="Arial"/>
                <w:sz w:val="22"/>
                <w:szCs w:val="22"/>
                <w:lang w:val="en-US" w:eastAsia="zh-CN"/>
              </w:rPr>
              <w:t>3</w:t>
            </w:r>
            <w:r>
              <w:rPr>
                <w:rFonts w:hint="eastAsia" w:ascii="Arial" w:hAnsi="Arial" w:eastAsia="宋体" w:cs="Arial"/>
                <w:sz w:val="22"/>
                <w:szCs w:val="22"/>
                <w:lang w:val="en-US" w:eastAsia="zh-CN"/>
              </w:rPr>
              <w:t>)</w:t>
            </w:r>
            <w:r>
              <w:rPr>
                <w:rFonts w:hint="default" w:ascii="Arial" w:hAnsi="Arial" w:eastAsia="宋体" w:cs="Arial"/>
                <w:sz w:val="22"/>
                <w:szCs w:val="22"/>
                <w:lang w:val="en-US" w:eastAsia="zh-CN"/>
              </w:rPr>
              <w:t>.social practices, rituals and festive events;</w:t>
            </w:r>
            <w:r>
              <w:rPr>
                <w:rFonts w:hint="eastAsia" w:ascii="Arial" w:hAnsi="Arial" w:eastAsia="宋体" w:cs="Arial"/>
                <w:sz w:val="22"/>
                <w:szCs w:val="22"/>
                <w:lang w:val="en-US" w:eastAsia="zh-CN"/>
              </w:rPr>
              <w:t xml:space="preserve"> (</w:t>
            </w:r>
            <w:r>
              <w:rPr>
                <w:rFonts w:hint="default" w:ascii="Arial" w:hAnsi="Arial" w:eastAsia="宋体" w:cs="Arial"/>
                <w:sz w:val="22"/>
                <w:szCs w:val="22"/>
                <w:lang w:val="en-US" w:eastAsia="zh-CN"/>
              </w:rPr>
              <w:t>4</w:t>
            </w:r>
            <w:r>
              <w:rPr>
                <w:rFonts w:hint="eastAsia" w:ascii="Arial" w:hAnsi="Arial" w:eastAsia="宋体" w:cs="Arial"/>
                <w:sz w:val="22"/>
                <w:szCs w:val="22"/>
                <w:lang w:val="en-US" w:eastAsia="zh-CN"/>
              </w:rPr>
              <w:t>)</w:t>
            </w:r>
            <w:r>
              <w:rPr>
                <w:rFonts w:hint="default" w:ascii="Arial" w:hAnsi="Arial" w:eastAsia="宋体" w:cs="Arial"/>
                <w:sz w:val="22"/>
                <w:szCs w:val="22"/>
                <w:lang w:val="en-US" w:eastAsia="zh-CN"/>
              </w:rPr>
              <w:t>.knowledge and practices concerning natural and the universe;</w:t>
            </w:r>
            <w:r>
              <w:rPr>
                <w:rFonts w:hint="eastAsia" w:ascii="Arial" w:hAnsi="Arial" w:eastAsia="宋体" w:cs="Arial"/>
                <w:sz w:val="22"/>
                <w:szCs w:val="22"/>
                <w:lang w:val="en-US" w:eastAsia="zh-CN"/>
              </w:rPr>
              <w:t xml:space="preserve"> (</w:t>
            </w:r>
            <w:r>
              <w:rPr>
                <w:rFonts w:hint="default" w:ascii="Arial" w:hAnsi="Arial" w:eastAsia="宋体" w:cs="Arial"/>
                <w:sz w:val="22"/>
                <w:szCs w:val="22"/>
                <w:lang w:val="en-US" w:eastAsia="zh-CN"/>
              </w:rPr>
              <w:t>5</w:t>
            </w:r>
            <w:r>
              <w:rPr>
                <w:rFonts w:hint="eastAsia" w:ascii="Arial" w:hAnsi="Arial" w:eastAsia="宋体" w:cs="Arial"/>
                <w:sz w:val="22"/>
                <w:szCs w:val="22"/>
                <w:lang w:val="en-US" w:eastAsia="zh-CN"/>
              </w:rPr>
              <w:t>)</w:t>
            </w:r>
            <w:r>
              <w:rPr>
                <w:rFonts w:hint="default" w:ascii="Arial" w:hAnsi="Arial" w:eastAsia="宋体" w:cs="Arial"/>
                <w:sz w:val="22"/>
                <w:szCs w:val="22"/>
                <w:lang w:val="en-US" w:eastAsia="zh-CN"/>
              </w:rPr>
              <w:t>.traditional craftsmanship.</w:t>
            </w:r>
            <w:r>
              <w:rPr>
                <w:rFonts w:hint="eastAsia" w:ascii="Arial" w:hAnsi="Arial" w:eastAsia="宋体" w:cs="Arial"/>
                <w:sz w:val="22"/>
                <w:szCs w:val="22"/>
                <w:lang w:val="en-US" w:eastAsia="zh-CN"/>
              </w:rPr>
              <w:t>Unlike other categories of intangible cultural heritage, traditional craftsmanship is a cultural expression primarily manifested through artisans</w:t>
            </w:r>
            <w:r>
              <w:rPr>
                <w:rFonts w:hint="default" w:ascii="Arial" w:hAnsi="Arial" w:eastAsia="宋体" w:cs="Arial"/>
                <w:sz w:val="22"/>
                <w:szCs w:val="22"/>
                <w:lang w:val="en-US" w:eastAsia="zh-CN"/>
              </w:rPr>
              <w:t>’</w:t>
            </w:r>
            <w:r>
              <w:rPr>
                <w:rFonts w:hint="eastAsia" w:ascii="Arial" w:hAnsi="Arial" w:eastAsia="宋体" w:cs="Arial"/>
                <w:sz w:val="22"/>
                <w:szCs w:val="22"/>
                <w:lang w:val="en-US" w:eastAsia="zh-CN"/>
              </w:rPr>
              <w:t xml:space="preserve"> manual skills and embodied experiences, encompassing tools, materials, and technical knowledge. Notably, these craft techniques are preserved and transmitted mainly through inter-generational inheritance, carrying significant cultural and social value.</w:t>
            </w:r>
          </w:p>
          <w:p w14:paraId="516213A0">
            <w:pPr>
              <w:jc w:val="both"/>
              <w:rPr>
                <w:rFonts w:hint="eastAsia" w:ascii="Arial" w:hAnsi="Arial" w:eastAsia="宋体" w:cs="Arial"/>
                <w:sz w:val="22"/>
                <w:szCs w:val="22"/>
                <w:lang w:val="en-US" w:eastAsia="zh-CN"/>
              </w:rPr>
            </w:pPr>
          </w:p>
          <w:p w14:paraId="599369E0">
            <w:pPr>
              <w:jc w:val="both"/>
              <w:rPr>
                <w:rFonts w:hint="eastAsia" w:ascii="Arial" w:hAnsi="Arial" w:eastAsia="宋体" w:cs="Arial"/>
                <w:i w:val="0"/>
                <w:iCs w:val="0"/>
                <w:sz w:val="22"/>
                <w:szCs w:val="22"/>
                <w:lang w:val="en-US" w:eastAsia="zh-CN"/>
              </w:rPr>
            </w:pPr>
            <w:r>
              <w:rPr>
                <w:rFonts w:hint="eastAsia" w:ascii="Arial" w:hAnsi="Arial" w:eastAsia="宋体" w:cs="Arial"/>
                <w:sz w:val="22"/>
                <w:szCs w:val="22"/>
                <w:lang w:val="en-US" w:eastAsia="zh-CN"/>
              </w:rPr>
              <w:t>In the Convention for the</w:t>
            </w:r>
            <w:r>
              <w:rPr>
                <w:rFonts w:hint="eastAsia" w:ascii="Arial" w:hAnsi="Arial" w:eastAsia="宋体" w:cs="Arial"/>
                <w:i/>
                <w:iCs/>
                <w:sz w:val="22"/>
                <w:szCs w:val="22"/>
                <w:lang w:val="en-US" w:eastAsia="zh-CN"/>
              </w:rPr>
              <w:t xml:space="preserve"> Safeguarding of Intangible Cultural Heritage </w:t>
            </w:r>
            <w:r>
              <w:rPr>
                <w:rFonts w:hint="eastAsia" w:ascii="Arial" w:hAnsi="Arial" w:eastAsia="宋体" w:cs="Arial"/>
                <w:i w:val="0"/>
                <w:iCs w:val="0"/>
                <w:sz w:val="22"/>
                <w:szCs w:val="22"/>
                <w:lang w:val="en-US" w:eastAsia="zh-CN"/>
              </w:rPr>
              <w:t xml:space="preserve">announced by UNESCO on October 17,2003, </w:t>
            </w:r>
            <w:r>
              <w:rPr>
                <w:rFonts w:hint="default" w:ascii="Arial" w:hAnsi="Arial" w:eastAsia="宋体" w:cs="Arial"/>
                <w:i w:val="0"/>
                <w:iCs w:val="0"/>
                <w:sz w:val="22"/>
                <w:szCs w:val="22"/>
                <w:lang w:val="en-US" w:eastAsia="zh-CN"/>
              </w:rPr>
              <w:t>‘</w:t>
            </w:r>
            <w:r>
              <w:rPr>
                <w:rFonts w:hint="eastAsia" w:ascii="Arial" w:hAnsi="Arial" w:eastAsia="宋体" w:cs="Arial"/>
                <w:i w:val="0"/>
                <w:iCs w:val="0"/>
                <w:sz w:val="22"/>
                <w:szCs w:val="22"/>
                <w:lang w:val="en-US" w:eastAsia="zh-CN"/>
              </w:rPr>
              <w:t>traditional crafts</w:t>
            </w:r>
            <w:r>
              <w:rPr>
                <w:rFonts w:hint="default" w:ascii="Arial" w:hAnsi="Arial" w:eastAsia="宋体" w:cs="Arial"/>
                <w:i w:val="0"/>
                <w:iCs w:val="0"/>
                <w:sz w:val="22"/>
                <w:szCs w:val="22"/>
                <w:lang w:val="en-US" w:eastAsia="zh-CN"/>
              </w:rPr>
              <w:t>’</w:t>
            </w:r>
            <w:r>
              <w:rPr>
                <w:rFonts w:hint="eastAsia" w:ascii="Arial" w:hAnsi="Arial" w:eastAsia="宋体" w:cs="Arial"/>
                <w:i w:val="0"/>
                <w:iCs w:val="0"/>
                <w:sz w:val="22"/>
                <w:szCs w:val="22"/>
                <w:lang w:val="en-US" w:eastAsia="zh-CN"/>
              </w:rPr>
              <w:t xml:space="preserve"> were designated as objects of protection under intangible cultural heritage. The convention also outline the basic criteria for intangible cultural heritage nomination:(1) possessing outstanding historical, cultural, and scientific value;(2) demonstrating characteristics of inter-generational transmission within a specific community;(3) having significant local influence; and (4) meeting the aforementioned criteria while being in a state of endangerment (Division for Intangible Cultural Heritage, 2006). The introduction by UNESCO of intangible cultural heritage has been largely applauded as a significant development that contributes to the expansion of the scope, natural, and value of cultural heritage(Smith &amp; Akagawa, 2008). Not only has concept been established by the convention but this also introduced a paradigmatic innovation into the cultural heritage debate in that has no longer perceived solely as something </w:t>
            </w:r>
            <w:r>
              <w:rPr>
                <w:rFonts w:hint="default" w:ascii="Arial" w:hAnsi="Arial" w:eastAsia="宋体" w:cs="Arial"/>
                <w:i w:val="0"/>
                <w:iCs w:val="0"/>
                <w:sz w:val="22"/>
                <w:szCs w:val="22"/>
                <w:lang w:val="en-US" w:eastAsia="zh-CN"/>
              </w:rPr>
              <w:t>“</w:t>
            </w:r>
            <w:r>
              <w:rPr>
                <w:rFonts w:hint="eastAsia" w:ascii="Arial" w:hAnsi="Arial" w:eastAsia="宋体" w:cs="Arial"/>
                <w:i w:val="0"/>
                <w:iCs w:val="0"/>
                <w:sz w:val="22"/>
                <w:szCs w:val="22"/>
                <w:lang w:val="en-US" w:eastAsia="zh-CN"/>
              </w:rPr>
              <w:t>material</w:t>
            </w:r>
            <w:r>
              <w:rPr>
                <w:rFonts w:hint="default" w:ascii="Arial" w:hAnsi="Arial" w:eastAsia="宋体" w:cs="Arial"/>
                <w:i w:val="0"/>
                <w:iCs w:val="0"/>
                <w:sz w:val="22"/>
                <w:szCs w:val="22"/>
                <w:lang w:val="en-US" w:eastAsia="zh-CN"/>
              </w:rPr>
              <w:t>”</w:t>
            </w:r>
            <w:r>
              <w:rPr>
                <w:rFonts w:hint="eastAsia" w:ascii="Arial" w:hAnsi="Arial" w:eastAsia="宋体" w:cs="Arial"/>
                <w:i w:val="0"/>
                <w:iCs w:val="0"/>
                <w:sz w:val="22"/>
                <w:szCs w:val="22"/>
                <w:lang w:val="en-US" w:eastAsia="zh-CN"/>
              </w:rPr>
              <w:t xml:space="preserve"> , monumental and aesthetic (Cominelli &amp; Greffe, 2012).</w:t>
            </w:r>
          </w:p>
          <w:p w14:paraId="7A13DAE5">
            <w:pPr>
              <w:jc w:val="both"/>
              <w:rPr>
                <w:rFonts w:hint="eastAsia" w:ascii="Arial" w:hAnsi="Arial" w:eastAsia="宋体" w:cs="Arial"/>
                <w:i w:val="0"/>
                <w:iCs w:val="0"/>
                <w:sz w:val="22"/>
                <w:szCs w:val="22"/>
                <w:lang w:val="en-US" w:eastAsia="zh-CN"/>
              </w:rPr>
            </w:pPr>
          </w:p>
          <w:p w14:paraId="2144D9FF">
            <w:pPr>
              <w:jc w:val="both"/>
              <w:rPr>
                <w:rFonts w:hint="eastAsia" w:ascii="Arial" w:hAnsi="Arial" w:eastAsia="宋体" w:cs="Arial"/>
                <w:i w:val="0"/>
                <w:iCs w:val="0"/>
                <w:sz w:val="22"/>
                <w:szCs w:val="22"/>
                <w:lang w:val="en-US" w:eastAsia="zh-CN"/>
              </w:rPr>
            </w:pPr>
            <w:r>
              <w:rPr>
                <w:rFonts w:hint="eastAsia" w:ascii="Arial" w:hAnsi="Arial" w:eastAsia="宋体" w:cs="Arial"/>
                <w:i w:val="0"/>
                <w:iCs w:val="0"/>
                <w:sz w:val="22"/>
                <w:szCs w:val="22"/>
                <w:lang w:val="en-US" w:eastAsia="zh-CN"/>
              </w:rPr>
              <w:t xml:space="preserve">The State Council of China published the first list of National Intangible Cultural Heritage (ICH) in 2006, where a significant number of traditional handicrafts were categorized under </w:t>
            </w:r>
            <w:r>
              <w:rPr>
                <w:rFonts w:hint="default" w:ascii="Arial" w:hAnsi="Arial" w:eastAsia="宋体" w:cs="Arial"/>
                <w:i w:val="0"/>
                <w:iCs w:val="0"/>
                <w:sz w:val="22"/>
                <w:szCs w:val="22"/>
                <w:lang w:val="en-US" w:eastAsia="zh-CN"/>
              </w:rPr>
              <w:t>“</w:t>
            </w:r>
            <w:r>
              <w:rPr>
                <w:rFonts w:hint="eastAsia" w:ascii="Arial" w:hAnsi="Arial" w:eastAsia="宋体" w:cs="Arial"/>
                <w:i w:val="0"/>
                <w:iCs w:val="0"/>
                <w:sz w:val="22"/>
                <w:szCs w:val="22"/>
                <w:lang w:val="en-US" w:eastAsia="zh-CN"/>
              </w:rPr>
              <w:t>Folk Arts (Traditional Arts)</w:t>
            </w:r>
            <w:r>
              <w:rPr>
                <w:rFonts w:hint="default" w:ascii="Arial" w:hAnsi="Arial" w:eastAsia="宋体" w:cs="Arial"/>
                <w:i w:val="0"/>
                <w:iCs w:val="0"/>
                <w:sz w:val="22"/>
                <w:szCs w:val="22"/>
                <w:lang w:val="en-US" w:eastAsia="zh-CN"/>
              </w:rPr>
              <w:t>”</w:t>
            </w:r>
            <w:r>
              <w:rPr>
                <w:rFonts w:hint="eastAsia" w:ascii="Arial" w:hAnsi="Arial" w:eastAsia="宋体" w:cs="Arial"/>
                <w:i w:val="0"/>
                <w:iCs w:val="0"/>
                <w:sz w:val="22"/>
                <w:szCs w:val="22"/>
                <w:lang w:val="en-US" w:eastAsia="zh-CN"/>
              </w:rPr>
              <w:t xml:space="preserve"> and </w:t>
            </w:r>
            <w:r>
              <w:rPr>
                <w:rFonts w:hint="default" w:ascii="Arial" w:hAnsi="Arial" w:eastAsia="宋体" w:cs="Arial"/>
                <w:i w:val="0"/>
                <w:iCs w:val="0"/>
                <w:sz w:val="22"/>
                <w:szCs w:val="22"/>
                <w:lang w:val="en-US" w:eastAsia="zh-CN"/>
              </w:rPr>
              <w:t>“</w:t>
            </w:r>
            <w:r>
              <w:rPr>
                <w:rFonts w:hint="eastAsia" w:ascii="Arial" w:hAnsi="Arial" w:eastAsia="宋体" w:cs="Arial"/>
                <w:i w:val="0"/>
                <w:iCs w:val="0"/>
                <w:sz w:val="22"/>
                <w:szCs w:val="22"/>
                <w:lang w:val="en-US" w:eastAsia="zh-CN"/>
              </w:rPr>
              <w:t>Traditional Craftsmanship (Traditional Techniques).</w:t>
            </w:r>
            <w:r>
              <w:rPr>
                <w:rFonts w:hint="default" w:ascii="Arial" w:hAnsi="Arial" w:eastAsia="宋体" w:cs="Arial"/>
                <w:i w:val="0"/>
                <w:iCs w:val="0"/>
                <w:sz w:val="22"/>
                <w:szCs w:val="22"/>
                <w:lang w:val="en-US" w:eastAsia="zh-CN"/>
              </w:rPr>
              <w:t>”</w:t>
            </w:r>
            <w:r>
              <w:rPr>
                <w:rFonts w:hint="eastAsia" w:ascii="Arial" w:hAnsi="Arial" w:eastAsia="宋体" w:cs="Arial"/>
                <w:i w:val="0"/>
                <w:iCs w:val="0"/>
                <w:sz w:val="22"/>
                <w:szCs w:val="22"/>
                <w:lang w:val="en-US" w:eastAsia="zh-CN"/>
              </w:rPr>
              <w:t xml:space="preserve">Scholar Wang proposed modifications and adjustments to the ten categories of ICH based on the first to third batches of </w:t>
            </w:r>
            <w:r>
              <w:rPr>
                <w:rFonts w:hint="eastAsia" w:ascii="Arial" w:hAnsi="Arial" w:eastAsia="宋体" w:cs="Arial"/>
                <w:i/>
                <w:iCs/>
                <w:sz w:val="22"/>
                <w:szCs w:val="22"/>
                <w:lang w:val="en-US" w:eastAsia="zh-CN"/>
              </w:rPr>
              <w:t>National ICH Lists</w:t>
            </w:r>
            <w:r>
              <w:rPr>
                <w:rFonts w:hint="eastAsia" w:ascii="Arial" w:hAnsi="Arial" w:eastAsia="宋体" w:cs="Arial"/>
                <w:i w:val="0"/>
                <w:iCs w:val="0"/>
                <w:sz w:val="22"/>
                <w:szCs w:val="22"/>
                <w:lang w:val="en-US" w:eastAsia="zh-CN"/>
              </w:rPr>
              <w:t xml:space="preserve"> released in China in his book </w:t>
            </w:r>
            <w:r>
              <w:rPr>
                <w:rFonts w:hint="default" w:ascii="Arial" w:hAnsi="Arial" w:eastAsia="宋体" w:cs="Arial"/>
                <w:i w:val="0"/>
                <w:iCs w:val="0"/>
                <w:sz w:val="22"/>
                <w:szCs w:val="22"/>
                <w:lang w:val="en-US" w:eastAsia="zh-CN"/>
              </w:rPr>
              <w:t>“</w:t>
            </w:r>
            <w:r>
              <w:rPr>
                <w:rFonts w:hint="eastAsia" w:ascii="Arial" w:hAnsi="Arial" w:eastAsia="宋体" w:cs="Arial"/>
                <w:i/>
                <w:iCs/>
                <w:sz w:val="22"/>
                <w:szCs w:val="22"/>
                <w:lang w:val="en-US" w:eastAsia="zh-CN"/>
              </w:rPr>
              <w:t>Introduction to Intangible Cultural Heritage</w:t>
            </w:r>
            <w:r>
              <w:rPr>
                <w:rFonts w:hint="eastAsia" w:ascii="Arial" w:hAnsi="Arial" w:eastAsia="宋体" w:cs="Arial"/>
                <w:i w:val="0"/>
                <w:iCs w:val="0"/>
                <w:sz w:val="22"/>
                <w:szCs w:val="22"/>
                <w:lang w:val="en-US" w:eastAsia="zh-CN"/>
              </w:rPr>
              <w:t xml:space="preserve">(2013). As part of this adjustment, </w:t>
            </w:r>
            <w:r>
              <w:rPr>
                <w:rFonts w:hint="default" w:ascii="Arial" w:hAnsi="Arial" w:eastAsia="宋体" w:cs="Arial"/>
                <w:i w:val="0"/>
                <w:iCs w:val="0"/>
                <w:sz w:val="22"/>
                <w:szCs w:val="22"/>
                <w:lang w:val="en-US" w:eastAsia="zh-CN"/>
              </w:rPr>
              <w:t>“</w:t>
            </w:r>
            <w:r>
              <w:rPr>
                <w:rFonts w:hint="eastAsia" w:ascii="Arial" w:hAnsi="Arial" w:eastAsia="宋体" w:cs="Arial"/>
                <w:i w:val="0"/>
                <w:iCs w:val="0"/>
                <w:sz w:val="22"/>
                <w:szCs w:val="22"/>
                <w:lang w:val="en-US" w:eastAsia="zh-CN"/>
              </w:rPr>
              <w:t>Traditional Arts</w:t>
            </w:r>
            <w:r>
              <w:rPr>
                <w:rFonts w:hint="default" w:ascii="Arial" w:hAnsi="Arial" w:eastAsia="宋体" w:cs="Arial"/>
                <w:i w:val="0"/>
                <w:iCs w:val="0"/>
                <w:sz w:val="22"/>
                <w:szCs w:val="22"/>
                <w:lang w:val="en-US" w:eastAsia="zh-CN"/>
              </w:rPr>
              <w:t>”</w:t>
            </w:r>
            <w:r>
              <w:rPr>
                <w:rFonts w:hint="eastAsia" w:ascii="Arial" w:hAnsi="Arial" w:eastAsia="宋体" w:cs="Arial"/>
                <w:i w:val="0"/>
                <w:iCs w:val="0"/>
                <w:sz w:val="22"/>
                <w:szCs w:val="22"/>
                <w:lang w:val="en-US" w:eastAsia="zh-CN"/>
              </w:rPr>
              <w:t xml:space="preserve"> and </w:t>
            </w:r>
            <w:r>
              <w:rPr>
                <w:rFonts w:hint="default" w:ascii="Arial" w:hAnsi="Arial" w:eastAsia="宋体" w:cs="Arial"/>
                <w:i w:val="0"/>
                <w:iCs w:val="0"/>
                <w:sz w:val="22"/>
                <w:szCs w:val="22"/>
                <w:lang w:val="en-US" w:eastAsia="zh-CN"/>
              </w:rPr>
              <w:t>“</w:t>
            </w:r>
            <w:r>
              <w:rPr>
                <w:rFonts w:hint="eastAsia" w:ascii="Arial" w:hAnsi="Arial" w:eastAsia="宋体" w:cs="Arial"/>
                <w:i w:val="0"/>
                <w:iCs w:val="0"/>
                <w:sz w:val="22"/>
                <w:szCs w:val="22"/>
                <w:lang w:val="en-US" w:eastAsia="zh-CN"/>
              </w:rPr>
              <w:t>Traditional Techniques</w:t>
            </w:r>
            <w:r>
              <w:rPr>
                <w:rFonts w:hint="default" w:ascii="Arial" w:hAnsi="Arial" w:eastAsia="宋体" w:cs="Arial"/>
                <w:i w:val="0"/>
                <w:iCs w:val="0"/>
                <w:sz w:val="22"/>
                <w:szCs w:val="22"/>
                <w:lang w:val="en-US" w:eastAsia="zh-CN"/>
              </w:rPr>
              <w:t>”</w:t>
            </w:r>
            <w:r>
              <w:rPr>
                <w:rFonts w:hint="eastAsia" w:ascii="Arial" w:hAnsi="Arial" w:eastAsia="宋体" w:cs="Arial"/>
                <w:i w:val="0"/>
                <w:iCs w:val="0"/>
                <w:sz w:val="22"/>
                <w:szCs w:val="22"/>
                <w:lang w:val="en-US" w:eastAsia="zh-CN"/>
              </w:rPr>
              <w:t xml:space="preserve"> were reclassified into </w:t>
            </w:r>
            <w:r>
              <w:rPr>
                <w:rFonts w:hint="default" w:ascii="Arial" w:hAnsi="Arial" w:eastAsia="宋体" w:cs="Arial"/>
                <w:i w:val="0"/>
                <w:iCs w:val="0"/>
                <w:sz w:val="22"/>
                <w:szCs w:val="22"/>
                <w:lang w:val="en-US" w:eastAsia="zh-CN"/>
              </w:rPr>
              <w:t>“</w:t>
            </w:r>
            <w:r>
              <w:rPr>
                <w:rFonts w:hint="eastAsia" w:ascii="Arial" w:hAnsi="Arial" w:eastAsia="宋体" w:cs="Arial"/>
                <w:i w:val="0"/>
                <w:iCs w:val="0"/>
                <w:sz w:val="22"/>
                <w:szCs w:val="22"/>
                <w:lang w:val="en-US" w:eastAsia="zh-CN"/>
              </w:rPr>
              <w:t>Traditional Arts and Decorative Arts</w:t>
            </w:r>
            <w:r>
              <w:rPr>
                <w:rFonts w:hint="default" w:ascii="Arial" w:hAnsi="Arial" w:eastAsia="宋体" w:cs="Arial"/>
                <w:i w:val="0"/>
                <w:iCs w:val="0"/>
                <w:sz w:val="22"/>
                <w:szCs w:val="22"/>
                <w:lang w:val="en-US" w:eastAsia="zh-CN"/>
              </w:rPr>
              <w:t>”</w:t>
            </w:r>
            <w:r>
              <w:rPr>
                <w:rFonts w:hint="eastAsia" w:ascii="Arial" w:hAnsi="Arial" w:eastAsia="宋体" w:cs="Arial"/>
                <w:i w:val="0"/>
                <w:iCs w:val="0"/>
                <w:sz w:val="22"/>
                <w:szCs w:val="22"/>
                <w:lang w:val="en-US" w:eastAsia="zh-CN"/>
              </w:rPr>
              <w:t xml:space="preserve"> and </w:t>
            </w:r>
            <w:r>
              <w:rPr>
                <w:rFonts w:hint="default" w:ascii="Arial" w:hAnsi="Arial" w:eastAsia="宋体" w:cs="Arial"/>
                <w:i w:val="0"/>
                <w:iCs w:val="0"/>
                <w:sz w:val="22"/>
                <w:szCs w:val="22"/>
                <w:lang w:val="en-US" w:eastAsia="zh-CN"/>
              </w:rPr>
              <w:t>“</w:t>
            </w:r>
            <w:r>
              <w:rPr>
                <w:rFonts w:hint="eastAsia" w:ascii="Arial" w:hAnsi="Arial" w:eastAsia="宋体" w:cs="Arial"/>
                <w:i w:val="0"/>
                <w:iCs w:val="0"/>
                <w:sz w:val="22"/>
                <w:szCs w:val="22"/>
                <w:lang w:val="en-US" w:eastAsia="zh-CN"/>
              </w:rPr>
              <w:t>Traditional Craftsmanship and other Craft Techniques</w:t>
            </w:r>
            <w:r>
              <w:rPr>
                <w:rFonts w:hint="default" w:ascii="Arial" w:hAnsi="Arial" w:eastAsia="宋体" w:cs="Arial"/>
                <w:i w:val="0"/>
                <w:iCs w:val="0"/>
                <w:sz w:val="22"/>
                <w:szCs w:val="22"/>
                <w:lang w:val="en-US" w:eastAsia="zh-CN"/>
              </w:rPr>
              <w:t>”</w:t>
            </w:r>
            <w:r>
              <w:rPr>
                <w:rFonts w:hint="eastAsia" w:ascii="Arial" w:hAnsi="Arial" w:eastAsia="宋体" w:cs="Arial"/>
                <w:i w:val="0"/>
                <w:iCs w:val="0"/>
                <w:sz w:val="22"/>
                <w:szCs w:val="22"/>
                <w:lang w:val="en-US" w:eastAsia="zh-CN"/>
              </w:rPr>
              <w:t>(Wang, 2013). This research defines</w:t>
            </w:r>
            <w:r>
              <w:rPr>
                <w:rFonts w:hint="default" w:ascii="Arial" w:hAnsi="Arial" w:eastAsia="宋体" w:cs="Arial"/>
                <w:i w:val="0"/>
                <w:iCs w:val="0"/>
                <w:sz w:val="22"/>
                <w:szCs w:val="22"/>
                <w:lang w:val="en-US" w:eastAsia="zh-CN"/>
              </w:rPr>
              <w:t>”</w:t>
            </w:r>
            <w:r>
              <w:rPr>
                <w:rFonts w:hint="eastAsia" w:ascii="Arial" w:hAnsi="Arial" w:eastAsia="宋体" w:cs="Arial"/>
                <w:i w:val="0"/>
                <w:iCs w:val="0"/>
                <w:sz w:val="22"/>
                <w:szCs w:val="22"/>
                <w:lang w:val="en-US" w:eastAsia="zh-CN"/>
              </w:rPr>
              <w:t>Traditional Handicrafts</w:t>
            </w:r>
            <w:r>
              <w:rPr>
                <w:rFonts w:hint="default" w:ascii="Arial" w:hAnsi="Arial" w:eastAsia="宋体" w:cs="Arial"/>
                <w:i w:val="0"/>
                <w:iCs w:val="0"/>
                <w:sz w:val="22"/>
                <w:szCs w:val="22"/>
                <w:lang w:val="en-US" w:eastAsia="zh-CN"/>
              </w:rPr>
              <w:t>”</w:t>
            </w:r>
            <w:r>
              <w:rPr>
                <w:rFonts w:hint="eastAsia" w:ascii="Arial" w:hAnsi="Arial" w:eastAsia="宋体" w:cs="Arial"/>
                <w:i w:val="0"/>
                <w:iCs w:val="0"/>
                <w:sz w:val="22"/>
                <w:szCs w:val="22"/>
                <w:lang w:val="en-US" w:eastAsia="zh-CN"/>
              </w:rPr>
              <w:t xml:space="preserve"> in the context of Nanjing</w:t>
            </w:r>
            <w:r>
              <w:rPr>
                <w:rFonts w:hint="default" w:ascii="Arial" w:hAnsi="Arial" w:eastAsia="宋体" w:cs="Arial"/>
                <w:i w:val="0"/>
                <w:iCs w:val="0"/>
                <w:sz w:val="22"/>
                <w:szCs w:val="22"/>
                <w:lang w:val="en-US" w:eastAsia="zh-CN"/>
              </w:rPr>
              <w:t>’</w:t>
            </w:r>
            <w:r>
              <w:rPr>
                <w:rFonts w:hint="eastAsia" w:ascii="Arial" w:hAnsi="Arial" w:eastAsia="宋体" w:cs="Arial"/>
                <w:i w:val="0"/>
                <w:iCs w:val="0"/>
                <w:sz w:val="22"/>
                <w:szCs w:val="22"/>
                <w:lang w:val="en-US" w:eastAsia="zh-CN"/>
              </w:rPr>
              <w:t xml:space="preserve">s ICH by incorporating elements from the category of </w:t>
            </w:r>
            <w:r>
              <w:rPr>
                <w:rFonts w:hint="default" w:ascii="Arial" w:hAnsi="Arial" w:eastAsia="宋体" w:cs="Arial"/>
                <w:i w:val="0"/>
                <w:iCs w:val="0"/>
                <w:sz w:val="22"/>
                <w:szCs w:val="22"/>
                <w:lang w:val="en-US" w:eastAsia="zh-CN"/>
              </w:rPr>
              <w:t>“</w:t>
            </w:r>
            <w:r>
              <w:rPr>
                <w:rFonts w:hint="eastAsia" w:ascii="Arial" w:hAnsi="Arial" w:eastAsia="宋体" w:cs="Arial"/>
                <w:i w:val="0"/>
                <w:iCs w:val="0"/>
                <w:sz w:val="22"/>
                <w:szCs w:val="22"/>
                <w:lang w:val="en-US" w:eastAsia="zh-CN"/>
              </w:rPr>
              <w:t>Traditional Arts and Decorative Arts</w:t>
            </w:r>
            <w:r>
              <w:rPr>
                <w:rFonts w:hint="default" w:ascii="Arial" w:hAnsi="Arial" w:eastAsia="宋体" w:cs="Arial"/>
                <w:i w:val="0"/>
                <w:iCs w:val="0"/>
                <w:sz w:val="22"/>
                <w:szCs w:val="22"/>
                <w:lang w:val="en-US" w:eastAsia="zh-CN"/>
              </w:rPr>
              <w:t>”</w:t>
            </w:r>
            <w:r>
              <w:rPr>
                <w:rFonts w:hint="eastAsia" w:ascii="Arial" w:hAnsi="Arial" w:eastAsia="宋体" w:cs="Arial"/>
                <w:i w:val="0"/>
                <w:iCs w:val="0"/>
                <w:sz w:val="22"/>
                <w:szCs w:val="22"/>
                <w:lang w:val="en-US" w:eastAsia="zh-CN"/>
              </w:rPr>
              <w:t xml:space="preserve"> and unifying them under the term </w:t>
            </w:r>
            <w:r>
              <w:rPr>
                <w:rFonts w:hint="default" w:ascii="Arial" w:hAnsi="Arial" w:eastAsia="宋体" w:cs="Arial"/>
                <w:i w:val="0"/>
                <w:iCs w:val="0"/>
                <w:sz w:val="22"/>
                <w:szCs w:val="22"/>
                <w:lang w:val="en-US" w:eastAsia="zh-CN"/>
              </w:rPr>
              <w:t>“</w:t>
            </w:r>
            <w:r>
              <w:rPr>
                <w:rFonts w:hint="eastAsia" w:ascii="Arial" w:hAnsi="Arial" w:eastAsia="宋体" w:cs="Arial"/>
                <w:i w:val="0"/>
                <w:iCs w:val="0"/>
                <w:sz w:val="22"/>
                <w:szCs w:val="22"/>
                <w:lang w:val="en-US" w:eastAsia="zh-CN"/>
              </w:rPr>
              <w:t>ICH Handicrafts</w:t>
            </w:r>
            <w:r>
              <w:rPr>
                <w:rFonts w:hint="default" w:ascii="Arial" w:hAnsi="Arial" w:eastAsia="宋体" w:cs="Arial"/>
                <w:i w:val="0"/>
                <w:iCs w:val="0"/>
                <w:sz w:val="22"/>
                <w:szCs w:val="22"/>
                <w:lang w:val="en-US" w:eastAsia="zh-CN"/>
              </w:rPr>
              <w:t>”</w:t>
            </w:r>
            <w:r>
              <w:rPr>
                <w:rFonts w:hint="eastAsia" w:ascii="Arial" w:hAnsi="Arial" w:eastAsia="宋体" w:cs="Arial"/>
                <w:i w:val="0"/>
                <w:iCs w:val="0"/>
                <w:sz w:val="22"/>
                <w:szCs w:val="22"/>
                <w:lang w:val="en-US" w:eastAsia="zh-CN"/>
              </w:rPr>
              <w:t>. As an essential component of the ICH system, ICH Handicrafts demonstrate unique characteristics in their tangible carriers, regional specificity, and skill transmission. Compared to other forms of ICH, Handicrafts place greater emphasis on individual craftsmanship and the uniqueness of artistic creativity. Protecting and developing traditional handicrafts is not only a crucial aspects of cultural heritage preservation but also a key strategy for fostering the integration of modern design with traditional cultural.</w:t>
            </w:r>
          </w:p>
          <w:p w14:paraId="30D0518F">
            <w:pPr>
              <w:jc w:val="both"/>
              <w:rPr>
                <w:rFonts w:hint="eastAsia" w:ascii="Arial" w:hAnsi="Arial" w:eastAsia="宋体" w:cs="Arial"/>
                <w:i w:val="0"/>
                <w:iCs w:val="0"/>
                <w:sz w:val="22"/>
                <w:szCs w:val="22"/>
                <w:lang w:val="en-US" w:eastAsia="zh-CN"/>
              </w:rPr>
            </w:pPr>
          </w:p>
          <w:p w14:paraId="606438AF">
            <w:pPr>
              <w:jc w:val="both"/>
              <w:rPr>
                <w:rFonts w:hint="eastAsia" w:ascii="Arial" w:hAnsi="Arial" w:eastAsia="宋体" w:cs="Arial"/>
                <w:i w:val="0"/>
                <w:iCs w:val="0"/>
                <w:sz w:val="22"/>
                <w:szCs w:val="22"/>
                <w:lang w:val="en-US" w:eastAsia="zh-CN"/>
              </w:rPr>
            </w:pPr>
            <w:r>
              <w:rPr>
                <w:rFonts w:hint="eastAsia" w:ascii="Arial" w:hAnsi="Arial" w:eastAsia="宋体" w:cs="Arial"/>
                <w:i w:val="0"/>
                <w:iCs w:val="0"/>
                <w:sz w:val="22"/>
                <w:szCs w:val="22"/>
                <w:lang w:val="en-US" w:eastAsia="zh-CN"/>
              </w:rPr>
              <w:t xml:space="preserve">Nanjing, As the capital of six ancient Chinese dynasties, the history and cultural of this city are typical of south Yangtze River region, The large-scale southward migration of northern cultures during the Jin, Sui-Tang, and Song dynasties which enriched Nanjing by infusing it with elements from the mainstream cultural of  Central Plain, thereby fostering the development of a uniquely regional cultural identity(Wang Nana, 2022). By 2018, Nanjing had submitted a total of 194 items for inclusion in the Intangible Cultural Heritage (ICH) registry, among which </w:t>
            </w:r>
            <w:r>
              <w:rPr>
                <w:rFonts w:hint="default" w:ascii="Arial" w:hAnsi="Arial" w:eastAsia="宋体" w:cs="Arial"/>
                <w:i w:val="0"/>
                <w:iCs w:val="0"/>
                <w:sz w:val="22"/>
                <w:szCs w:val="22"/>
                <w:lang w:val="en-US" w:eastAsia="zh-CN"/>
              </w:rPr>
              <w:t>“</w:t>
            </w:r>
            <w:r>
              <w:rPr>
                <w:rFonts w:hint="eastAsia" w:ascii="Arial" w:hAnsi="Arial" w:eastAsia="宋体" w:cs="Arial"/>
                <w:i w:val="0"/>
                <w:iCs w:val="0"/>
                <w:sz w:val="22"/>
                <w:szCs w:val="22"/>
                <w:lang w:val="en-US" w:eastAsia="zh-CN"/>
              </w:rPr>
              <w:t>Traditional Arts</w:t>
            </w:r>
            <w:r>
              <w:rPr>
                <w:rFonts w:hint="default" w:ascii="Arial" w:hAnsi="Arial" w:eastAsia="宋体" w:cs="Arial"/>
                <w:i w:val="0"/>
                <w:iCs w:val="0"/>
                <w:sz w:val="22"/>
                <w:szCs w:val="22"/>
                <w:lang w:val="en-US" w:eastAsia="zh-CN"/>
              </w:rPr>
              <w:t>”</w:t>
            </w:r>
            <w:r>
              <w:rPr>
                <w:rFonts w:hint="eastAsia" w:ascii="Arial" w:hAnsi="Arial" w:eastAsia="宋体" w:cs="Arial"/>
                <w:i w:val="0"/>
                <w:iCs w:val="0"/>
                <w:sz w:val="22"/>
                <w:szCs w:val="22"/>
                <w:lang w:val="en-US" w:eastAsia="zh-CN"/>
              </w:rPr>
              <w:t xml:space="preserve"> accounted for 31 items, and </w:t>
            </w:r>
            <w:r>
              <w:rPr>
                <w:rFonts w:hint="default" w:ascii="Arial" w:hAnsi="Arial" w:eastAsia="宋体" w:cs="Arial"/>
                <w:i w:val="0"/>
                <w:iCs w:val="0"/>
                <w:sz w:val="22"/>
                <w:szCs w:val="22"/>
                <w:lang w:val="en-US" w:eastAsia="zh-CN"/>
              </w:rPr>
              <w:t>“</w:t>
            </w:r>
            <w:r>
              <w:rPr>
                <w:rFonts w:hint="eastAsia" w:ascii="Arial" w:hAnsi="Arial" w:eastAsia="宋体" w:cs="Arial"/>
                <w:i w:val="0"/>
                <w:iCs w:val="0"/>
                <w:sz w:val="22"/>
                <w:szCs w:val="22"/>
                <w:lang w:val="en-US" w:eastAsia="zh-CN"/>
              </w:rPr>
              <w:t>Traditional Craftsmanship</w:t>
            </w:r>
            <w:r>
              <w:rPr>
                <w:rFonts w:hint="default" w:ascii="Arial" w:hAnsi="Arial" w:eastAsia="宋体" w:cs="Arial"/>
                <w:i w:val="0"/>
                <w:iCs w:val="0"/>
                <w:sz w:val="22"/>
                <w:szCs w:val="22"/>
                <w:lang w:val="en-US" w:eastAsia="zh-CN"/>
              </w:rPr>
              <w:t>”</w:t>
            </w:r>
            <w:r>
              <w:rPr>
                <w:rFonts w:hint="eastAsia" w:ascii="Arial" w:hAnsi="Arial" w:eastAsia="宋体" w:cs="Arial"/>
                <w:i w:val="0"/>
                <w:iCs w:val="0"/>
                <w:sz w:val="22"/>
                <w:szCs w:val="22"/>
                <w:lang w:val="en-US" w:eastAsia="zh-CN"/>
              </w:rPr>
              <w:t xml:space="preserve"> accounted for 24 items, together comprising 28% of entirely ICH resources. The category of </w:t>
            </w:r>
            <w:r>
              <w:rPr>
                <w:rFonts w:hint="default" w:ascii="Arial" w:hAnsi="Arial" w:eastAsia="宋体" w:cs="Arial"/>
                <w:i w:val="0"/>
                <w:iCs w:val="0"/>
                <w:sz w:val="22"/>
                <w:szCs w:val="22"/>
                <w:lang w:val="en-US" w:eastAsia="zh-CN"/>
              </w:rPr>
              <w:t>“</w:t>
            </w:r>
            <w:r>
              <w:rPr>
                <w:rFonts w:hint="eastAsia" w:ascii="Arial" w:hAnsi="Arial" w:eastAsia="宋体" w:cs="Arial"/>
                <w:i w:val="0"/>
                <w:iCs w:val="0"/>
                <w:sz w:val="22"/>
                <w:szCs w:val="22"/>
                <w:lang w:val="en-US" w:eastAsia="zh-CN"/>
              </w:rPr>
              <w:t>Traditional Arts</w:t>
            </w:r>
            <w:r>
              <w:rPr>
                <w:rFonts w:hint="default" w:ascii="Arial" w:hAnsi="Arial" w:eastAsia="宋体" w:cs="Arial"/>
                <w:i w:val="0"/>
                <w:iCs w:val="0"/>
                <w:sz w:val="22"/>
                <w:szCs w:val="22"/>
                <w:lang w:val="en-US" w:eastAsia="zh-CN"/>
              </w:rPr>
              <w:t>”</w:t>
            </w:r>
            <w:r>
              <w:rPr>
                <w:rFonts w:hint="eastAsia" w:ascii="Arial" w:hAnsi="Arial" w:eastAsia="宋体" w:cs="Arial"/>
                <w:i w:val="0"/>
                <w:iCs w:val="0"/>
                <w:sz w:val="22"/>
                <w:szCs w:val="22"/>
                <w:lang w:val="en-US" w:eastAsia="zh-CN"/>
              </w:rPr>
              <w:t xml:space="preserve"> includes subcategories such as painting, carving, craftsmanship, and architectural art, while </w:t>
            </w:r>
            <w:r>
              <w:rPr>
                <w:rFonts w:hint="default" w:ascii="Arial" w:hAnsi="Arial" w:eastAsia="宋体" w:cs="Arial"/>
                <w:i w:val="0"/>
                <w:iCs w:val="0"/>
                <w:sz w:val="22"/>
                <w:szCs w:val="22"/>
                <w:lang w:val="en-US" w:eastAsia="zh-CN"/>
              </w:rPr>
              <w:t>“</w:t>
            </w:r>
            <w:r>
              <w:rPr>
                <w:rFonts w:hint="eastAsia" w:ascii="Arial" w:hAnsi="Arial" w:eastAsia="宋体" w:cs="Arial"/>
                <w:i w:val="0"/>
                <w:iCs w:val="0"/>
                <w:sz w:val="22"/>
                <w:szCs w:val="22"/>
                <w:lang w:val="en-US" w:eastAsia="zh-CN"/>
              </w:rPr>
              <w:t>Traditional Craftsmanship</w:t>
            </w:r>
            <w:r>
              <w:rPr>
                <w:rFonts w:hint="default" w:ascii="Arial" w:hAnsi="Arial" w:eastAsia="宋体" w:cs="Arial"/>
                <w:i w:val="0"/>
                <w:iCs w:val="0"/>
                <w:sz w:val="22"/>
                <w:szCs w:val="22"/>
                <w:lang w:val="en-US" w:eastAsia="zh-CN"/>
              </w:rPr>
              <w:t>”</w:t>
            </w:r>
            <w:r>
              <w:rPr>
                <w:rFonts w:hint="eastAsia" w:ascii="Arial" w:hAnsi="Arial" w:eastAsia="宋体" w:cs="Arial"/>
                <w:i w:val="0"/>
                <w:iCs w:val="0"/>
                <w:sz w:val="22"/>
                <w:szCs w:val="22"/>
                <w:lang w:val="en-US" w:eastAsia="zh-CN"/>
              </w:rPr>
              <w:t xml:space="preserve"> encompassed a wide range of practices, including folk handcrafting techniques, tool and machinery production livestock product processing, ceramics and porcelain, weaving, dyeing and sewing, metalworking, weaving and binding, lacquer works, paper making, printing, and bookbinding(Wang, 2013). Notable examples of ICH handicrafts in Nanjing include:1. Yunjin Brocade; 2.Carved Velvet Fabric; 3Fold and Silver Filigree Work ; 4.Gold Foil and Thread Making; 5.Paper Cutting; 6.Velvet Flower Craft. ICH handicrafts forms an inseparable part of historical and cultural lineage of Nanjing. This city not only boasts abundant and representative ICH handicraft resources but also excels in its protective measures, institutional frameworks, museum practices, and resource management, further underscoring its leadership in cultural heritage preservation.</w:t>
            </w:r>
          </w:p>
          <w:p w14:paraId="5B3C8DE4">
            <w:pPr>
              <w:jc w:val="both"/>
              <w:rPr>
                <w:rFonts w:hint="eastAsia" w:ascii="Arial" w:hAnsi="Arial" w:eastAsia="宋体" w:cs="Arial"/>
                <w:i w:val="0"/>
                <w:iCs w:val="0"/>
                <w:sz w:val="22"/>
                <w:szCs w:val="22"/>
                <w:lang w:val="en-US" w:eastAsia="zh-CN"/>
              </w:rPr>
            </w:pPr>
          </w:p>
          <w:p w14:paraId="7DE93FC5">
            <w:pPr>
              <w:jc w:val="both"/>
              <w:rPr>
                <w:rFonts w:hint="default" w:ascii="Arial" w:hAnsi="Arial" w:eastAsia="宋体" w:cs="Arial"/>
                <w:i w:val="0"/>
                <w:iCs w:val="0"/>
                <w:sz w:val="22"/>
                <w:szCs w:val="22"/>
                <w:lang w:val="en-US" w:eastAsia="zh-CN"/>
              </w:rPr>
            </w:pPr>
            <w:r>
              <w:rPr>
                <w:rFonts w:hint="eastAsia" w:ascii="Arial" w:hAnsi="Arial" w:eastAsia="宋体" w:cs="Arial"/>
                <w:i w:val="0"/>
                <w:iCs w:val="0"/>
                <w:sz w:val="22"/>
                <w:szCs w:val="22"/>
                <w:lang w:val="en-US" w:eastAsia="zh-CN"/>
              </w:rPr>
              <w:t xml:space="preserve">With the acceleration of industrialization and urbanization, the survival space for intangible cultural heritage (ICH) has become increasingly constrained. Modern lifestyle have contributed to its gradual erosion, while excessive exploitation and developmental damage have caused varying degrees of harm to its forms of extensive(Wang, 2007). The traditional ICH handicrafts in Nanjing continue to face significant challenges in their current development. Firstly, as a living cultural heritage, the aging of inheritor groups poses a critical threat, with the younger generation showing a lack of interest, leading to the risk of inter-generational transmission being disrupted. Secondly, some handicrafts remain entrenched in traditional production and creation models, characterized by intricate and time-consuming techniques that fail to align with contemporary aesthetics and market demands. This has resulted in insufficient innovation and increasing product homogenization (Zhang, 2022). Lastly, promotional and dissemination efforts remain inadequate. In particular, in the context of the digital and intelligent era, the dissemination of ICH handicrafts lags behind, with limited integration with emerging platforms such as the internet and social media. </w:t>
            </w:r>
          </w:p>
          <w:p w14:paraId="370CF008">
            <w:pPr>
              <w:pStyle w:val="27"/>
              <w:numPr>
                <w:ilvl w:val="0"/>
                <w:numId w:val="0"/>
              </w:numPr>
              <w:autoSpaceDE w:val="0"/>
              <w:autoSpaceDN w:val="0"/>
              <w:adjustRightInd w:val="0"/>
              <w:contextualSpacing/>
              <w:rPr>
                <w:rFonts w:cs="Arial"/>
                <w:sz w:val="22"/>
                <w:szCs w:val="22"/>
              </w:rPr>
            </w:pPr>
          </w:p>
          <w:p w14:paraId="5E9EA634">
            <w:pPr>
              <w:pStyle w:val="27"/>
              <w:numPr>
                <w:ilvl w:val="0"/>
                <w:numId w:val="0"/>
              </w:numPr>
              <w:autoSpaceDE w:val="0"/>
              <w:autoSpaceDN w:val="0"/>
              <w:adjustRightInd w:val="0"/>
              <w:contextualSpacing/>
              <w:rPr>
                <w:rFonts w:cs="Arial"/>
                <w:b/>
                <w:bCs/>
                <w:sz w:val="22"/>
                <w:szCs w:val="22"/>
              </w:rPr>
            </w:pPr>
            <w:r>
              <w:rPr>
                <w:rFonts w:cs="Arial"/>
                <w:b/>
                <w:bCs/>
                <w:sz w:val="22"/>
                <w:szCs w:val="22"/>
              </w:rPr>
              <w:t>Explain why the research is significant and important.</w:t>
            </w:r>
          </w:p>
          <w:p w14:paraId="74C9146F">
            <w:pPr>
              <w:pStyle w:val="27"/>
              <w:numPr>
                <w:ilvl w:val="0"/>
                <w:numId w:val="0"/>
              </w:numPr>
              <w:autoSpaceDE w:val="0"/>
              <w:autoSpaceDN w:val="0"/>
              <w:adjustRightInd w:val="0"/>
              <w:contextualSpacing/>
              <w:jc w:val="both"/>
              <w:rPr>
                <w:rFonts w:hint="eastAsia" w:eastAsia="宋体" w:cs="Arial"/>
                <w:b w:val="0"/>
                <w:bCs w:val="0"/>
                <w:sz w:val="22"/>
                <w:szCs w:val="22"/>
                <w:lang w:val="en-US" w:eastAsia="zh-CN"/>
              </w:rPr>
            </w:pPr>
            <w:r>
              <w:rPr>
                <w:rFonts w:hint="eastAsia" w:eastAsia="宋体" w:cs="Arial"/>
                <w:b w:val="0"/>
                <w:bCs w:val="0"/>
                <w:sz w:val="22"/>
                <w:szCs w:val="22"/>
                <w:lang w:val="en-US" w:eastAsia="zh-CN"/>
              </w:rPr>
              <w:t>As the product of social practices and the wealth of human spiritual civilization, intangible cultural heritage (ICH) encompasses rich cultural, historical, artistic, and values (Zheng, 2023). Unlike tangible cultural heritage, ICH evolves continuously alongside human activities and social development. Thus, its preservation requires adaptation to technological, social, and environmental changes. The development of new technologies, in particular, presents both opportunities and challenges for traditional handicrafts. While technological innovation offers conveniences, it is essential to ensure cultural authenticity. Current research on the preservation and innovation of ICH primarily focuses on the following aspects:</w:t>
            </w:r>
          </w:p>
          <w:p w14:paraId="14DC6473">
            <w:pPr>
              <w:pStyle w:val="27"/>
              <w:numPr>
                <w:ilvl w:val="0"/>
                <w:numId w:val="0"/>
              </w:numPr>
              <w:autoSpaceDE w:val="0"/>
              <w:autoSpaceDN w:val="0"/>
              <w:adjustRightInd w:val="0"/>
              <w:contextualSpacing/>
              <w:jc w:val="both"/>
              <w:rPr>
                <w:rFonts w:hint="eastAsia" w:eastAsia="宋体" w:cs="Arial"/>
                <w:b w:val="0"/>
                <w:bCs w:val="0"/>
                <w:sz w:val="22"/>
                <w:szCs w:val="22"/>
                <w:lang w:val="en-US" w:eastAsia="zh-CN"/>
              </w:rPr>
            </w:pPr>
          </w:p>
          <w:p w14:paraId="5E7631C9">
            <w:pPr>
              <w:pStyle w:val="27"/>
              <w:numPr>
                <w:ilvl w:val="0"/>
                <w:numId w:val="0"/>
              </w:numPr>
              <w:autoSpaceDE w:val="0"/>
              <w:autoSpaceDN w:val="0"/>
              <w:adjustRightInd w:val="0"/>
              <w:contextualSpacing/>
              <w:jc w:val="both"/>
              <w:rPr>
                <w:rFonts w:hint="eastAsia" w:eastAsia="宋体" w:cs="Arial"/>
                <w:b/>
                <w:bCs/>
                <w:sz w:val="22"/>
                <w:szCs w:val="22"/>
                <w:lang w:val="en-US" w:eastAsia="zh-CN"/>
              </w:rPr>
            </w:pPr>
            <w:r>
              <w:rPr>
                <w:rFonts w:hint="eastAsia" w:eastAsia="宋体" w:cs="Arial"/>
                <w:b/>
                <w:bCs/>
                <w:sz w:val="22"/>
                <w:szCs w:val="22"/>
                <w:lang w:val="en-US" w:eastAsia="zh-CN"/>
              </w:rPr>
              <w:t>1.The importance of multimedia preservation of ICH</w:t>
            </w:r>
          </w:p>
          <w:p w14:paraId="299F8BEF">
            <w:pPr>
              <w:pStyle w:val="27"/>
              <w:numPr>
                <w:ilvl w:val="0"/>
                <w:numId w:val="0"/>
              </w:numPr>
              <w:autoSpaceDE w:val="0"/>
              <w:autoSpaceDN w:val="0"/>
              <w:adjustRightInd w:val="0"/>
              <w:contextualSpacing/>
              <w:jc w:val="both"/>
              <w:rPr>
                <w:rFonts w:hint="eastAsia" w:eastAsia="宋体" w:cs="Arial"/>
                <w:b w:val="0"/>
                <w:bCs w:val="0"/>
                <w:sz w:val="22"/>
                <w:szCs w:val="22"/>
                <w:lang w:val="en-US" w:eastAsia="zh-CN"/>
              </w:rPr>
            </w:pPr>
            <w:r>
              <w:rPr>
                <w:rFonts w:hint="eastAsia" w:eastAsia="宋体" w:cs="Arial"/>
                <w:b w:val="0"/>
                <w:bCs w:val="0"/>
                <w:sz w:val="22"/>
                <w:szCs w:val="22"/>
                <w:lang w:val="en-US" w:eastAsia="zh-CN"/>
              </w:rPr>
              <w:t>The body multi-sensory natural of craftsmanship highlights its potential for cross-disciplinary learning, where diverse knowledge systems can interconnect and extend or restructure industrial chains to revitalize the cultural ecosystem of handicrafts (Zhou, 2021).However, existing preservation efforts face two concerning trends: one is constructive destruction under the guise of enhanced preservation and utilization, and the other is protective destruction, such as the mass mechanical reproduction of handicrafts (Wang, 2013).</w:t>
            </w:r>
          </w:p>
          <w:p w14:paraId="3A6950FF">
            <w:pPr>
              <w:pStyle w:val="27"/>
              <w:numPr>
                <w:ilvl w:val="0"/>
                <w:numId w:val="0"/>
              </w:numPr>
              <w:autoSpaceDE w:val="0"/>
              <w:autoSpaceDN w:val="0"/>
              <w:adjustRightInd w:val="0"/>
              <w:contextualSpacing/>
              <w:jc w:val="both"/>
              <w:rPr>
                <w:rFonts w:hint="eastAsia" w:eastAsia="宋体" w:cs="Arial"/>
                <w:b w:val="0"/>
                <w:bCs w:val="0"/>
                <w:sz w:val="22"/>
                <w:szCs w:val="22"/>
                <w:lang w:val="en-US" w:eastAsia="zh-CN"/>
              </w:rPr>
            </w:pPr>
            <w:r>
              <w:rPr>
                <w:rFonts w:hint="eastAsia" w:eastAsia="宋体" w:cs="Arial"/>
                <w:b w:val="0"/>
                <w:bCs w:val="0"/>
                <w:sz w:val="22"/>
                <w:szCs w:val="22"/>
                <w:lang w:val="en-US" w:eastAsia="zh-CN"/>
              </w:rPr>
              <w:t>Therefore, the productive protection of handicrafts deserves special attention. Transforming handicrafts into economic resources can sustain the livelihood and practices of artisans, enabling the continuation of traditional production methods. Furthermore, this approach can scale up operations, expand markets, and promote the dissemination of these crafts.</w:t>
            </w:r>
          </w:p>
          <w:p w14:paraId="75416DE9">
            <w:pPr>
              <w:pStyle w:val="27"/>
              <w:numPr>
                <w:ilvl w:val="0"/>
                <w:numId w:val="0"/>
              </w:numPr>
              <w:autoSpaceDE w:val="0"/>
              <w:autoSpaceDN w:val="0"/>
              <w:adjustRightInd w:val="0"/>
              <w:contextualSpacing/>
              <w:jc w:val="both"/>
              <w:rPr>
                <w:rFonts w:hint="eastAsia" w:eastAsia="宋体" w:cs="Arial"/>
                <w:b/>
                <w:bCs/>
                <w:sz w:val="22"/>
                <w:szCs w:val="22"/>
                <w:lang w:val="en-US" w:eastAsia="zh-CN"/>
              </w:rPr>
            </w:pPr>
            <w:r>
              <w:rPr>
                <w:rFonts w:hint="eastAsia" w:eastAsia="宋体" w:cs="Arial"/>
                <w:b/>
                <w:bCs/>
                <w:sz w:val="22"/>
                <w:szCs w:val="22"/>
                <w:lang w:val="en-US" w:eastAsia="zh-CN"/>
              </w:rPr>
              <w:t xml:space="preserve">2.The necessity of inheritance and innovation  </w:t>
            </w:r>
          </w:p>
          <w:p w14:paraId="0637B54F">
            <w:pPr>
              <w:pStyle w:val="27"/>
              <w:numPr>
                <w:ilvl w:val="0"/>
                <w:numId w:val="0"/>
              </w:numPr>
              <w:autoSpaceDE w:val="0"/>
              <w:autoSpaceDN w:val="0"/>
              <w:adjustRightInd w:val="0"/>
              <w:contextualSpacing/>
              <w:jc w:val="both"/>
              <w:rPr>
                <w:rFonts w:hint="eastAsia" w:eastAsia="宋体" w:cs="Arial"/>
                <w:b w:val="0"/>
                <w:bCs w:val="0"/>
                <w:sz w:val="22"/>
                <w:szCs w:val="22"/>
                <w:lang w:val="en-US" w:eastAsia="zh-CN"/>
              </w:rPr>
            </w:pPr>
            <w:r>
              <w:rPr>
                <w:rFonts w:hint="eastAsia" w:eastAsia="宋体" w:cs="Arial"/>
                <w:b w:val="0"/>
                <w:bCs w:val="0"/>
                <w:sz w:val="22"/>
                <w:szCs w:val="22"/>
                <w:lang w:val="en-US" w:eastAsia="zh-CN"/>
              </w:rPr>
              <w:t>First, ICH represents the living manifestation of human cultural, characterized by its communicability and continuity. Inheritance is fundamental to ICH, as its perpetuation relies on the oral and experiential transmission of knowledge by its practitioners, ensuring its generational continuity(Wang, 2013). Second, innovation is the source of vitality for handicraft ICH, making it an intrinsic aspect of its natural evolution (Zhou, 2021). While the preservation of original forms is critical, adapting to social changes and modern demands requires measured innovation, which is not only possible but essential for achieving sustainable development.In addition, The Convention for the Safeguarding of Intangible Cultural Heritage which organized by UNESCO emphasize the profound value of ICH: 1.ICH is vivid manifestation of the world</w:t>
            </w:r>
            <w:r>
              <w:rPr>
                <w:rFonts w:hint="default" w:eastAsia="宋体" w:cs="Arial"/>
                <w:b w:val="0"/>
                <w:bCs w:val="0"/>
                <w:sz w:val="22"/>
                <w:szCs w:val="22"/>
                <w:lang w:val="en-US" w:eastAsia="zh-CN"/>
              </w:rPr>
              <w:t>’</w:t>
            </w:r>
            <w:r>
              <w:rPr>
                <w:rFonts w:hint="eastAsia" w:eastAsia="宋体" w:cs="Arial"/>
                <w:b w:val="0"/>
                <w:bCs w:val="0"/>
                <w:sz w:val="22"/>
                <w:szCs w:val="22"/>
                <w:lang w:val="en-US" w:eastAsia="zh-CN"/>
              </w:rPr>
              <w:t>s cultural diverstiy; 2.ICH reflects human creativity; 3.ICH ensure sustainable development for human society; 4.ICH serves as a crucial channel for foster human connection. Communication, and mutual understanding.</w:t>
            </w:r>
          </w:p>
          <w:p w14:paraId="6E3F9ED9">
            <w:pPr>
              <w:pStyle w:val="27"/>
              <w:numPr>
                <w:ilvl w:val="0"/>
                <w:numId w:val="0"/>
              </w:numPr>
              <w:autoSpaceDE w:val="0"/>
              <w:autoSpaceDN w:val="0"/>
              <w:adjustRightInd w:val="0"/>
              <w:contextualSpacing/>
              <w:jc w:val="both"/>
              <w:rPr>
                <w:rFonts w:hint="eastAsia" w:eastAsia="宋体" w:cs="Arial"/>
                <w:b/>
                <w:bCs/>
                <w:sz w:val="22"/>
                <w:szCs w:val="22"/>
                <w:lang w:val="en-US" w:eastAsia="zh-CN"/>
              </w:rPr>
            </w:pPr>
            <w:r>
              <w:rPr>
                <w:rFonts w:hint="eastAsia" w:eastAsia="宋体" w:cs="Arial"/>
                <w:b/>
                <w:bCs/>
                <w:sz w:val="22"/>
                <w:szCs w:val="22"/>
                <w:lang w:val="en-US" w:eastAsia="zh-CN"/>
              </w:rPr>
              <w:t>3.Integration and innovation of ICH and new technologies</w:t>
            </w:r>
          </w:p>
          <w:p w14:paraId="1EF5F3AC">
            <w:pPr>
              <w:pStyle w:val="27"/>
              <w:numPr>
                <w:ilvl w:val="0"/>
                <w:numId w:val="0"/>
              </w:numPr>
              <w:autoSpaceDE w:val="0"/>
              <w:autoSpaceDN w:val="0"/>
              <w:adjustRightInd w:val="0"/>
              <w:contextualSpacing/>
              <w:jc w:val="both"/>
              <w:rPr>
                <w:rFonts w:hint="default" w:ascii="Arial" w:hAnsi="Arial" w:eastAsia="微软雅黑" w:cs="Arial"/>
                <w:b w:val="0"/>
                <w:bCs w:val="0"/>
                <w:sz w:val="22"/>
                <w:szCs w:val="22"/>
                <w:lang w:val="en-US" w:eastAsia="zh-CN"/>
              </w:rPr>
            </w:pPr>
            <w:r>
              <w:rPr>
                <w:rFonts w:hint="default" w:ascii="Arial" w:hAnsi="Arial" w:eastAsia="微软雅黑" w:cs="Arial"/>
                <w:b w:val="0"/>
                <w:bCs w:val="0"/>
                <w:sz w:val="22"/>
                <w:szCs w:val="22"/>
                <w:lang w:val="en-US" w:eastAsia="zh-CN"/>
              </w:rPr>
              <w:t>The integration of ICH with new technologies represents an inevitable trend for cultural prosperity and development. ICH is inherently shaped by regional cultural fusion and cultural transformation, necessitating targeted and practical approaches to digital preservation and innovation.Far from being a threat, new technologies offer exceptional opportunities for recording and disseminating ICH. The integration of technology can create innovative methods that emphasize education, training, and interactive teaching for ICH preservation, rather than mere documentation(Alivizatou, 2017). The concept of “creative transformation and innovative development” underscores the importance of addressing the interplay between tradition and modernity in current cultural context. As stated by Yi Lin (2021), “all history is contemporary history,” and enabling ICH to thrive in contemporary life will unleash new development momentum.</w:t>
            </w:r>
          </w:p>
          <w:p w14:paraId="17B3A075">
            <w:pPr>
              <w:pStyle w:val="27"/>
              <w:numPr>
                <w:ilvl w:val="0"/>
                <w:numId w:val="0"/>
              </w:numPr>
              <w:autoSpaceDE w:val="0"/>
              <w:autoSpaceDN w:val="0"/>
              <w:adjustRightInd w:val="0"/>
              <w:contextualSpacing/>
              <w:jc w:val="both"/>
              <w:rPr>
                <w:rFonts w:hint="eastAsia" w:eastAsia="宋体" w:cs="Arial"/>
                <w:b w:val="0"/>
                <w:bCs w:val="0"/>
                <w:sz w:val="22"/>
                <w:szCs w:val="22"/>
                <w:lang w:val="en-US" w:eastAsia="zh-CN"/>
              </w:rPr>
            </w:pPr>
          </w:p>
          <w:p w14:paraId="6887045E">
            <w:pPr>
              <w:pStyle w:val="27"/>
              <w:numPr>
                <w:ilvl w:val="0"/>
                <w:numId w:val="0"/>
              </w:numPr>
              <w:autoSpaceDE w:val="0"/>
              <w:autoSpaceDN w:val="0"/>
              <w:adjustRightInd w:val="0"/>
              <w:contextualSpacing/>
              <w:jc w:val="both"/>
              <w:rPr>
                <w:rFonts w:hint="default" w:eastAsia="宋体" w:cs="Arial"/>
                <w:b w:val="0"/>
                <w:bCs w:val="0"/>
                <w:sz w:val="22"/>
                <w:szCs w:val="22"/>
                <w:lang w:val="en-US" w:eastAsia="zh-CN"/>
              </w:rPr>
            </w:pPr>
          </w:p>
          <w:p w14:paraId="159A4292">
            <w:pPr>
              <w:pStyle w:val="27"/>
              <w:numPr>
                <w:ilvl w:val="0"/>
                <w:numId w:val="0"/>
              </w:numPr>
              <w:autoSpaceDE w:val="0"/>
              <w:autoSpaceDN w:val="0"/>
              <w:adjustRightInd w:val="0"/>
              <w:contextualSpacing/>
              <w:rPr>
                <w:rFonts w:hint="eastAsia" w:ascii="微软雅黑" w:hAnsi="微软雅黑" w:eastAsia="微软雅黑" w:cs="微软雅黑"/>
                <w:sz w:val="22"/>
                <w:szCs w:val="22"/>
                <w:lang w:eastAsia="zh-CN"/>
              </w:rPr>
            </w:pPr>
          </w:p>
        </w:tc>
      </w:tr>
      <w:tr w14:paraId="5BABABC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7" w:hRule="atLeast"/>
        </w:trPr>
        <w:tc>
          <w:tcPr>
            <w:tcW w:w="9781" w:type="dxa"/>
            <w:shd w:val="clear" w:color="auto" w:fill="F1F1F1" w:themeFill="background1" w:themeFillShade="F2"/>
            <w:vAlign w:val="center"/>
          </w:tcPr>
          <w:p w14:paraId="2B5B6BE6">
            <w:pPr>
              <w:rPr>
                <w:rFonts w:cs="Arial"/>
                <w:sz w:val="22"/>
                <w:szCs w:val="22"/>
                <w:lang w:eastAsia="zh-CN"/>
              </w:rPr>
            </w:pPr>
          </w:p>
          <w:p w14:paraId="6D47198A">
            <w:pPr>
              <w:rPr>
                <w:rFonts w:hint="default" w:eastAsia="宋体" w:cs="Arial"/>
                <w:sz w:val="22"/>
                <w:szCs w:val="22"/>
                <w:lang w:val="en-US" w:eastAsia="zh-CN"/>
              </w:rPr>
            </w:pPr>
            <w:r>
              <w:rPr>
                <w:rFonts w:cs="Arial"/>
                <w:sz w:val="22"/>
                <w:szCs w:val="22"/>
              </w:rPr>
              <w:t>Aims and Objectives (approx.. 250 – 500 words)</w:t>
            </w:r>
            <w:r>
              <w:rPr>
                <w:rFonts w:hint="eastAsia" w:eastAsia="宋体" w:cs="Arial"/>
                <w:sz w:val="22"/>
                <w:szCs w:val="22"/>
                <w:lang w:val="en-US" w:eastAsia="zh-CN"/>
              </w:rPr>
              <w:t xml:space="preserve">    5个左右即可framework</w:t>
            </w:r>
          </w:p>
        </w:tc>
      </w:tr>
      <w:tr w14:paraId="1AEA88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7" w:hRule="atLeast"/>
        </w:trPr>
        <w:tc>
          <w:tcPr>
            <w:tcW w:w="9781" w:type="dxa"/>
            <w:vAlign w:val="center"/>
          </w:tcPr>
          <w:p w14:paraId="63EAF498">
            <w:pPr>
              <w:rPr>
                <w:rFonts w:cs="Arial"/>
                <w:sz w:val="22"/>
                <w:szCs w:val="22"/>
              </w:rPr>
            </w:pPr>
            <w:r>
              <w:rPr>
                <w:rFonts w:cs="Arial"/>
                <w:sz w:val="22"/>
                <w:szCs w:val="22"/>
              </w:rPr>
              <w:t>In this section you will need to:</w:t>
            </w:r>
          </w:p>
          <w:p w14:paraId="78692B86">
            <w:pPr>
              <w:pStyle w:val="27"/>
              <w:numPr>
                <w:ilvl w:val="0"/>
                <w:numId w:val="2"/>
              </w:numPr>
              <w:autoSpaceDE w:val="0"/>
              <w:autoSpaceDN w:val="0"/>
              <w:adjustRightInd w:val="0"/>
              <w:contextualSpacing/>
              <w:rPr>
                <w:rFonts w:cs="Arial"/>
                <w:sz w:val="22"/>
                <w:szCs w:val="22"/>
              </w:rPr>
            </w:pPr>
            <w:r>
              <w:rPr>
                <w:rFonts w:cs="Arial"/>
                <w:sz w:val="22"/>
                <w:szCs w:val="22"/>
              </w:rPr>
              <w:t>Explain what you want to achieve through the research.</w:t>
            </w:r>
            <w:r>
              <w:rPr>
                <w:rFonts w:hint="eastAsia" w:ascii="微软雅黑" w:hAnsi="微软雅黑" w:eastAsia="微软雅黑" w:cs="微软雅黑"/>
                <w:sz w:val="22"/>
                <w:szCs w:val="22"/>
                <w:lang w:eastAsia="zh-CN"/>
              </w:rPr>
              <w:t xml:space="preserve"> </w:t>
            </w:r>
          </w:p>
          <w:p w14:paraId="5718F722">
            <w:pPr>
              <w:pStyle w:val="27"/>
              <w:numPr>
                <w:ilvl w:val="0"/>
                <w:numId w:val="2"/>
              </w:numPr>
              <w:autoSpaceDE w:val="0"/>
              <w:autoSpaceDN w:val="0"/>
              <w:adjustRightInd w:val="0"/>
              <w:contextualSpacing/>
              <w:rPr>
                <w:rFonts w:cs="Arial"/>
                <w:sz w:val="22"/>
                <w:szCs w:val="22"/>
              </w:rPr>
            </w:pPr>
            <w:r>
              <w:rPr>
                <w:rFonts w:cs="Arial"/>
                <w:sz w:val="22"/>
                <w:szCs w:val="22"/>
              </w:rPr>
              <w:t>Outline the aims of the research.</w:t>
            </w:r>
            <w:r>
              <w:rPr>
                <w:rFonts w:hint="eastAsia" w:cs="Arial"/>
                <w:sz w:val="22"/>
                <w:szCs w:val="22"/>
              </w:rPr>
              <w:t xml:space="preserve"> </w:t>
            </w:r>
          </w:p>
          <w:p w14:paraId="37BAEE1F">
            <w:pPr>
              <w:pStyle w:val="27"/>
              <w:numPr>
                <w:ilvl w:val="0"/>
                <w:numId w:val="0"/>
              </w:numPr>
              <w:autoSpaceDE w:val="0"/>
              <w:autoSpaceDN w:val="0"/>
              <w:adjustRightInd w:val="0"/>
              <w:ind w:left="360" w:leftChars="0"/>
              <w:contextualSpacing/>
              <w:rPr>
                <w:rFonts w:cs="Arial"/>
                <w:sz w:val="22"/>
                <w:szCs w:val="22"/>
              </w:rPr>
            </w:pPr>
          </w:p>
          <w:p w14:paraId="4AC58DE2">
            <w:pPr>
              <w:pStyle w:val="27"/>
              <w:numPr>
                <w:ilvl w:val="0"/>
                <w:numId w:val="0"/>
              </w:numPr>
              <w:autoSpaceDE w:val="0"/>
              <w:autoSpaceDN w:val="0"/>
              <w:adjustRightInd w:val="0"/>
              <w:contextualSpacing/>
              <w:jc w:val="both"/>
              <w:rPr>
                <w:rFonts w:hint="default" w:ascii="Arial" w:hAnsi="Arial" w:eastAsia="微软雅黑" w:cs="Arial"/>
                <w:sz w:val="22"/>
                <w:szCs w:val="22"/>
                <w:u w:val="none" w:color="auto"/>
                <w:lang w:val="en-US" w:eastAsia="zh-CN"/>
              </w:rPr>
            </w:pPr>
            <w:r>
              <w:rPr>
                <w:rFonts w:hint="default" w:ascii="Arial" w:hAnsi="Arial" w:eastAsia="微软雅黑" w:cs="Arial"/>
                <w:sz w:val="22"/>
                <w:szCs w:val="22"/>
                <w:u w:val="none" w:color="auto"/>
                <w:lang w:val="en-US" w:eastAsia="zh-CN"/>
              </w:rPr>
              <w:t>Until 2018, There were a total of 194 Intangible Cultural Heritage (ICH) items submitted for registration by Nanjing, with 31 items under “Traditional Arts” and 24 under “Traditional Craftsmanship” together accounting for 28%. Nevertheless, many ICH items face challenges of succession, with a significant risk of being lost. Despite this, there has been limited research focusing on innovative design approaches, particularly regarding the use of emerging generative artificial intelligence (AI) tools to assist innovation. This research adopts the perspective of ICH handicraft practitioners and inheritors, addressing five key research questions:</w:t>
            </w:r>
          </w:p>
          <w:p w14:paraId="6DBDBB2E">
            <w:pPr>
              <w:pStyle w:val="27"/>
              <w:numPr>
                <w:ilvl w:val="0"/>
                <w:numId w:val="0"/>
              </w:numPr>
              <w:autoSpaceDE w:val="0"/>
              <w:autoSpaceDN w:val="0"/>
              <w:adjustRightInd w:val="0"/>
              <w:contextualSpacing/>
              <w:rPr>
                <w:rFonts w:hint="default" w:ascii="Arial" w:hAnsi="Arial" w:eastAsia="微软雅黑" w:cs="Arial"/>
                <w:b/>
                <w:bCs/>
                <w:sz w:val="22"/>
                <w:szCs w:val="22"/>
                <w:u w:val="none" w:color="auto"/>
                <w:lang w:val="en-US" w:eastAsia="zh-CN"/>
              </w:rPr>
            </w:pPr>
            <w:r>
              <w:rPr>
                <w:rFonts w:hint="default" w:ascii="Arial" w:hAnsi="Arial" w:eastAsia="微软雅黑" w:cs="Arial"/>
                <w:b/>
                <w:bCs/>
                <w:sz w:val="22"/>
                <w:szCs w:val="22"/>
                <w:u w:val="none" w:color="auto"/>
                <w:lang w:val="en-US" w:eastAsia="zh-CN"/>
              </w:rPr>
              <w:t>1.What are the creative processes and models employed by practitioners of intangible cultural heritage handicraft in Nanjing?</w:t>
            </w:r>
          </w:p>
          <w:p w14:paraId="57784DA2">
            <w:pPr>
              <w:pStyle w:val="27"/>
              <w:numPr>
                <w:ilvl w:val="0"/>
                <w:numId w:val="0"/>
              </w:numPr>
              <w:autoSpaceDE w:val="0"/>
              <w:autoSpaceDN w:val="0"/>
              <w:adjustRightInd w:val="0"/>
              <w:contextualSpacing/>
              <w:rPr>
                <w:rFonts w:hint="default" w:ascii="Arial" w:hAnsi="Arial" w:eastAsia="微软雅黑" w:cs="Arial"/>
                <w:b/>
                <w:bCs/>
                <w:sz w:val="22"/>
                <w:szCs w:val="22"/>
                <w:u w:val="none" w:color="auto"/>
                <w:lang w:val="en-US" w:eastAsia="zh-CN"/>
              </w:rPr>
            </w:pPr>
            <w:r>
              <w:rPr>
                <w:rFonts w:hint="default" w:ascii="Arial" w:hAnsi="Arial" w:eastAsia="微软雅黑" w:cs="Arial"/>
                <w:b/>
                <w:bCs/>
                <w:sz w:val="22"/>
                <w:szCs w:val="22"/>
                <w:u w:val="none" w:color="auto"/>
                <w:lang w:val="en-US" w:eastAsia="zh-CN"/>
              </w:rPr>
              <w:t>2.What are their perspectives and attitudes toward AI-assisted creative processes and models?</w:t>
            </w:r>
          </w:p>
          <w:p w14:paraId="7C0D8ACE">
            <w:pPr>
              <w:pStyle w:val="27"/>
              <w:numPr>
                <w:ilvl w:val="0"/>
                <w:numId w:val="0"/>
              </w:numPr>
              <w:autoSpaceDE w:val="0"/>
              <w:autoSpaceDN w:val="0"/>
              <w:adjustRightInd w:val="0"/>
              <w:contextualSpacing/>
              <w:rPr>
                <w:rFonts w:hint="default" w:ascii="Arial" w:hAnsi="Arial" w:eastAsia="微软雅黑" w:cs="Arial"/>
                <w:b/>
                <w:bCs/>
                <w:sz w:val="22"/>
                <w:szCs w:val="22"/>
                <w:u w:val="none" w:color="auto"/>
                <w:lang w:val="en-US" w:eastAsia="zh-CN"/>
              </w:rPr>
            </w:pPr>
            <w:r>
              <w:rPr>
                <w:rFonts w:hint="default" w:ascii="Arial" w:hAnsi="Arial" w:eastAsia="微软雅黑" w:cs="Arial"/>
                <w:b/>
                <w:bCs/>
                <w:sz w:val="22"/>
                <w:szCs w:val="22"/>
                <w:u w:val="none" w:color="auto"/>
                <w:lang w:val="en-US" w:eastAsia="zh-CN"/>
              </w:rPr>
              <w:t>3.How receptive are they to AIGC (Artificial Intelligence-Generated Content) works?</w:t>
            </w:r>
          </w:p>
          <w:p w14:paraId="0631D20A">
            <w:pPr>
              <w:pStyle w:val="27"/>
              <w:numPr>
                <w:ilvl w:val="0"/>
                <w:numId w:val="0"/>
              </w:numPr>
              <w:autoSpaceDE w:val="0"/>
              <w:autoSpaceDN w:val="0"/>
              <w:adjustRightInd w:val="0"/>
              <w:contextualSpacing/>
              <w:rPr>
                <w:rFonts w:hint="default" w:ascii="Arial" w:hAnsi="Arial" w:eastAsia="微软雅黑" w:cs="Arial"/>
                <w:b/>
                <w:bCs/>
                <w:sz w:val="22"/>
                <w:szCs w:val="22"/>
                <w:u w:val="none" w:color="auto"/>
                <w:lang w:val="en-US" w:eastAsia="zh-CN"/>
              </w:rPr>
            </w:pPr>
            <w:r>
              <w:rPr>
                <w:rFonts w:hint="default" w:ascii="Arial" w:hAnsi="Arial" w:eastAsia="微软雅黑" w:cs="Arial"/>
                <w:b/>
                <w:bCs/>
                <w:sz w:val="22"/>
                <w:szCs w:val="22"/>
                <w:u w:val="none" w:color="auto"/>
                <w:lang w:val="en-US" w:eastAsia="zh-CN"/>
              </w:rPr>
              <w:t>4.How do the cultural environment and community surrounding the artisans influence their views or attitudes?</w:t>
            </w:r>
          </w:p>
          <w:p w14:paraId="77B7AB74">
            <w:pPr>
              <w:pStyle w:val="27"/>
              <w:numPr>
                <w:ilvl w:val="0"/>
                <w:numId w:val="0"/>
              </w:numPr>
              <w:autoSpaceDE w:val="0"/>
              <w:autoSpaceDN w:val="0"/>
              <w:adjustRightInd w:val="0"/>
              <w:contextualSpacing/>
              <w:rPr>
                <w:rFonts w:hint="default" w:ascii="Arial" w:hAnsi="Arial" w:eastAsia="微软雅黑" w:cs="Arial"/>
                <w:b/>
                <w:bCs/>
                <w:sz w:val="22"/>
                <w:szCs w:val="22"/>
                <w:u w:val="none" w:color="auto"/>
                <w:lang w:val="en-US" w:eastAsia="zh-CN"/>
              </w:rPr>
            </w:pPr>
            <w:r>
              <w:rPr>
                <w:rFonts w:hint="default" w:ascii="Arial" w:hAnsi="Arial" w:eastAsia="微软雅黑" w:cs="Arial"/>
                <w:b/>
                <w:bCs/>
                <w:sz w:val="22"/>
                <w:szCs w:val="22"/>
                <w:u w:val="none" w:color="auto"/>
                <w:lang w:val="en-US" w:eastAsia="zh-CN"/>
              </w:rPr>
              <w:t>5.How can innovation be achieved while ensuring the authenticity of Intangible Cultural Heritage?</w:t>
            </w:r>
          </w:p>
          <w:p w14:paraId="5104B27C">
            <w:pPr>
              <w:pStyle w:val="27"/>
              <w:numPr>
                <w:ilvl w:val="0"/>
                <w:numId w:val="0"/>
              </w:numPr>
              <w:autoSpaceDE w:val="0"/>
              <w:autoSpaceDN w:val="0"/>
              <w:adjustRightInd w:val="0"/>
              <w:contextualSpacing/>
              <w:jc w:val="both"/>
              <w:rPr>
                <w:rFonts w:hint="default" w:ascii="Arial" w:hAnsi="Arial" w:eastAsia="微软雅黑" w:cs="Arial"/>
                <w:sz w:val="22"/>
                <w:szCs w:val="22"/>
                <w:u w:val="none" w:color="auto"/>
                <w:lang w:val="en-US" w:eastAsia="zh-CN"/>
              </w:rPr>
            </w:pPr>
            <w:r>
              <w:rPr>
                <w:rFonts w:hint="default" w:ascii="Arial" w:hAnsi="Arial" w:eastAsia="微软雅黑" w:cs="Arial"/>
                <w:sz w:val="22"/>
                <w:szCs w:val="22"/>
                <w:u w:val="none" w:color="auto"/>
                <w:lang w:val="en-US" w:eastAsia="zh-CN"/>
              </w:rPr>
              <w:t>This research aims to provide a theoretical foundation for the preservation and innovation of ICH handicrafts in Nanjing. Against the backdrop of modern urbanization, it explores methods of transmission and innovation based on both tangible products and intangible experiences from the perspective of ICH practitioners. Additionally, the study seeks to lay the groundwork for the revitalization of the ICH industry and its integration into broader markets.</w:t>
            </w:r>
          </w:p>
          <w:p w14:paraId="448EA85A">
            <w:pPr>
              <w:pStyle w:val="27"/>
              <w:numPr>
                <w:ilvl w:val="0"/>
                <w:numId w:val="0"/>
              </w:numPr>
              <w:autoSpaceDE w:val="0"/>
              <w:autoSpaceDN w:val="0"/>
              <w:adjustRightInd w:val="0"/>
              <w:contextualSpacing/>
              <w:jc w:val="both"/>
              <w:rPr>
                <w:rFonts w:hint="default" w:ascii="Arial" w:hAnsi="Arial" w:eastAsia="微软雅黑" w:cs="Arial"/>
                <w:sz w:val="22"/>
                <w:szCs w:val="22"/>
                <w:u w:val="none" w:color="auto"/>
                <w:lang w:val="en-US" w:eastAsia="zh-CN"/>
              </w:rPr>
            </w:pPr>
            <w:r>
              <w:rPr>
                <w:rFonts w:hint="default" w:ascii="Arial" w:hAnsi="Arial" w:eastAsia="微软雅黑" w:cs="Arial"/>
                <w:sz w:val="22"/>
                <w:szCs w:val="22"/>
                <w:u w:val="none" w:color="auto"/>
                <w:lang w:val="en-US" w:eastAsia="zh-CN"/>
              </w:rPr>
              <w:t>Through a review of literature, it can be observed that innovation in handicrafts is fundamentally built upon the foundation of inheritance. From the perspective of individual artisans, experiential skills, tacit knowledge (Polanyi, 2009), and aesthetic values are often unconsciously embodied in their practices. Cultural transmission is a natural outcome of this process rather than its explicit goal(Swartz, 2012). Regarding the challenges in the inheritance and innovation of intangible cultural heritage (ICH), scholars have identified several key obstacles: (1) The generational gap among inheritors and insufficient participation by younger individuals. (2) Difficulties in commercialization. (3) Lack of innovation leading to product homogenization. (4) Insufficient digitization and media promotion. (5) Limited government funding and support. (6) A lack of cultural identity and recognition (Fu, 2008) (Gao, 2019) (Ma, 2021) (Zheng, 2023) (Chen, 2010). Current research on how ICH handicrafts can innovate within the framework of inheritance primarily focuses on three aspects:</w:t>
            </w:r>
          </w:p>
          <w:p w14:paraId="32B361EC">
            <w:pPr>
              <w:pStyle w:val="27"/>
              <w:numPr>
                <w:ilvl w:val="0"/>
                <w:numId w:val="0"/>
              </w:numPr>
              <w:autoSpaceDE w:val="0"/>
              <w:autoSpaceDN w:val="0"/>
              <w:adjustRightInd w:val="0"/>
              <w:contextualSpacing/>
              <w:rPr>
                <w:rFonts w:hint="default" w:ascii="Arial" w:hAnsi="Arial" w:eastAsia="微软雅黑" w:cs="Arial"/>
                <w:b/>
                <w:bCs/>
                <w:sz w:val="22"/>
                <w:szCs w:val="22"/>
                <w:u w:val="none" w:color="auto"/>
                <w:lang w:val="en-US" w:eastAsia="zh-CN"/>
              </w:rPr>
            </w:pPr>
            <w:r>
              <w:rPr>
                <w:rFonts w:hint="default" w:ascii="Arial" w:hAnsi="Arial" w:eastAsia="微软雅黑" w:cs="Arial"/>
                <w:b/>
                <w:bCs/>
                <w:sz w:val="22"/>
                <w:szCs w:val="22"/>
                <w:u w:val="none" w:color="auto"/>
                <w:lang w:val="en-US" w:eastAsia="zh-CN"/>
              </w:rPr>
              <w:t>1.Cultural Adaptation Perspective</w:t>
            </w:r>
          </w:p>
          <w:p w14:paraId="35F86ABD">
            <w:pPr>
              <w:pStyle w:val="27"/>
              <w:numPr>
                <w:ilvl w:val="0"/>
                <w:numId w:val="0"/>
              </w:numPr>
              <w:autoSpaceDE w:val="0"/>
              <w:autoSpaceDN w:val="0"/>
              <w:adjustRightInd w:val="0"/>
              <w:contextualSpacing/>
              <w:jc w:val="both"/>
              <w:rPr>
                <w:rFonts w:hint="default" w:ascii="Arial" w:hAnsi="Arial" w:eastAsia="微软雅黑" w:cs="Arial"/>
                <w:sz w:val="22"/>
                <w:szCs w:val="22"/>
                <w:u w:val="none" w:color="auto"/>
                <w:lang w:val="en-US" w:eastAsia="zh-CN"/>
              </w:rPr>
            </w:pPr>
            <w:r>
              <w:rPr>
                <w:rFonts w:hint="default" w:ascii="Arial" w:hAnsi="Arial" w:eastAsia="微软雅黑" w:cs="Arial"/>
                <w:sz w:val="22"/>
                <w:szCs w:val="22"/>
                <w:u w:val="none" w:color="auto"/>
                <w:lang w:val="en-US" w:eastAsia="zh-CN"/>
              </w:rPr>
              <w:t>From the perspective of cultural adaptation, Zhou (2021) suggests that innovative inheritance should unfold across four dimensions: content, form, production, and dissemination. This includes innovation in ideas and cognition, skills and techniques, the handicraft industry chain, and the re-mediation of craft culture through multimedia dissemination. Ji and Chen (2019) argue that shaping the public image of traditional handicrafts and promoting their modern aesthetic value to cultivate a consumer group with cultural recognition is essential. They emphasize the notion of  “innvation within inheritance.”Zhu (2015) suggests that the best way to ensure the productive protection of ICH handicrafts is to preserve their core techniques and values within everyday life, keeping them closely connected to the public and perpetuating them sustainably through living traditions. In summary, the cultural adaptation perspective underscores the importance of ensuring that traditional cultural maintains cohesion, a sense of belonging, and cultural identity in new environments while responding to societal demands.</w:t>
            </w:r>
          </w:p>
          <w:p w14:paraId="73054DDC">
            <w:pPr>
              <w:pStyle w:val="27"/>
              <w:numPr>
                <w:ilvl w:val="0"/>
                <w:numId w:val="0"/>
              </w:numPr>
              <w:autoSpaceDE w:val="0"/>
              <w:autoSpaceDN w:val="0"/>
              <w:adjustRightInd w:val="0"/>
              <w:contextualSpacing/>
              <w:rPr>
                <w:rFonts w:hint="default" w:ascii="Arial" w:hAnsi="Arial" w:eastAsia="微软雅黑" w:cs="Arial"/>
                <w:b/>
                <w:bCs/>
                <w:sz w:val="22"/>
                <w:szCs w:val="22"/>
                <w:u w:val="none" w:color="auto"/>
                <w:lang w:val="en-US" w:eastAsia="zh-CN"/>
              </w:rPr>
            </w:pPr>
            <w:r>
              <w:rPr>
                <w:rFonts w:hint="default" w:ascii="Arial" w:hAnsi="Arial" w:eastAsia="微软雅黑" w:cs="Arial"/>
                <w:b/>
                <w:bCs/>
                <w:sz w:val="22"/>
                <w:szCs w:val="22"/>
                <w:u w:val="none" w:color="auto"/>
                <w:lang w:val="en-US" w:eastAsia="zh-CN"/>
              </w:rPr>
              <w:t>2.Cultural Industry Perspective</w:t>
            </w:r>
          </w:p>
          <w:p w14:paraId="4616EA16">
            <w:pPr>
              <w:pStyle w:val="27"/>
              <w:numPr>
                <w:ilvl w:val="0"/>
                <w:numId w:val="0"/>
              </w:numPr>
              <w:autoSpaceDE w:val="0"/>
              <w:autoSpaceDN w:val="0"/>
              <w:adjustRightInd w:val="0"/>
              <w:contextualSpacing/>
              <w:jc w:val="both"/>
              <w:rPr>
                <w:rFonts w:hint="default" w:ascii="Arial" w:hAnsi="Arial" w:eastAsia="微软雅黑" w:cs="Arial"/>
                <w:sz w:val="22"/>
                <w:szCs w:val="22"/>
                <w:u w:val="none" w:color="auto"/>
                <w:lang w:val="en-US" w:eastAsia="zh-CN"/>
              </w:rPr>
            </w:pPr>
            <w:r>
              <w:rPr>
                <w:rFonts w:hint="default" w:ascii="Arial" w:hAnsi="Arial" w:eastAsia="微软雅黑" w:cs="Arial"/>
                <w:sz w:val="22"/>
                <w:szCs w:val="22"/>
                <w:u w:val="none" w:color="auto"/>
                <w:lang w:val="en-US" w:eastAsia="zh-CN"/>
              </w:rPr>
              <w:t>The significance of ICH in tourism has been widely acknowledged (Casey, 2013; Chen, 2020; Esfehani &amp; Albrecht, 2018; Park, 2011; Su, 2019). Scholars suggest that transforming ICH resources into cultural industries can not only revitalize local craft ecosystems but also contribute positively to sustainable development and inclusive economic growth (Qian, 2019). Collaborations with industries such as fashion and tourism enable artisans to innovate in product design and brand promotion, aligning traditional crafts with contemporary consumer trends (Lan &amp;Han, 2014) (Ariffin, 2023).</w:t>
            </w:r>
          </w:p>
          <w:p w14:paraId="22D65878">
            <w:pPr>
              <w:pStyle w:val="27"/>
              <w:numPr>
                <w:ilvl w:val="0"/>
                <w:numId w:val="0"/>
              </w:numPr>
              <w:autoSpaceDE w:val="0"/>
              <w:autoSpaceDN w:val="0"/>
              <w:adjustRightInd w:val="0"/>
              <w:contextualSpacing/>
              <w:jc w:val="both"/>
              <w:rPr>
                <w:rFonts w:hint="default" w:ascii="Arial" w:hAnsi="Arial" w:eastAsia="微软雅黑" w:cs="Arial"/>
                <w:sz w:val="22"/>
                <w:szCs w:val="22"/>
                <w:u w:val="none" w:color="auto"/>
                <w:lang w:val="en-US" w:eastAsia="zh-CN"/>
              </w:rPr>
            </w:pPr>
            <w:r>
              <w:rPr>
                <w:rFonts w:hint="default" w:ascii="Arial" w:hAnsi="Arial" w:eastAsia="微软雅黑" w:cs="Arial"/>
                <w:sz w:val="22"/>
                <w:szCs w:val="22"/>
                <w:u w:val="none" w:color="auto"/>
                <w:lang w:val="en-US" w:eastAsia="zh-CN"/>
              </w:rPr>
              <w:t xml:space="preserve">However, debates remain regarding the  potential harm of cultural industry to the authenticity of ICH. Critics argue that cultural and creative products and tourism may lead to over-commercialization, making innovation and protection appear mutually exclusive. Furthermore, they contend that the greatest value of ICH lies in its historical significance, which should not be altered or innovated (Huang, 2011) (Yuan, 2016). </w:t>
            </w:r>
          </w:p>
          <w:p w14:paraId="139C8751">
            <w:pPr>
              <w:pStyle w:val="27"/>
              <w:numPr>
                <w:ilvl w:val="0"/>
                <w:numId w:val="0"/>
              </w:numPr>
              <w:autoSpaceDE w:val="0"/>
              <w:autoSpaceDN w:val="0"/>
              <w:adjustRightInd w:val="0"/>
              <w:contextualSpacing/>
              <w:rPr>
                <w:rFonts w:hint="default" w:ascii="Arial" w:hAnsi="Arial" w:eastAsia="微软雅黑" w:cs="Arial"/>
                <w:b/>
                <w:bCs/>
                <w:sz w:val="22"/>
                <w:szCs w:val="22"/>
                <w:lang w:val="en-US" w:eastAsia="zh-CN"/>
              </w:rPr>
            </w:pPr>
            <w:r>
              <w:rPr>
                <w:rFonts w:hint="default" w:ascii="Arial" w:hAnsi="Arial" w:eastAsia="微软雅黑" w:cs="Arial"/>
                <w:b/>
                <w:bCs/>
                <w:sz w:val="22"/>
                <w:szCs w:val="22"/>
                <w:lang w:val="en-US" w:eastAsia="zh-CN"/>
              </w:rPr>
              <w:t>3.Environmental Psychology Perspective</w:t>
            </w:r>
          </w:p>
          <w:p w14:paraId="1F3170D3">
            <w:pPr>
              <w:pStyle w:val="27"/>
              <w:numPr>
                <w:ilvl w:val="0"/>
                <w:numId w:val="0"/>
              </w:numPr>
              <w:autoSpaceDE w:val="0"/>
              <w:autoSpaceDN w:val="0"/>
              <w:adjustRightInd w:val="0"/>
              <w:contextualSpacing/>
              <w:jc w:val="both"/>
              <w:rPr>
                <w:rFonts w:hint="default" w:ascii="Arial" w:hAnsi="Arial" w:eastAsia="微软雅黑" w:cs="Arial"/>
                <w:sz w:val="22"/>
                <w:szCs w:val="22"/>
                <w:lang w:val="en-US" w:eastAsia="zh-CN"/>
              </w:rPr>
            </w:pPr>
            <w:r>
              <w:rPr>
                <w:rFonts w:hint="default" w:ascii="Arial" w:hAnsi="Arial" w:eastAsia="微软雅黑" w:cs="Arial"/>
                <w:sz w:val="22"/>
                <w:szCs w:val="22"/>
                <w:lang w:val="en-US" w:eastAsia="zh-CN"/>
              </w:rPr>
              <w:t xml:space="preserve">This perspective focuses on how the sense of belonging to a regional cultural environment and professional associations or communities influences the creative processes, emotions, and identity of ICH practitioners. It integrates the concept of “sense of place” from environmental studies with theories from environmental psychology. From an individual perspective, Exploring how artisans’ connections to regional cultural, formed through embodied and sensory experiences, foster a sense of identity and belonging, which then shape their creative processes (Tuan, 1977). From a cultural community perspective, Examining the role of living networks, interconnected technical systems, and the continuation of cultural traditions in transitioning from “object-making” to “environment-making”(Zhou &amp; Wu, 2021). This approach investigates how the uniqueness and irreplaceable of cultural communities influence artisans’ creative practices in the context of globalization and modernization. </w:t>
            </w:r>
          </w:p>
          <w:p w14:paraId="49F9805B">
            <w:pPr>
              <w:pStyle w:val="27"/>
              <w:numPr>
                <w:ilvl w:val="0"/>
                <w:numId w:val="0"/>
              </w:numPr>
              <w:autoSpaceDE w:val="0"/>
              <w:autoSpaceDN w:val="0"/>
              <w:adjustRightInd w:val="0"/>
              <w:contextualSpacing/>
              <w:jc w:val="both"/>
              <w:rPr>
                <w:rFonts w:hint="default" w:ascii="Arial" w:hAnsi="Arial" w:eastAsia="微软雅黑" w:cs="Arial"/>
                <w:sz w:val="22"/>
                <w:szCs w:val="22"/>
                <w:lang w:val="en-US" w:eastAsia="zh-CN"/>
              </w:rPr>
            </w:pPr>
            <w:r>
              <w:rPr>
                <w:rFonts w:hint="default" w:ascii="Arial" w:hAnsi="Arial" w:eastAsia="微软雅黑" w:cs="Arial"/>
                <w:sz w:val="22"/>
                <w:szCs w:val="22"/>
                <w:lang w:val="en-US" w:eastAsia="zh-CN"/>
              </w:rPr>
              <w:t>Affective attachment to unique regional cultures of relates to a highly subjective and emotional connection to places (Agnew, 1987; Davidson, 2005; Thrift, 2004). The sense of distinction from others or groups is regarded as a component of identity, typically supported by place. Environmental psychology has explored this connection through the concept of “place-congruent continuity”, which examines the alignment between place and personal values (Twigger &amp; Uzzell, 1996). Building on this foundation, the preservation of ICH authenticity can be ensured through approaches that align with this deep connection to place and identity.</w:t>
            </w:r>
          </w:p>
          <w:p w14:paraId="2707FCEA">
            <w:pPr>
              <w:pStyle w:val="27"/>
              <w:numPr>
                <w:ilvl w:val="0"/>
                <w:numId w:val="0"/>
              </w:numPr>
              <w:autoSpaceDE w:val="0"/>
              <w:autoSpaceDN w:val="0"/>
              <w:adjustRightInd w:val="0"/>
              <w:contextualSpacing/>
              <w:rPr>
                <w:rFonts w:hint="default" w:ascii="Arial" w:hAnsi="Arial" w:eastAsia="微软雅黑" w:cs="Arial"/>
                <w:sz w:val="22"/>
                <w:szCs w:val="22"/>
                <w:lang w:val="en-US" w:eastAsia="zh-CN"/>
              </w:rPr>
            </w:pPr>
          </w:p>
          <w:p w14:paraId="2595C0F3">
            <w:pPr>
              <w:pStyle w:val="27"/>
              <w:numPr>
                <w:ilvl w:val="0"/>
                <w:numId w:val="0"/>
              </w:numPr>
              <w:autoSpaceDE w:val="0"/>
              <w:autoSpaceDN w:val="0"/>
              <w:adjustRightInd w:val="0"/>
              <w:contextualSpacing/>
              <w:rPr>
                <w:rFonts w:hint="default" w:ascii="Arial" w:hAnsi="Arial" w:eastAsia="微软雅黑" w:cs="Arial"/>
                <w:sz w:val="22"/>
                <w:szCs w:val="22"/>
                <w:lang w:val="en-US" w:eastAsia="zh-CN"/>
              </w:rPr>
            </w:pPr>
          </w:p>
          <w:p w14:paraId="7FEEA560">
            <w:pPr>
              <w:pStyle w:val="27"/>
              <w:numPr>
                <w:ilvl w:val="0"/>
                <w:numId w:val="0"/>
              </w:numPr>
              <w:autoSpaceDE w:val="0"/>
              <w:autoSpaceDN w:val="0"/>
              <w:adjustRightInd w:val="0"/>
              <w:contextualSpacing/>
              <w:rPr>
                <w:rFonts w:hint="default" w:ascii="Arial" w:hAnsi="Arial" w:eastAsia="微软雅黑" w:cs="Arial"/>
                <w:sz w:val="22"/>
                <w:szCs w:val="22"/>
                <w:lang w:val="en-US" w:eastAsia="zh-CN"/>
              </w:rPr>
            </w:pPr>
          </w:p>
          <w:p w14:paraId="30BAE6A4">
            <w:pPr>
              <w:pStyle w:val="27"/>
              <w:numPr>
                <w:ilvl w:val="0"/>
                <w:numId w:val="0"/>
              </w:numPr>
              <w:autoSpaceDE w:val="0"/>
              <w:autoSpaceDN w:val="0"/>
              <w:adjustRightInd w:val="0"/>
              <w:contextualSpacing/>
              <w:rPr>
                <w:rFonts w:hint="default" w:ascii="Arial" w:hAnsi="Arial" w:eastAsia="微软雅黑" w:cs="Arial"/>
                <w:sz w:val="22"/>
                <w:szCs w:val="22"/>
                <w:lang w:val="en-US" w:eastAsia="zh-CN"/>
              </w:rPr>
            </w:pPr>
          </w:p>
          <w:p w14:paraId="040EF3C1">
            <w:pPr>
              <w:pStyle w:val="27"/>
              <w:numPr>
                <w:ilvl w:val="0"/>
                <w:numId w:val="0"/>
              </w:numPr>
              <w:autoSpaceDE w:val="0"/>
              <w:autoSpaceDN w:val="0"/>
              <w:adjustRightInd w:val="0"/>
              <w:contextualSpacing/>
              <w:rPr>
                <w:rFonts w:hint="default" w:ascii="Arial" w:hAnsi="Arial" w:eastAsia="微软雅黑" w:cs="Arial"/>
                <w:sz w:val="22"/>
                <w:szCs w:val="22"/>
                <w:lang w:val="en-US" w:eastAsia="zh-CN"/>
              </w:rPr>
            </w:pPr>
          </w:p>
          <w:p w14:paraId="5A0286F5">
            <w:pPr>
              <w:pStyle w:val="27"/>
              <w:numPr>
                <w:ilvl w:val="0"/>
                <w:numId w:val="0"/>
              </w:numPr>
              <w:autoSpaceDE w:val="0"/>
              <w:autoSpaceDN w:val="0"/>
              <w:adjustRightInd w:val="0"/>
              <w:contextualSpacing/>
              <w:rPr>
                <w:rFonts w:hint="default" w:ascii="Arial" w:hAnsi="Arial" w:eastAsia="微软雅黑" w:cs="Arial"/>
                <w:sz w:val="22"/>
                <w:szCs w:val="22"/>
                <w:lang w:val="en-US" w:eastAsia="zh-CN"/>
              </w:rPr>
            </w:pPr>
            <w:r>
              <w:rPr>
                <w:rFonts w:hint="default" w:ascii="Arial" w:hAnsi="Arial" w:eastAsia="微软雅黑" w:cs="Arial"/>
                <w:sz w:val="22"/>
                <w:szCs w:val="22"/>
                <w:lang w:val="en-US" w:eastAsia="zh-CN"/>
              </w:rPr>
              <w:t>Therefore, the aim of this research is to explore the feasibility and models of applying digital intelligence technologies to the innovation of intangible cultural heritage (ICH) handicrafts. To achieve this aim, the research will focus on the following four objectives:</w:t>
            </w:r>
          </w:p>
          <w:p w14:paraId="5D9FEA86">
            <w:pPr>
              <w:pStyle w:val="27"/>
              <w:numPr>
                <w:ilvl w:val="0"/>
                <w:numId w:val="0"/>
              </w:numPr>
              <w:autoSpaceDE w:val="0"/>
              <w:autoSpaceDN w:val="0"/>
              <w:adjustRightInd w:val="0"/>
              <w:contextualSpacing/>
              <w:rPr>
                <w:rFonts w:hint="default" w:ascii="Arial" w:hAnsi="Arial" w:eastAsia="微软雅黑" w:cs="Arial"/>
                <w:b/>
                <w:bCs/>
                <w:sz w:val="22"/>
                <w:szCs w:val="22"/>
                <w:lang w:val="en-US" w:eastAsia="zh-CN"/>
              </w:rPr>
            </w:pPr>
            <w:r>
              <w:rPr>
                <w:rFonts w:hint="default" w:ascii="Arial" w:hAnsi="Arial" w:eastAsia="微软雅黑" w:cs="Arial"/>
                <w:b/>
                <w:bCs/>
                <w:sz w:val="22"/>
                <w:szCs w:val="22"/>
                <w:lang w:val="en-US" w:eastAsia="zh-CN"/>
              </w:rPr>
              <w:t>1.Document and Analyse Traditional Creative Processes</w:t>
            </w:r>
            <w:r>
              <w:rPr>
                <w:rFonts w:hint="eastAsia" w:ascii="Arial" w:hAnsi="Arial" w:eastAsia="微软雅黑" w:cs="Arial"/>
                <w:b/>
                <w:bCs/>
                <w:sz w:val="22"/>
                <w:szCs w:val="22"/>
                <w:lang w:val="en-US" w:eastAsia="zh-CN"/>
              </w:rPr>
              <w:t>:</w:t>
            </w:r>
          </w:p>
          <w:p w14:paraId="57487D3B">
            <w:pPr>
              <w:pStyle w:val="27"/>
              <w:numPr>
                <w:ilvl w:val="0"/>
                <w:numId w:val="0"/>
              </w:numPr>
              <w:autoSpaceDE w:val="0"/>
              <w:autoSpaceDN w:val="0"/>
              <w:adjustRightInd w:val="0"/>
              <w:contextualSpacing/>
              <w:rPr>
                <w:rFonts w:hint="default" w:ascii="Arial" w:hAnsi="Arial" w:eastAsia="微软雅黑" w:cs="Arial"/>
                <w:sz w:val="22"/>
                <w:szCs w:val="22"/>
                <w:lang w:val="en-US" w:eastAsia="zh-CN"/>
              </w:rPr>
            </w:pPr>
            <w:r>
              <w:rPr>
                <w:rFonts w:hint="default" w:ascii="Arial" w:hAnsi="Arial" w:eastAsia="微软雅黑" w:cs="Arial"/>
                <w:sz w:val="22"/>
                <w:szCs w:val="22"/>
                <w:lang w:val="en-US" w:eastAsia="zh-CN"/>
              </w:rPr>
              <w:t>Record and analyse the traditional creative workflows of Nanjing ICH artisans to establish a foundation for understanding how artificial intelligence (AI) tools can integrate with from these processes.</w:t>
            </w:r>
          </w:p>
          <w:p w14:paraId="43BC18F6">
            <w:pPr>
              <w:pStyle w:val="27"/>
              <w:numPr>
                <w:ilvl w:val="0"/>
                <w:numId w:val="0"/>
              </w:numPr>
              <w:autoSpaceDE w:val="0"/>
              <w:autoSpaceDN w:val="0"/>
              <w:adjustRightInd w:val="0"/>
              <w:contextualSpacing/>
              <w:rPr>
                <w:rFonts w:hint="default" w:ascii="Arial" w:hAnsi="Arial" w:eastAsia="微软雅黑" w:cs="Arial"/>
                <w:b/>
                <w:bCs/>
                <w:sz w:val="22"/>
                <w:szCs w:val="22"/>
                <w:lang w:val="en-US" w:eastAsia="zh-CN"/>
              </w:rPr>
            </w:pPr>
            <w:r>
              <w:rPr>
                <w:rFonts w:hint="default" w:ascii="Arial" w:hAnsi="Arial" w:eastAsia="微软雅黑" w:cs="Arial"/>
                <w:b/>
                <w:bCs/>
                <w:sz w:val="22"/>
                <w:szCs w:val="22"/>
                <w:lang w:val="en-US" w:eastAsia="zh-CN"/>
              </w:rPr>
              <w:t>2.Investigate Awareness and Familiarity:</w:t>
            </w:r>
          </w:p>
          <w:p w14:paraId="616EFFD1">
            <w:pPr>
              <w:pStyle w:val="27"/>
              <w:numPr>
                <w:ilvl w:val="0"/>
                <w:numId w:val="0"/>
              </w:numPr>
              <w:autoSpaceDE w:val="0"/>
              <w:autoSpaceDN w:val="0"/>
              <w:adjustRightInd w:val="0"/>
              <w:contextualSpacing/>
              <w:rPr>
                <w:rFonts w:hint="default" w:ascii="Arial" w:hAnsi="Arial" w:eastAsia="微软雅黑" w:cs="Arial"/>
                <w:sz w:val="22"/>
                <w:szCs w:val="22"/>
                <w:lang w:val="en-US" w:eastAsia="zh-CN"/>
              </w:rPr>
            </w:pPr>
            <w:r>
              <w:rPr>
                <w:rFonts w:hint="default" w:ascii="Arial" w:hAnsi="Arial" w:eastAsia="微软雅黑" w:cs="Arial"/>
                <w:sz w:val="22"/>
                <w:szCs w:val="22"/>
                <w:lang w:val="en-US" w:eastAsia="zh-CN"/>
              </w:rPr>
              <w:t>Examine the level of awareness and familiarity that Nanjing ICH handicraft practitioners have with AI-assisted creative technologies and tools.</w:t>
            </w:r>
          </w:p>
          <w:p w14:paraId="7565508D">
            <w:pPr>
              <w:pStyle w:val="27"/>
              <w:numPr>
                <w:ilvl w:val="0"/>
                <w:numId w:val="0"/>
              </w:numPr>
              <w:autoSpaceDE w:val="0"/>
              <w:autoSpaceDN w:val="0"/>
              <w:adjustRightInd w:val="0"/>
              <w:contextualSpacing/>
              <w:rPr>
                <w:rFonts w:hint="default" w:ascii="Arial" w:hAnsi="Arial" w:eastAsia="微软雅黑" w:cs="Arial"/>
                <w:b/>
                <w:bCs/>
                <w:sz w:val="22"/>
                <w:szCs w:val="22"/>
                <w:lang w:val="en-US" w:eastAsia="zh-CN"/>
              </w:rPr>
            </w:pPr>
            <w:r>
              <w:rPr>
                <w:rFonts w:hint="default" w:ascii="Arial" w:hAnsi="Arial" w:eastAsia="微软雅黑" w:cs="Arial"/>
                <w:b/>
                <w:bCs/>
                <w:sz w:val="22"/>
                <w:szCs w:val="22"/>
                <w:lang w:val="en-US" w:eastAsia="zh-CN"/>
              </w:rPr>
              <w:t>3.Develop and Validate a Hypothetical Model:</w:t>
            </w:r>
          </w:p>
          <w:p w14:paraId="5DF990E8">
            <w:pPr>
              <w:pStyle w:val="27"/>
              <w:numPr>
                <w:ilvl w:val="0"/>
                <w:numId w:val="0"/>
              </w:numPr>
              <w:autoSpaceDE w:val="0"/>
              <w:autoSpaceDN w:val="0"/>
              <w:adjustRightInd w:val="0"/>
              <w:contextualSpacing/>
              <w:rPr>
                <w:rFonts w:hint="default" w:ascii="Arial" w:hAnsi="Arial" w:eastAsia="微软雅黑" w:cs="Arial"/>
                <w:sz w:val="22"/>
                <w:szCs w:val="22"/>
                <w:lang w:val="en-US" w:eastAsia="zh-CN"/>
              </w:rPr>
            </w:pPr>
            <w:r>
              <w:rPr>
                <w:rFonts w:hint="default" w:ascii="Arial" w:hAnsi="Arial" w:eastAsia="微软雅黑" w:cs="Arial"/>
                <w:sz w:val="22"/>
                <w:szCs w:val="22"/>
                <w:lang w:val="en-US" w:eastAsia="zh-CN"/>
              </w:rPr>
              <w:t>Propose a hypothetical model, construct a measurement scale for AI-assisted creative intentions, and validate the relationships between key factors.</w:t>
            </w:r>
          </w:p>
          <w:p w14:paraId="2F887D03">
            <w:pPr>
              <w:pStyle w:val="27"/>
              <w:numPr>
                <w:ilvl w:val="0"/>
                <w:numId w:val="0"/>
              </w:numPr>
              <w:autoSpaceDE w:val="0"/>
              <w:autoSpaceDN w:val="0"/>
              <w:adjustRightInd w:val="0"/>
              <w:contextualSpacing/>
              <w:rPr>
                <w:rFonts w:hint="default" w:ascii="Arial" w:hAnsi="Arial" w:eastAsia="微软雅黑" w:cs="Arial"/>
                <w:b/>
                <w:bCs/>
                <w:sz w:val="22"/>
                <w:szCs w:val="22"/>
                <w:lang w:val="en-US" w:eastAsia="zh-CN"/>
              </w:rPr>
            </w:pPr>
            <w:r>
              <w:rPr>
                <w:rFonts w:hint="default" w:ascii="Arial" w:hAnsi="Arial" w:eastAsia="微软雅黑" w:cs="Arial"/>
                <w:b/>
                <w:bCs/>
                <w:sz w:val="22"/>
                <w:szCs w:val="22"/>
                <w:lang w:val="en-US" w:eastAsia="zh-CN"/>
              </w:rPr>
              <w:t>4.Provide Recommendations for AIGC Collaboration:</w:t>
            </w:r>
          </w:p>
          <w:p w14:paraId="69F3056F">
            <w:pPr>
              <w:pStyle w:val="27"/>
              <w:numPr>
                <w:ilvl w:val="0"/>
                <w:numId w:val="0"/>
              </w:numPr>
              <w:autoSpaceDE w:val="0"/>
              <w:autoSpaceDN w:val="0"/>
              <w:adjustRightInd w:val="0"/>
              <w:contextualSpacing/>
              <w:rPr>
                <w:rFonts w:hint="default" w:ascii="Arial" w:hAnsi="Arial" w:eastAsia="微软雅黑" w:cs="Arial"/>
                <w:sz w:val="22"/>
                <w:szCs w:val="22"/>
                <w:lang w:val="en-US" w:eastAsia="zh-CN"/>
              </w:rPr>
            </w:pPr>
            <w:r>
              <w:rPr>
                <w:rFonts w:hint="default" w:ascii="Arial" w:hAnsi="Arial" w:eastAsia="微软雅黑" w:cs="Arial"/>
                <w:sz w:val="22"/>
                <w:szCs w:val="22"/>
                <w:lang w:val="en-US" w:eastAsia="zh-CN"/>
              </w:rPr>
              <w:t xml:space="preserve">Based on the research findings, offer recommendations for Nanjing ICH handicrafts on fostering collaborative creation with AI-generated content (AIGC) and sustaining community culture. </w:t>
            </w:r>
          </w:p>
          <w:p w14:paraId="6B5B9550">
            <w:pPr>
              <w:rPr>
                <w:rFonts w:hint="eastAsia" w:ascii="微软雅黑" w:hAnsi="微软雅黑" w:eastAsia="微软雅黑" w:cs="微软雅黑"/>
                <w:color w:val="FF0000"/>
                <w:sz w:val="20"/>
                <w:szCs w:val="20"/>
                <w:lang w:val="en-US" w:eastAsia="zh-CN"/>
              </w:rPr>
            </w:pPr>
          </w:p>
          <w:p w14:paraId="3F788B2D">
            <w:pPr>
              <w:pStyle w:val="27"/>
              <w:numPr>
                <w:ilvl w:val="0"/>
                <w:numId w:val="0"/>
              </w:numPr>
              <w:autoSpaceDE w:val="0"/>
              <w:autoSpaceDN w:val="0"/>
              <w:adjustRightInd w:val="0"/>
              <w:contextualSpacing/>
              <w:rPr>
                <w:rFonts w:cs="Arial"/>
                <w:sz w:val="22"/>
                <w:szCs w:val="22"/>
              </w:rPr>
            </w:pPr>
          </w:p>
        </w:tc>
      </w:tr>
      <w:tr w14:paraId="3B2963C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7" w:hRule="atLeast"/>
        </w:trPr>
        <w:tc>
          <w:tcPr>
            <w:tcW w:w="9781" w:type="dxa"/>
            <w:shd w:val="clear" w:color="auto" w:fill="F1F1F1" w:themeFill="background1" w:themeFillShade="F2"/>
            <w:vAlign w:val="center"/>
          </w:tcPr>
          <w:p w14:paraId="3279BA5F">
            <w:pPr>
              <w:rPr>
                <w:rFonts w:cs="Arial"/>
                <w:sz w:val="22"/>
                <w:szCs w:val="22"/>
              </w:rPr>
            </w:pPr>
          </w:p>
          <w:p w14:paraId="02EF8E0E">
            <w:pPr>
              <w:rPr>
                <w:rFonts w:cs="Arial"/>
                <w:sz w:val="22"/>
                <w:szCs w:val="22"/>
              </w:rPr>
            </w:pPr>
            <w:r>
              <w:rPr>
                <w:rFonts w:cs="Arial"/>
                <w:sz w:val="22"/>
                <w:szCs w:val="22"/>
              </w:rPr>
              <w:t xml:space="preserve">Proposed plan of work including timetable </w:t>
            </w:r>
          </w:p>
        </w:tc>
      </w:tr>
      <w:tr w14:paraId="6D638DD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7" w:hRule="atLeast"/>
        </w:trPr>
        <w:tc>
          <w:tcPr>
            <w:tcW w:w="9781" w:type="dxa"/>
          </w:tcPr>
          <w:p w14:paraId="3DE4FDEB">
            <w:pPr>
              <w:rPr>
                <w:rFonts w:cs="Arial"/>
                <w:i/>
                <w:sz w:val="22"/>
                <w:szCs w:val="22"/>
              </w:rPr>
            </w:pPr>
            <w:r>
              <w:rPr>
                <w:rFonts w:cs="Arial"/>
                <w:i/>
                <w:sz w:val="22"/>
                <w:szCs w:val="22"/>
              </w:rPr>
              <w:t>Proposed plan of work</w:t>
            </w:r>
          </w:p>
          <w:p w14:paraId="14EDF531">
            <w:pPr>
              <w:rPr>
                <w:rFonts w:cs="Arial"/>
                <w:sz w:val="22"/>
                <w:szCs w:val="22"/>
              </w:rPr>
            </w:pPr>
          </w:p>
          <w:p w14:paraId="07E423F5">
            <w:pPr>
              <w:rPr>
                <w:rFonts w:cs="Arial"/>
                <w:sz w:val="22"/>
                <w:szCs w:val="22"/>
              </w:rPr>
            </w:pPr>
            <w:r>
              <w:rPr>
                <w:rFonts w:cs="Arial"/>
                <w:sz w:val="22"/>
                <w:szCs w:val="22"/>
              </w:rPr>
              <w:t>In this section you will need to complete a proposed plan of your work explaining the timeline for key elements of the thesis. This can be set out as a table like below or as a gantt chart (for example)</w:t>
            </w:r>
          </w:p>
          <w:p w14:paraId="56442899">
            <w:pPr>
              <w:rPr>
                <w:rFonts w:cs="Arial"/>
                <w:sz w:val="22"/>
                <w:szCs w:val="22"/>
              </w:rPr>
            </w:pPr>
          </w:p>
          <w:p w14:paraId="0FD65113">
            <w:pPr>
              <w:rPr>
                <w:rFonts w:cs="Arial"/>
                <w:sz w:val="22"/>
                <w:szCs w:val="22"/>
              </w:rPr>
            </w:pPr>
            <w:r>
              <w:rPr>
                <w:rFonts w:cs="Arial"/>
                <w:sz w:val="22"/>
                <w:szCs w:val="22"/>
              </w:rPr>
              <w:t>This plan should indicate that the research will be completed by the end of the fee paying period (the minimum period of candidature</w:t>
            </w:r>
            <w:r>
              <w:rPr>
                <w:rFonts w:hint="eastAsia" w:eastAsia="宋体" w:cs="Arial"/>
                <w:sz w:val="22"/>
                <w:szCs w:val="22"/>
                <w:lang w:val="en-US" w:eastAsia="zh-CN"/>
              </w:rPr>
              <w:t>)</w:t>
            </w:r>
            <w:r>
              <w:rPr>
                <w:rFonts w:cs="Arial"/>
                <w:sz w:val="22"/>
                <w:szCs w:val="22"/>
              </w:rPr>
              <w:t>.</w:t>
            </w:r>
          </w:p>
          <w:p w14:paraId="2BF0F110">
            <w:pPr>
              <w:rPr>
                <w:rFonts w:cs="Arial"/>
                <w:sz w:val="22"/>
                <w:szCs w:val="22"/>
                <w:lang w:eastAsia="zh-CN"/>
              </w:rPr>
            </w:pPr>
          </w:p>
          <w:tbl>
            <w:tblPr>
              <w:tblStyle w:val="1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4777"/>
              <w:gridCol w:w="4778"/>
            </w:tblGrid>
            <w:tr w14:paraId="1D921BF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777" w:type="dxa"/>
                </w:tcPr>
                <w:p w14:paraId="555CBE44">
                  <w:pPr>
                    <w:rPr>
                      <w:rFonts w:cs="Arial"/>
                      <w:sz w:val="22"/>
                      <w:szCs w:val="22"/>
                    </w:rPr>
                  </w:pPr>
                  <w:r>
                    <w:rPr>
                      <w:rFonts w:cs="Arial"/>
                      <w:sz w:val="22"/>
                      <w:szCs w:val="22"/>
                    </w:rPr>
                    <w:t>Planned Development (e.g. submission of form, completion of chapter, submission of thesis)</w:t>
                  </w:r>
                </w:p>
              </w:tc>
              <w:tc>
                <w:tcPr>
                  <w:tcW w:w="4778" w:type="dxa"/>
                </w:tcPr>
                <w:p w14:paraId="61FC0D2B">
                  <w:pPr>
                    <w:rPr>
                      <w:rFonts w:cs="Arial"/>
                      <w:sz w:val="22"/>
                      <w:szCs w:val="22"/>
                    </w:rPr>
                  </w:pPr>
                  <w:r>
                    <w:rPr>
                      <w:rFonts w:cs="Arial"/>
                      <w:sz w:val="22"/>
                      <w:szCs w:val="22"/>
                    </w:rPr>
                    <w:t>Target Date</w:t>
                  </w:r>
                </w:p>
              </w:tc>
            </w:tr>
            <w:tr w14:paraId="3E5FE19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777" w:type="dxa"/>
                </w:tcPr>
                <w:p w14:paraId="09488BEF">
                  <w:pPr>
                    <w:keepNext w:val="0"/>
                    <w:keepLines w:val="0"/>
                    <w:widowControl/>
                    <w:suppressLineNumbers w:val="0"/>
                    <w:jc w:val="left"/>
                    <w:rPr>
                      <w:rFonts w:hint="default" w:eastAsia="宋体" w:cs="Arial"/>
                      <w:sz w:val="22"/>
                      <w:szCs w:val="22"/>
                      <w:lang w:val="en-US" w:eastAsia="zh-CN"/>
                    </w:rPr>
                  </w:pPr>
                  <w:r>
                    <w:rPr>
                      <w:rFonts w:hint="eastAsia" w:eastAsia="宋体" w:cs="Arial"/>
                      <w:sz w:val="22"/>
                      <w:szCs w:val="22"/>
                      <w:lang w:val="en-US" w:eastAsia="zh-CN"/>
                    </w:rPr>
                    <w:t>Research Aim and objectives were identified through a literature review, submit PG1 and PG2</w:t>
                  </w:r>
                </w:p>
              </w:tc>
              <w:tc>
                <w:tcPr>
                  <w:tcW w:w="4778" w:type="dxa"/>
                </w:tcPr>
                <w:p w14:paraId="3F2D0D31">
                  <w:pPr>
                    <w:rPr>
                      <w:rFonts w:hint="default" w:eastAsia="宋体" w:cs="Arial"/>
                      <w:sz w:val="22"/>
                      <w:szCs w:val="22"/>
                      <w:lang w:val="en-US" w:eastAsia="zh-CN"/>
                    </w:rPr>
                  </w:pPr>
                  <w:r>
                    <w:rPr>
                      <w:rFonts w:hint="eastAsia" w:eastAsia="宋体" w:cs="Arial"/>
                      <w:sz w:val="22"/>
                      <w:szCs w:val="22"/>
                      <w:lang w:val="en-US" w:eastAsia="zh-CN"/>
                    </w:rPr>
                    <w:t>January 2025</w:t>
                  </w:r>
                </w:p>
              </w:tc>
            </w:tr>
            <w:tr w14:paraId="0377084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71" w:hRule="atLeast"/>
              </w:trPr>
              <w:tc>
                <w:tcPr>
                  <w:tcW w:w="4777" w:type="dxa"/>
                </w:tcPr>
                <w:p w14:paraId="27D6FCF6">
                  <w:pPr>
                    <w:keepNext w:val="0"/>
                    <w:keepLines w:val="0"/>
                    <w:widowControl/>
                    <w:suppressLineNumbers w:val="0"/>
                    <w:jc w:val="left"/>
                    <w:rPr>
                      <w:rFonts w:hint="default" w:ascii="微软雅黑" w:hAnsi="微软雅黑" w:eastAsia="微软雅黑" w:cs="微软雅黑"/>
                      <w:sz w:val="20"/>
                      <w:szCs w:val="20"/>
                      <w:lang w:val="en-US" w:eastAsia="zh-CN"/>
                    </w:rPr>
                  </w:pPr>
                  <w:r>
                    <w:rPr>
                      <w:rFonts w:ascii="Symbol" w:hAnsi="Symbol" w:eastAsia="Symbol" w:cs="Symbol"/>
                      <w:sz w:val="24"/>
                    </w:rPr>
                    <w:t>·</w:t>
                  </w:r>
                  <w:r>
                    <w:rPr>
                      <w:rFonts w:hint="eastAsia" w:ascii="宋体" w:hAnsi="宋体" w:eastAsia="宋体" w:cs="宋体"/>
                      <w:sz w:val="24"/>
                    </w:rPr>
                    <w:t xml:space="preserve">  </w:t>
                  </w:r>
                  <w:r>
                    <w:rPr>
                      <w:rFonts w:hint="default" w:ascii="Arial" w:hAnsi="Arial" w:eastAsia="宋体" w:cs="Arial"/>
                      <w:sz w:val="22"/>
                      <w:szCs w:val="22"/>
                    </w:rPr>
                    <w:t>Research Design and Ethical Approval</w:t>
                  </w:r>
                  <w:r>
                    <w:rPr>
                      <w:rFonts w:hint="default" w:ascii="Arial" w:hAnsi="Arial" w:eastAsia="宋体" w:cs="Arial"/>
                      <w:sz w:val="22"/>
                      <w:szCs w:val="22"/>
                    </w:rPr>
                    <w:br w:type="textWrapping"/>
                  </w:r>
                  <w:r>
                    <w:rPr>
                      <w:rFonts w:ascii="Symbol" w:hAnsi="Symbol" w:eastAsia="Symbol" w:cs="Symbol"/>
                      <w:sz w:val="24"/>
                    </w:rPr>
                    <w:t>·</w:t>
                  </w:r>
                  <w:r>
                    <w:rPr>
                      <w:rFonts w:hint="eastAsia" w:ascii="宋体" w:hAnsi="宋体" w:eastAsia="宋体" w:cs="宋体"/>
                      <w:sz w:val="24"/>
                    </w:rPr>
                    <w:t xml:space="preserve">  </w:t>
                  </w:r>
                  <w:r>
                    <w:rPr>
                      <w:rFonts w:hint="default" w:ascii="Arial" w:hAnsi="Arial" w:eastAsia="宋体" w:cs="Arial"/>
                      <w:sz w:val="22"/>
                      <w:szCs w:val="22"/>
                    </w:rPr>
                    <w:t>Literature Review</w:t>
                  </w:r>
                  <w:r>
                    <w:rPr>
                      <w:rFonts w:hint="default" w:ascii="Arial" w:hAnsi="Arial" w:eastAsia="宋体" w:cs="Arial"/>
                      <w:sz w:val="22"/>
                      <w:szCs w:val="22"/>
                    </w:rPr>
                    <w:br w:type="textWrapping"/>
                  </w:r>
                  <w:r>
                    <w:rPr>
                      <w:rFonts w:ascii="Symbol" w:hAnsi="Symbol" w:eastAsia="Symbol" w:cs="Symbol"/>
                      <w:sz w:val="24"/>
                    </w:rPr>
                    <w:t>·</w:t>
                  </w:r>
                  <w:r>
                    <w:rPr>
                      <w:rFonts w:hint="eastAsia" w:ascii="宋体" w:hAnsi="宋体" w:eastAsia="宋体" w:cs="宋体"/>
                      <w:sz w:val="24"/>
                    </w:rPr>
                    <w:t xml:space="preserve">  </w:t>
                  </w:r>
                  <w:r>
                    <w:rPr>
                      <w:rFonts w:hint="default" w:ascii="Arial" w:hAnsi="Arial" w:eastAsia="宋体" w:cs="Arial"/>
                      <w:sz w:val="22"/>
                      <w:szCs w:val="22"/>
                    </w:rPr>
                    <w:t>Methodology</w:t>
                  </w:r>
                </w:p>
              </w:tc>
              <w:tc>
                <w:tcPr>
                  <w:tcW w:w="4778" w:type="dxa"/>
                </w:tcPr>
                <w:p w14:paraId="4472CEDF">
                  <w:pPr>
                    <w:rPr>
                      <w:rFonts w:hint="default" w:eastAsia="宋体" w:cs="Arial"/>
                      <w:sz w:val="22"/>
                      <w:szCs w:val="22"/>
                      <w:lang w:val="en-US" w:eastAsia="zh-CN"/>
                    </w:rPr>
                  </w:pPr>
                  <w:r>
                    <w:rPr>
                      <w:rFonts w:hint="eastAsia" w:eastAsia="宋体" w:cs="Arial"/>
                      <w:sz w:val="22"/>
                      <w:szCs w:val="22"/>
                      <w:lang w:val="en-US" w:eastAsia="zh-CN"/>
                    </w:rPr>
                    <w:t>March 2015</w:t>
                  </w:r>
                </w:p>
              </w:tc>
            </w:tr>
            <w:tr w14:paraId="1C3B5F9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777" w:type="dxa"/>
                </w:tcPr>
                <w:p w14:paraId="08850EF2">
                  <w:pPr>
                    <w:jc w:val="both"/>
                    <w:rPr>
                      <w:rFonts w:hint="default" w:eastAsia="宋体" w:cs="Arial"/>
                      <w:sz w:val="22"/>
                      <w:szCs w:val="22"/>
                      <w:lang w:val="en-US" w:eastAsia="zh-CN"/>
                    </w:rPr>
                  </w:pPr>
                  <w:r>
                    <w:rPr>
                      <w:rFonts w:hint="default" w:ascii="Arial" w:hAnsi="Arial" w:eastAsia="宋体" w:cs="Arial"/>
                      <w:sz w:val="22"/>
                      <w:szCs w:val="22"/>
                    </w:rPr>
                    <w:t>Conduct a preliminary investigation and data collection on the local intangible cultural heritage (ICH) handicraft communities and inheritors in Nanjing, as well as an initial understanding of relevant craft and art industry associations.</w:t>
                  </w:r>
                </w:p>
              </w:tc>
              <w:tc>
                <w:tcPr>
                  <w:tcW w:w="4778" w:type="dxa"/>
                </w:tcPr>
                <w:p w14:paraId="739AFF27">
                  <w:pPr>
                    <w:rPr>
                      <w:rFonts w:hint="default" w:eastAsia="宋体" w:cs="Arial"/>
                      <w:sz w:val="22"/>
                      <w:szCs w:val="22"/>
                      <w:lang w:val="en-US" w:eastAsia="zh-CN"/>
                    </w:rPr>
                  </w:pPr>
                  <w:r>
                    <w:rPr>
                      <w:rFonts w:hint="eastAsia" w:eastAsia="宋体" w:cs="Arial"/>
                      <w:sz w:val="22"/>
                      <w:szCs w:val="22"/>
                      <w:lang w:val="en-US" w:eastAsia="zh-CN"/>
                    </w:rPr>
                    <w:t>May 2025</w:t>
                  </w:r>
                </w:p>
              </w:tc>
            </w:tr>
            <w:tr w14:paraId="376DA1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777" w:type="dxa"/>
                </w:tcPr>
                <w:p w14:paraId="2CCE4D2A">
                  <w:pPr>
                    <w:keepNext w:val="0"/>
                    <w:keepLines w:val="0"/>
                    <w:widowControl/>
                    <w:suppressLineNumbers w:val="0"/>
                    <w:jc w:val="both"/>
                    <w:rPr>
                      <w:rFonts w:hint="default" w:eastAsia="宋体" w:cs="Arial"/>
                      <w:sz w:val="22"/>
                      <w:szCs w:val="22"/>
                      <w:lang w:val="en-US" w:eastAsia="zh-CN"/>
                    </w:rPr>
                  </w:pPr>
                  <w:r>
                    <w:rPr>
                      <w:rFonts w:hint="default" w:ascii="Arial" w:hAnsi="Arial" w:eastAsia="宋体" w:cs="Arial"/>
                      <w:sz w:val="22"/>
                      <w:szCs w:val="22"/>
                    </w:rPr>
                    <w:t>After obtaining ethical approval, access the Nanjing ICH handicraft community through introductions facilitated by gatekeepers and conduct participant observation.</w:t>
                  </w:r>
                </w:p>
              </w:tc>
              <w:tc>
                <w:tcPr>
                  <w:tcW w:w="4778" w:type="dxa"/>
                </w:tcPr>
                <w:p w14:paraId="01731808">
                  <w:pPr>
                    <w:rPr>
                      <w:rFonts w:hint="default" w:eastAsia="宋体" w:cs="Arial"/>
                      <w:sz w:val="22"/>
                      <w:szCs w:val="22"/>
                      <w:lang w:val="en-US" w:eastAsia="zh-CN"/>
                    </w:rPr>
                  </w:pPr>
                  <w:r>
                    <w:rPr>
                      <w:rFonts w:hint="eastAsia" w:eastAsia="宋体" w:cs="Arial"/>
                      <w:sz w:val="22"/>
                      <w:szCs w:val="22"/>
                      <w:lang w:val="en-US" w:eastAsia="zh-CN"/>
                    </w:rPr>
                    <w:t>June 2025</w:t>
                  </w:r>
                </w:p>
              </w:tc>
            </w:tr>
            <w:tr w14:paraId="30DF976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777" w:type="dxa"/>
                </w:tcPr>
                <w:p w14:paraId="53517BD2">
                  <w:pPr>
                    <w:keepNext w:val="0"/>
                    <w:keepLines w:val="0"/>
                    <w:widowControl/>
                    <w:suppressLineNumbers w:val="0"/>
                  </w:pPr>
                  <w:r>
                    <w:rPr>
                      <w:rFonts w:ascii="Symbol" w:hAnsi="Symbol" w:eastAsia="Symbol" w:cs="Symbol"/>
                      <w:sz w:val="24"/>
                    </w:rPr>
                    <w:t>·</w:t>
                  </w:r>
                  <w:r>
                    <w:rPr>
                      <w:rFonts w:hint="eastAsia" w:ascii="宋体" w:hAnsi="宋体" w:eastAsia="宋体" w:cs="宋体"/>
                      <w:sz w:val="24"/>
                    </w:rPr>
                    <w:t xml:space="preserve"> </w:t>
                  </w:r>
                  <w:r>
                    <w:rPr>
                      <w:rFonts w:hint="eastAsia" w:ascii="宋体" w:hAnsi="宋体" w:eastAsia="宋体" w:cs="宋体"/>
                      <w:sz w:val="22"/>
                      <w:szCs w:val="22"/>
                    </w:rPr>
                    <w:t xml:space="preserve"> </w:t>
                  </w:r>
                  <w:r>
                    <w:rPr>
                      <w:sz w:val="22"/>
                      <w:szCs w:val="22"/>
                    </w:rPr>
                    <w:t>Conduct interviews with Nanjing ICH handicraft inheritors/practitioners to collect initial data.</w:t>
                  </w:r>
                </w:p>
                <w:p w14:paraId="1D655B47">
                  <w:pPr>
                    <w:keepNext w:val="0"/>
                    <w:keepLines w:val="0"/>
                    <w:widowControl/>
                    <w:suppressLineNumbers w:val="0"/>
                  </w:pPr>
                  <w:r>
                    <w:rPr>
                      <w:rFonts w:hint="default" w:ascii="Symbol" w:hAnsi="Symbol" w:eastAsia="Symbol" w:cs="Symbol"/>
                      <w:sz w:val="24"/>
                    </w:rPr>
                    <w:t>·</w:t>
                  </w:r>
                  <w:r>
                    <w:rPr>
                      <w:rFonts w:hint="eastAsia" w:ascii="宋体" w:hAnsi="宋体" w:eastAsia="宋体" w:cs="宋体"/>
                      <w:sz w:val="24"/>
                    </w:rPr>
                    <w:t xml:space="preserve">  </w:t>
                  </w:r>
                  <w:r>
                    <w:rPr>
                      <w:sz w:val="22"/>
                      <w:szCs w:val="22"/>
                    </w:rPr>
                    <w:t>Write the first section of the dissertation.</w:t>
                  </w:r>
                </w:p>
                <w:p w14:paraId="0B23C5D5">
                  <w:pPr>
                    <w:numPr>
                      <w:ilvl w:val="0"/>
                      <w:numId w:val="0"/>
                    </w:numPr>
                    <w:rPr>
                      <w:rFonts w:hint="default" w:eastAsia="宋体" w:cs="Arial"/>
                      <w:sz w:val="22"/>
                      <w:szCs w:val="22"/>
                      <w:lang w:val="en-US" w:eastAsia="zh-CN"/>
                    </w:rPr>
                  </w:pPr>
                </w:p>
              </w:tc>
              <w:tc>
                <w:tcPr>
                  <w:tcW w:w="4778" w:type="dxa"/>
                </w:tcPr>
                <w:p w14:paraId="3C660521">
                  <w:pPr>
                    <w:rPr>
                      <w:rFonts w:hint="default" w:eastAsia="宋体" w:cs="Arial"/>
                      <w:sz w:val="22"/>
                      <w:szCs w:val="22"/>
                      <w:lang w:val="en-US" w:eastAsia="zh-CN"/>
                    </w:rPr>
                  </w:pPr>
                  <w:r>
                    <w:rPr>
                      <w:rFonts w:hint="eastAsia" w:eastAsia="宋体" w:cs="Arial"/>
                      <w:sz w:val="22"/>
                      <w:szCs w:val="22"/>
                      <w:lang w:val="en-US" w:eastAsia="zh-CN"/>
                    </w:rPr>
                    <w:t>September 2025</w:t>
                  </w:r>
                </w:p>
              </w:tc>
            </w:tr>
            <w:tr w14:paraId="42565D2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78" w:hRule="atLeast"/>
              </w:trPr>
              <w:tc>
                <w:tcPr>
                  <w:tcW w:w="4777" w:type="dxa"/>
                </w:tcPr>
                <w:p w14:paraId="1B546886">
                  <w:pPr>
                    <w:keepNext w:val="0"/>
                    <w:keepLines w:val="0"/>
                    <w:widowControl/>
                    <w:suppressLineNumbers w:val="0"/>
                  </w:pPr>
                  <w:r>
                    <w:rPr>
                      <w:rFonts w:ascii="Symbol" w:hAnsi="Symbol" w:eastAsia="Symbol" w:cs="Symbol"/>
                      <w:sz w:val="24"/>
                    </w:rPr>
                    <w:t>·</w:t>
                  </w:r>
                  <w:r>
                    <w:rPr>
                      <w:rFonts w:hint="eastAsia" w:ascii="宋体" w:hAnsi="宋体" w:eastAsia="宋体" w:cs="宋体"/>
                      <w:sz w:val="24"/>
                    </w:rPr>
                    <w:t xml:space="preserve">  </w:t>
                  </w:r>
                  <w:r>
                    <w:rPr>
                      <w:sz w:val="22"/>
                      <w:szCs w:val="22"/>
                    </w:rPr>
                    <w:t>Transcribe and analyze the interview data.</w:t>
                  </w:r>
                </w:p>
                <w:p w14:paraId="58356992">
                  <w:pPr>
                    <w:keepNext w:val="0"/>
                    <w:keepLines w:val="0"/>
                    <w:widowControl/>
                    <w:suppressLineNumbers w:val="0"/>
                    <w:rPr>
                      <w:sz w:val="21"/>
                      <w:szCs w:val="21"/>
                    </w:rPr>
                  </w:pPr>
                  <w:r>
                    <w:rPr>
                      <w:rFonts w:hint="default" w:ascii="Symbol" w:hAnsi="Symbol" w:eastAsia="Symbol" w:cs="Symbol"/>
                      <w:sz w:val="24"/>
                    </w:rPr>
                    <w:t>·</w:t>
                  </w:r>
                  <w:r>
                    <w:rPr>
                      <w:rFonts w:hint="eastAsia" w:ascii="宋体" w:hAnsi="宋体" w:eastAsia="宋体" w:cs="宋体"/>
                      <w:sz w:val="24"/>
                    </w:rPr>
                    <w:t xml:space="preserve">  </w:t>
                  </w:r>
                  <w:r>
                    <w:rPr>
                      <w:sz w:val="22"/>
                      <w:szCs w:val="22"/>
                    </w:rPr>
                    <w:t>Write the findings chapter.</w:t>
                  </w:r>
                </w:p>
                <w:p w14:paraId="6C5229E0">
                  <w:pPr>
                    <w:rPr>
                      <w:rFonts w:hint="default" w:ascii="微软雅黑" w:hAnsi="微软雅黑" w:eastAsia="微软雅黑" w:cs="微软雅黑"/>
                      <w:sz w:val="20"/>
                      <w:szCs w:val="20"/>
                      <w:lang w:val="en-US" w:eastAsia="zh-CN"/>
                    </w:rPr>
                  </w:pPr>
                </w:p>
              </w:tc>
              <w:tc>
                <w:tcPr>
                  <w:tcW w:w="4778" w:type="dxa"/>
                </w:tcPr>
                <w:p w14:paraId="6E8D6B32">
                  <w:pPr>
                    <w:rPr>
                      <w:rFonts w:hint="default" w:eastAsia="宋体" w:cs="Arial"/>
                      <w:sz w:val="22"/>
                      <w:szCs w:val="22"/>
                      <w:lang w:val="en-US" w:eastAsia="zh-CN"/>
                    </w:rPr>
                  </w:pPr>
                  <w:r>
                    <w:rPr>
                      <w:rFonts w:hint="eastAsia" w:eastAsia="宋体" w:cs="Arial"/>
                      <w:sz w:val="22"/>
                      <w:szCs w:val="22"/>
                      <w:lang w:val="en-US" w:eastAsia="zh-CN"/>
                    </w:rPr>
                    <w:t>November 2025</w:t>
                  </w:r>
                </w:p>
              </w:tc>
            </w:tr>
            <w:tr w14:paraId="187A663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777" w:type="dxa"/>
                </w:tcPr>
                <w:p w14:paraId="7AAD42AB">
                  <w:pPr>
                    <w:rPr>
                      <w:rFonts w:hint="default" w:ascii="微软雅黑" w:hAnsi="微软雅黑" w:eastAsia="微软雅黑" w:cs="微软雅黑"/>
                      <w:sz w:val="22"/>
                      <w:szCs w:val="22"/>
                      <w:lang w:val="en-US" w:eastAsia="zh-CN"/>
                    </w:rPr>
                  </w:pPr>
                  <w:r>
                    <w:rPr>
                      <w:rFonts w:hint="default" w:ascii="Arial" w:hAnsi="Arial" w:eastAsia="宋体" w:cs="Arial"/>
                      <w:sz w:val="22"/>
                      <w:szCs w:val="22"/>
                    </w:rPr>
                    <w:t>Discussion</w:t>
                  </w:r>
                  <w:r>
                    <w:rPr>
                      <w:rFonts w:hint="default" w:ascii="Arial" w:hAnsi="Arial" w:eastAsia="宋体" w:cs="Arial"/>
                      <w:sz w:val="22"/>
                      <w:szCs w:val="22"/>
                    </w:rPr>
                    <w:br w:type="textWrapping"/>
                  </w:r>
                  <w:r>
                    <w:rPr>
                      <w:rFonts w:hint="default" w:ascii="Arial" w:hAnsi="Arial" w:eastAsia="宋体" w:cs="Arial"/>
                      <w:sz w:val="22"/>
                      <w:szCs w:val="22"/>
                    </w:rPr>
                    <w:t>Introduction</w:t>
                  </w:r>
                  <w:r>
                    <w:rPr>
                      <w:rFonts w:hint="default" w:ascii="Arial" w:hAnsi="Arial" w:eastAsia="宋体" w:cs="Arial"/>
                      <w:sz w:val="22"/>
                      <w:szCs w:val="22"/>
                    </w:rPr>
                    <w:br w:type="textWrapping"/>
                  </w:r>
                  <w:r>
                    <w:rPr>
                      <w:rFonts w:hint="default" w:ascii="Arial" w:hAnsi="Arial" w:eastAsia="宋体" w:cs="Arial"/>
                      <w:sz w:val="22"/>
                      <w:szCs w:val="22"/>
                    </w:rPr>
                    <w:t>Practice</w:t>
                  </w:r>
                  <w:r>
                    <w:rPr>
                      <w:rFonts w:hint="default" w:ascii="Arial" w:hAnsi="Arial" w:eastAsia="宋体" w:cs="Arial"/>
                      <w:sz w:val="22"/>
                      <w:szCs w:val="22"/>
                    </w:rPr>
                    <w:br w:type="textWrapping"/>
                  </w:r>
                  <w:r>
                    <w:rPr>
                      <w:rFonts w:hint="default" w:ascii="Arial" w:hAnsi="Arial" w:eastAsia="宋体" w:cs="Arial"/>
                      <w:sz w:val="22"/>
                      <w:szCs w:val="22"/>
                    </w:rPr>
                    <w:t>Conclusion — Draft Formation</w:t>
                  </w:r>
                </w:p>
              </w:tc>
              <w:tc>
                <w:tcPr>
                  <w:tcW w:w="4778" w:type="dxa"/>
                </w:tcPr>
                <w:p w14:paraId="2CE85F57">
                  <w:pPr>
                    <w:rPr>
                      <w:rFonts w:hint="eastAsia" w:eastAsia="宋体" w:cs="Arial"/>
                      <w:sz w:val="22"/>
                      <w:szCs w:val="22"/>
                      <w:lang w:val="en-US" w:eastAsia="zh-CN"/>
                    </w:rPr>
                  </w:pPr>
                  <w:r>
                    <w:rPr>
                      <w:rFonts w:hint="eastAsia" w:eastAsia="宋体" w:cs="Arial"/>
                      <w:sz w:val="22"/>
                      <w:szCs w:val="22"/>
                      <w:lang w:val="en-US" w:eastAsia="zh-CN"/>
                    </w:rPr>
                    <w:t>January 2026</w:t>
                  </w:r>
                </w:p>
                <w:p w14:paraId="2747F47C">
                  <w:pPr>
                    <w:rPr>
                      <w:rFonts w:hint="eastAsia" w:eastAsia="宋体" w:cs="Arial"/>
                      <w:sz w:val="22"/>
                      <w:szCs w:val="22"/>
                      <w:lang w:val="en-US" w:eastAsia="zh-CN"/>
                    </w:rPr>
                  </w:pPr>
                  <w:r>
                    <w:rPr>
                      <w:rFonts w:hint="eastAsia" w:eastAsia="宋体" w:cs="Arial"/>
                      <w:sz w:val="22"/>
                      <w:szCs w:val="22"/>
                      <w:lang w:val="en-US" w:eastAsia="zh-CN"/>
                    </w:rPr>
                    <w:t>February 2026</w:t>
                  </w:r>
                </w:p>
                <w:p w14:paraId="5C8700CD">
                  <w:pPr>
                    <w:rPr>
                      <w:rFonts w:hint="eastAsia" w:eastAsia="宋体" w:cs="Arial"/>
                      <w:sz w:val="22"/>
                      <w:szCs w:val="22"/>
                      <w:lang w:val="en-US" w:eastAsia="zh-CN"/>
                    </w:rPr>
                  </w:pPr>
                  <w:r>
                    <w:rPr>
                      <w:rFonts w:hint="eastAsia" w:eastAsia="宋体" w:cs="Arial"/>
                      <w:sz w:val="22"/>
                      <w:szCs w:val="22"/>
                      <w:lang w:val="en-US" w:eastAsia="zh-CN"/>
                    </w:rPr>
                    <w:t>March-June 2026</w:t>
                  </w:r>
                </w:p>
                <w:p w14:paraId="151213E3">
                  <w:pPr>
                    <w:rPr>
                      <w:rFonts w:hint="default" w:eastAsia="宋体" w:cs="Arial"/>
                      <w:sz w:val="22"/>
                      <w:szCs w:val="22"/>
                      <w:lang w:val="en-US" w:eastAsia="zh-CN"/>
                    </w:rPr>
                  </w:pPr>
                  <w:r>
                    <w:rPr>
                      <w:rFonts w:hint="eastAsia" w:eastAsia="宋体" w:cs="Arial"/>
                      <w:sz w:val="22"/>
                      <w:szCs w:val="22"/>
                      <w:lang w:val="en-US" w:eastAsia="zh-CN"/>
                    </w:rPr>
                    <w:t>June-December 2026</w:t>
                  </w:r>
                </w:p>
              </w:tc>
            </w:tr>
            <w:tr w14:paraId="7C91F12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96" w:hRule="atLeast"/>
              </w:trPr>
              <w:tc>
                <w:tcPr>
                  <w:tcW w:w="4777" w:type="dxa"/>
                </w:tcPr>
                <w:p w14:paraId="767E1447">
                  <w:pPr>
                    <w:keepNext w:val="0"/>
                    <w:keepLines w:val="0"/>
                    <w:widowControl/>
                    <w:suppressLineNumbers w:val="0"/>
                    <w:jc w:val="left"/>
                    <w:rPr>
                      <w:rFonts w:cs="Arial"/>
                      <w:sz w:val="22"/>
                      <w:szCs w:val="22"/>
                    </w:rPr>
                  </w:pPr>
                  <w:r>
                    <w:rPr>
                      <w:rFonts w:hint="default" w:ascii="Arial" w:hAnsi="Arial" w:eastAsia="宋体" w:cs="Arial"/>
                      <w:sz w:val="22"/>
                      <w:szCs w:val="22"/>
                    </w:rPr>
                    <w:t>Writing and Revising the Dissertation</w:t>
                  </w:r>
                </w:p>
              </w:tc>
              <w:tc>
                <w:tcPr>
                  <w:tcW w:w="4778" w:type="dxa"/>
                </w:tcPr>
                <w:p w14:paraId="56DBC1B5">
                  <w:pPr>
                    <w:rPr>
                      <w:rFonts w:hint="default" w:eastAsia="宋体" w:cs="Arial"/>
                      <w:sz w:val="22"/>
                      <w:szCs w:val="22"/>
                      <w:lang w:val="en-US" w:eastAsia="zh-CN"/>
                    </w:rPr>
                  </w:pPr>
                  <w:r>
                    <w:rPr>
                      <w:rFonts w:hint="eastAsia" w:eastAsia="宋体" w:cs="Arial"/>
                      <w:sz w:val="22"/>
                      <w:szCs w:val="22"/>
                      <w:lang w:val="en-US" w:eastAsia="zh-CN"/>
                    </w:rPr>
                    <w:t>April-August 2026</w:t>
                  </w:r>
                </w:p>
              </w:tc>
            </w:tr>
          </w:tbl>
          <w:p w14:paraId="0F57DA97">
            <w:pPr>
              <w:rPr>
                <w:rFonts w:cs="Arial"/>
                <w:sz w:val="22"/>
                <w:szCs w:val="22"/>
              </w:rPr>
            </w:pPr>
          </w:p>
          <w:p w14:paraId="62E10401">
            <w:pPr>
              <w:rPr>
                <w:rFonts w:cs="Arial"/>
                <w:sz w:val="22"/>
                <w:szCs w:val="22"/>
              </w:rPr>
            </w:pPr>
          </w:p>
        </w:tc>
      </w:tr>
      <w:tr w14:paraId="2E92A44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7" w:hRule="atLeast"/>
        </w:trPr>
        <w:tc>
          <w:tcPr>
            <w:tcW w:w="9781" w:type="dxa"/>
            <w:shd w:val="clear" w:color="auto" w:fill="F1F1F1" w:themeFill="background1" w:themeFillShade="F2"/>
            <w:vAlign w:val="center"/>
          </w:tcPr>
          <w:p w14:paraId="1F44D456">
            <w:pPr>
              <w:rPr>
                <w:rFonts w:cs="Arial"/>
                <w:sz w:val="22"/>
                <w:szCs w:val="22"/>
              </w:rPr>
            </w:pPr>
            <w:r>
              <w:rPr>
                <w:rFonts w:cs="Arial"/>
                <w:sz w:val="22"/>
                <w:szCs w:val="22"/>
              </w:rPr>
              <w:t>Proposed methodology (approx. 500 words):</w:t>
            </w:r>
          </w:p>
        </w:tc>
      </w:tr>
      <w:tr w14:paraId="61D1B7F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7" w:hRule="atLeast"/>
        </w:trPr>
        <w:tc>
          <w:tcPr>
            <w:tcW w:w="9781" w:type="dxa"/>
            <w:vAlign w:val="center"/>
          </w:tcPr>
          <w:p w14:paraId="643EB68B">
            <w:pPr>
              <w:rPr>
                <w:rFonts w:cs="Arial"/>
                <w:sz w:val="22"/>
                <w:szCs w:val="22"/>
              </w:rPr>
            </w:pPr>
            <w:r>
              <w:rPr>
                <w:rFonts w:cs="Arial"/>
                <w:sz w:val="22"/>
                <w:szCs w:val="22"/>
              </w:rPr>
              <w:t>In this section you will need to explain how you will achieve your aims and objectives:</w:t>
            </w:r>
          </w:p>
          <w:p w14:paraId="13BA1B27">
            <w:pPr>
              <w:numPr>
                <w:ilvl w:val="0"/>
                <w:numId w:val="3"/>
              </w:numPr>
              <w:rPr>
                <w:rFonts w:cs="Arial"/>
                <w:sz w:val="22"/>
                <w:szCs w:val="22"/>
              </w:rPr>
            </w:pPr>
            <w:r>
              <w:rPr>
                <w:rFonts w:cs="Arial"/>
                <w:sz w:val="22"/>
                <w:szCs w:val="22"/>
              </w:rPr>
              <w:t>Explain your disciplinary orientation/ approach</w:t>
            </w:r>
          </w:p>
          <w:p w14:paraId="07E6A7F2">
            <w:pPr>
              <w:numPr>
                <w:ilvl w:val="0"/>
                <w:numId w:val="3"/>
              </w:numPr>
              <w:rPr>
                <w:rFonts w:hint="default" w:ascii="微软雅黑" w:hAnsi="微软雅黑" w:eastAsia="微软雅黑" w:cs="微软雅黑"/>
                <w:color w:val="auto"/>
                <w:sz w:val="20"/>
                <w:szCs w:val="20"/>
                <w:lang w:val="en-US" w:eastAsia="zh-CN"/>
              </w:rPr>
            </w:pPr>
            <w:r>
              <w:rPr>
                <w:rFonts w:cs="Arial"/>
                <w:sz w:val="22"/>
                <w:szCs w:val="22"/>
              </w:rPr>
              <w:t xml:space="preserve">Describe the methods you will use to carry out your research: (eg library-based research, on-line research, </w:t>
            </w:r>
            <w:r>
              <w:rPr>
                <w:rFonts w:cs="Arial"/>
                <w:sz w:val="22"/>
                <w:szCs w:val="22"/>
                <w:highlight w:val="cyan"/>
              </w:rPr>
              <w:t>fieldwork</w:t>
            </w:r>
            <w:r>
              <w:rPr>
                <w:rFonts w:cs="Arial"/>
                <w:sz w:val="22"/>
                <w:szCs w:val="22"/>
              </w:rPr>
              <w:t xml:space="preserve"> (interviews/ participant-observation), analysis of visual data, combinations of these)</w:t>
            </w:r>
          </w:p>
          <w:p w14:paraId="599C2760">
            <w:pPr>
              <w:pStyle w:val="11"/>
              <w:keepNext w:val="0"/>
              <w:keepLines w:val="0"/>
              <w:widowControl/>
              <w:suppressLineNumbers w:val="0"/>
              <w:jc w:val="both"/>
              <w:rPr>
                <w:rFonts w:hint="default" w:ascii="Arial" w:hAnsi="Arial" w:eastAsia="微软雅黑" w:cs="Arial"/>
                <w:sz w:val="22"/>
                <w:szCs w:val="22"/>
              </w:rPr>
            </w:pPr>
            <w:r>
              <w:rPr>
                <w:rFonts w:hint="default" w:ascii="Arial" w:hAnsi="Arial" w:eastAsia="微软雅黑" w:cs="Arial"/>
                <w:sz w:val="22"/>
                <w:szCs w:val="22"/>
              </w:rPr>
              <w:t xml:space="preserve">Firstly, observation is a key tool for data collection in qualitative research. It involves the observer using their senses (including visual recording aids) to notice phenomena in the field environment and record them for scientific purposes (Angrosino, 2007). For </w:t>
            </w:r>
            <w:r>
              <w:rPr>
                <w:rStyle w:val="16"/>
                <w:rFonts w:hint="default" w:ascii="Arial" w:hAnsi="Arial" w:eastAsia="微软雅黑" w:cs="Arial"/>
                <w:sz w:val="22"/>
                <w:szCs w:val="22"/>
              </w:rPr>
              <w:t>Objective 1</w:t>
            </w:r>
            <w:r>
              <w:rPr>
                <w:rFonts w:hint="default" w:ascii="Arial" w:hAnsi="Arial" w:eastAsia="微软雅黑" w:cs="Arial"/>
                <w:sz w:val="22"/>
                <w:szCs w:val="22"/>
              </w:rPr>
              <w:t xml:space="preserve">, a 2–3 month participant observation and in-depth interview study will be conducted with </w:t>
            </w:r>
            <w:r>
              <w:rPr>
                <w:rFonts w:hint="default" w:ascii="Arial" w:hAnsi="Arial" w:eastAsia="微软雅黑" w:cs="Arial"/>
                <w:sz w:val="22"/>
                <w:szCs w:val="22"/>
                <w:lang w:val="en-US" w:eastAsia="zh-CN"/>
              </w:rPr>
              <w:t>the</w:t>
            </w:r>
            <w:r>
              <w:rPr>
                <w:rFonts w:hint="default" w:ascii="Arial" w:hAnsi="Arial" w:eastAsia="微软雅黑" w:cs="Arial"/>
                <w:sz w:val="22"/>
                <w:szCs w:val="22"/>
              </w:rPr>
              <w:t xml:space="preserve"> intangible cultural heritage (ICH) handicraft inheritors</w:t>
            </w:r>
            <w:r>
              <w:rPr>
                <w:rFonts w:hint="default" w:ascii="Arial" w:hAnsi="Arial" w:eastAsia="微软雅黑" w:cs="Arial"/>
                <w:sz w:val="22"/>
                <w:szCs w:val="22"/>
                <w:lang w:val="en-US" w:eastAsia="zh-CN"/>
              </w:rPr>
              <w:t xml:space="preserve"> in Nanjing</w:t>
            </w:r>
            <w:r>
              <w:rPr>
                <w:rFonts w:hint="default" w:ascii="Arial" w:hAnsi="Arial" w:eastAsia="微软雅黑" w:cs="Arial"/>
                <w:sz w:val="22"/>
                <w:szCs w:val="22"/>
              </w:rPr>
              <w:t xml:space="preserve">. The study will involve </w:t>
            </w:r>
            <w:r>
              <w:rPr>
                <w:rFonts w:hint="default" w:ascii="Arial" w:hAnsi="Arial" w:eastAsia="微软雅黑" w:cs="Arial"/>
                <w:sz w:val="22"/>
                <w:szCs w:val="22"/>
                <w:lang w:val="en-US" w:eastAsia="zh-CN"/>
              </w:rPr>
              <w:t>at least</w:t>
            </w:r>
            <w:r>
              <w:rPr>
                <w:rFonts w:hint="default" w:ascii="Arial" w:hAnsi="Arial" w:eastAsia="微软雅黑" w:cs="Arial"/>
                <w:sz w:val="22"/>
                <w:szCs w:val="22"/>
              </w:rPr>
              <w:t xml:space="preserve"> five types of ICH handicrafts and at least ten target inheritors. Textual and visual records of their creative and production processes will be collected and documented.</w:t>
            </w:r>
          </w:p>
          <w:p w14:paraId="7A69D2CC">
            <w:pPr>
              <w:pStyle w:val="11"/>
              <w:keepNext w:val="0"/>
              <w:keepLines w:val="0"/>
              <w:widowControl/>
              <w:suppressLineNumbers w:val="0"/>
              <w:jc w:val="both"/>
              <w:rPr>
                <w:rFonts w:hint="default" w:ascii="Arial" w:hAnsi="Arial" w:eastAsia="微软雅黑" w:cs="Arial"/>
                <w:sz w:val="22"/>
                <w:szCs w:val="22"/>
              </w:rPr>
            </w:pPr>
            <w:r>
              <w:rPr>
                <w:rFonts w:hint="default" w:ascii="Arial" w:hAnsi="Arial" w:eastAsia="微软雅黑" w:cs="Arial"/>
                <w:sz w:val="22"/>
                <w:szCs w:val="22"/>
              </w:rPr>
              <w:t xml:space="preserve">Secondly, for </w:t>
            </w:r>
            <w:r>
              <w:rPr>
                <w:rStyle w:val="16"/>
                <w:rFonts w:hint="default" w:ascii="Arial" w:hAnsi="Arial" w:eastAsia="微软雅黑" w:cs="Arial"/>
                <w:sz w:val="22"/>
                <w:szCs w:val="22"/>
              </w:rPr>
              <w:t>Objective 2</w:t>
            </w:r>
            <w:r>
              <w:rPr>
                <w:rFonts w:hint="default" w:ascii="Arial" w:hAnsi="Arial" w:eastAsia="微软雅黑" w:cs="Arial"/>
                <w:sz w:val="22"/>
                <w:szCs w:val="22"/>
              </w:rPr>
              <w:t>, a qualitative approach will be used to explore and identify the intentions and acceptance levels of Nanjing ICH artisans toward AI-assisted creative processes, as well as the influencing factors. The study will further analyze the mechanisms through which these factors interact. Ethnographic research is particularly suited to the goal of providing a detailed and comprehensive description of a group or culture-sharing community, as well as uncovering patterns of social organization and belief systems (Wollcott, 2008).</w:t>
            </w:r>
          </w:p>
          <w:p w14:paraId="2EF190B6">
            <w:pPr>
              <w:pStyle w:val="11"/>
              <w:keepNext w:val="0"/>
              <w:keepLines w:val="0"/>
              <w:widowControl/>
              <w:suppressLineNumbers w:val="0"/>
              <w:jc w:val="both"/>
              <w:rPr>
                <w:rFonts w:hint="default" w:ascii="Arial" w:hAnsi="Arial" w:eastAsia="微软雅黑" w:cs="Arial"/>
                <w:sz w:val="22"/>
                <w:szCs w:val="22"/>
              </w:rPr>
            </w:pPr>
            <w:r>
              <w:rPr>
                <w:rFonts w:hint="default" w:ascii="Arial" w:hAnsi="Arial" w:eastAsia="微软雅黑" w:cs="Arial"/>
                <w:sz w:val="22"/>
                <w:szCs w:val="22"/>
              </w:rPr>
              <w:t xml:space="preserve">The interviews will be conducted in Nanjing and follow a sampling rationale (Fendt &amp; Sachs, 2008). Participants will be selected from those involved in </w:t>
            </w:r>
            <w:r>
              <w:rPr>
                <w:rFonts w:hint="default" w:ascii="Arial" w:hAnsi="Arial" w:eastAsia="微软雅黑" w:cs="Arial"/>
                <w:sz w:val="22"/>
                <w:szCs w:val="22"/>
                <w:lang w:val="en-US" w:eastAsia="zh-CN"/>
              </w:rPr>
              <w:t xml:space="preserve">participants of </w:t>
            </w:r>
            <w:r>
              <w:rPr>
                <w:rStyle w:val="16"/>
                <w:rFonts w:hint="default" w:ascii="Arial" w:hAnsi="Arial" w:eastAsia="微软雅黑" w:cs="Arial"/>
                <w:sz w:val="22"/>
                <w:szCs w:val="22"/>
              </w:rPr>
              <w:t>Objective 1</w:t>
            </w:r>
            <w:r>
              <w:rPr>
                <w:rFonts w:hint="default" w:ascii="Arial" w:hAnsi="Arial" w:eastAsia="微软雅黑" w:cs="Arial"/>
                <w:sz w:val="22"/>
                <w:szCs w:val="22"/>
              </w:rPr>
              <w:t>. A realist ethnography approach will be adopted to objectively describe, in third person, the creative processes of Nanjing ICH artisans. This will include observing, interviewing, and collecting documents and artifacts until the operational patterns of the cultural group become clear (Fetterman, 2010; Hammersley &amp; Atkinson, 1995; Spradley, 1980).</w:t>
            </w:r>
          </w:p>
          <w:p w14:paraId="43CBAD4E">
            <w:pPr>
              <w:pStyle w:val="11"/>
              <w:keepNext w:val="0"/>
              <w:keepLines w:val="0"/>
              <w:widowControl/>
              <w:suppressLineNumbers w:val="0"/>
              <w:jc w:val="both"/>
              <w:rPr>
                <w:rFonts w:hint="eastAsia" w:ascii="Arial" w:hAnsi="Arial" w:eastAsia="微软雅黑" w:cs="Arial"/>
                <w:b/>
                <w:bCs/>
                <w:sz w:val="22"/>
                <w:szCs w:val="22"/>
                <w:lang w:val="en-US" w:eastAsia="zh-CN"/>
              </w:rPr>
            </w:pPr>
            <w:r>
              <w:rPr>
                <w:rFonts w:hint="eastAsia" w:ascii="Arial" w:hAnsi="Arial" w:eastAsia="微软雅黑" w:cs="Arial"/>
                <w:b/>
                <w:bCs/>
                <w:sz w:val="22"/>
                <w:szCs w:val="22"/>
                <w:lang w:val="en-US" w:eastAsia="zh-CN"/>
              </w:rPr>
              <w:t>The criteria for selecting participants are follows:</w:t>
            </w:r>
          </w:p>
          <w:p w14:paraId="78ABF5A0">
            <w:pPr>
              <w:keepNext w:val="0"/>
              <w:keepLines w:val="0"/>
              <w:widowControl/>
              <w:numPr>
                <w:numId w:val="0"/>
              </w:numPr>
              <w:suppressLineNumbers w:val="0"/>
              <w:spacing w:before="0" w:beforeAutospacing="1" w:after="0" w:afterAutospacing="1"/>
              <w:rPr>
                <w:rFonts w:hint="default" w:ascii="Arial" w:hAnsi="Arial" w:eastAsia="微软雅黑" w:cs="Arial"/>
                <w:sz w:val="22"/>
                <w:szCs w:val="22"/>
              </w:rPr>
            </w:pPr>
            <w:r>
              <w:rPr>
                <w:rStyle w:val="16"/>
                <w:rFonts w:hint="eastAsia" w:ascii="Arial" w:hAnsi="Arial" w:eastAsia="微软雅黑" w:cs="Arial"/>
                <w:sz w:val="22"/>
                <w:szCs w:val="22"/>
                <w:lang w:val="en-US" w:eastAsia="zh-CN"/>
              </w:rPr>
              <w:t>1.</w:t>
            </w:r>
            <w:r>
              <w:rPr>
                <w:rStyle w:val="16"/>
                <w:rFonts w:hint="default" w:ascii="Arial" w:hAnsi="Arial" w:eastAsia="微软雅黑" w:cs="Arial"/>
                <w:sz w:val="22"/>
                <w:szCs w:val="22"/>
              </w:rPr>
              <w:t>Professional Qualification and Cultural Background</w:t>
            </w:r>
            <w:r>
              <w:rPr>
                <w:rFonts w:hint="default" w:ascii="Arial" w:hAnsi="Arial" w:eastAsia="微软雅黑" w:cs="Arial"/>
                <w:sz w:val="22"/>
                <w:szCs w:val="22"/>
              </w:rPr>
              <w:t>: Participants must be representative ICH inheritors from Nanjing, including official inheritors of national, provincial, or municipal projects. They should possess profound technical knowledge, practical experience, and an in-depth understanding of Nanjing’s regional culture and historical context.</w:t>
            </w:r>
          </w:p>
          <w:p w14:paraId="3B3604F5">
            <w:pPr>
              <w:keepNext w:val="0"/>
              <w:keepLines w:val="0"/>
              <w:widowControl/>
              <w:numPr>
                <w:numId w:val="0"/>
              </w:numPr>
              <w:suppressLineNumbers w:val="0"/>
              <w:spacing w:before="0" w:beforeAutospacing="1" w:after="0" w:afterAutospacing="1"/>
              <w:rPr>
                <w:rFonts w:hint="default" w:ascii="Arial" w:hAnsi="Arial" w:eastAsia="微软雅黑" w:cs="Arial"/>
                <w:sz w:val="22"/>
                <w:szCs w:val="22"/>
              </w:rPr>
            </w:pPr>
            <w:r>
              <w:rPr>
                <w:rStyle w:val="16"/>
                <w:rFonts w:hint="eastAsia" w:ascii="Arial" w:hAnsi="Arial" w:eastAsia="微软雅黑" w:cs="Arial"/>
                <w:sz w:val="22"/>
                <w:szCs w:val="22"/>
                <w:lang w:val="en-US" w:eastAsia="zh-CN"/>
              </w:rPr>
              <w:t>2.</w:t>
            </w:r>
            <w:r>
              <w:rPr>
                <w:rStyle w:val="16"/>
                <w:rFonts w:hint="default" w:ascii="Arial" w:hAnsi="Arial" w:eastAsia="微软雅黑" w:cs="Arial"/>
                <w:sz w:val="22"/>
                <w:szCs w:val="22"/>
              </w:rPr>
              <w:t>Awareness of Technology and Innovation</w:t>
            </w:r>
            <w:r>
              <w:rPr>
                <w:rFonts w:hint="default" w:ascii="Arial" w:hAnsi="Arial" w:eastAsia="微软雅黑" w:cs="Arial"/>
                <w:sz w:val="22"/>
                <w:szCs w:val="22"/>
              </w:rPr>
              <w:t>: Participants should have some understanding of or interest in AI-assisted creative processes and be able to discuss the impact of technology on ICH creation and transmission from a practical perspective.</w:t>
            </w:r>
          </w:p>
          <w:p w14:paraId="0DD037D3">
            <w:pPr>
              <w:keepNext w:val="0"/>
              <w:keepLines w:val="0"/>
              <w:widowControl/>
              <w:numPr>
                <w:numId w:val="0"/>
              </w:numPr>
              <w:suppressLineNumbers w:val="0"/>
              <w:spacing w:before="0" w:beforeAutospacing="1" w:after="0" w:afterAutospacing="1"/>
              <w:rPr>
                <w:rFonts w:hint="default" w:ascii="Arial" w:hAnsi="Arial" w:eastAsia="微软雅黑" w:cs="Arial"/>
                <w:sz w:val="22"/>
                <w:szCs w:val="22"/>
              </w:rPr>
            </w:pPr>
            <w:r>
              <w:rPr>
                <w:rStyle w:val="16"/>
                <w:rFonts w:hint="eastAsia" w:ascii="Arial" w:hAnsi="Arial" w:eastAsia="微软雅黑" w:cs="Arial"/>
                <w:sz w:val="22"/>
                <w:szCs w:val="22"/>
                <w:lang w:val="en-US" w:eastAsia="zh-CN"/>
              </w:rPr>
              <w:t>3.</w:t>
            </w:r>
            <w:r>
              <w:rPr>
                <w:rStyle w:val="16"/>
                <w:rFonts w:hint="default" w:ascii="Arial" w:hAnsi="Arial" w:eastAsia="微软雅黑" w:cs="Arial"/>
                <w:sz w:val="22"/>
                <w:szCs w:val="22"/>
              </w:rPr>
              <w:t>Professional Experience and Generational Distribution</w:t>
            </w:r>
            <w:r>
              <w:rPr>
                <w:rFonts w:hint="default" w:ascii="Arial" w:hAnsi="Arial" w:eastAsia="微软雅黑" w:cs="Arial"/>
                <w:sz w:val="22"/>
                <w:szCs w:val="22"/>
              </w:rPr>
              <w:t>: Participants must have at least five years of professional experience and actual creative involvement. The study will also include participants from different age groups to explore intergenerational collaboration and the adaptability of AI in dynamic inheritance processes.</w:t>
            </w:r>
          </w:p>
          <w:p w14:paraId="5D05F398">
            <w:pPr>
              <w:pStyle w:val="11"/>
              <w:keepNext w:val="0"/>
              <w:keepLines w:val="0"/>
              <w:widowControl/>
              <w:suppressLineNumbers w:val="0"/>
              <w:rPr>
                <w:rFonts w:hint="default" w:ascii="Arial" w:hAnsi="Arial" w:eastAsia="微软雅黑" w:cs="Arial"/>
                <w:sz w:val="22"/>
                <w:szCs w:val="22"/>
              </w:rPr>
            </w:pPr>
            <w:r>
              <w:rPr>
                <w:rFonts w:hint="default" w:ascii="Arial" w:hAnsi="Arial" w:eastAsia="微软雅黑" w:cs="Arial"/>
                <w:sz w:val="22"/>
                <w:szCs w:val="22"/>
              </w:rPr>
              <w:t>To ensure the focus and effectiveness</w:t>
            </w:r>
            <w:r>
              <w:rPr>
                <w:rFonts w:hint="default" w:ascii="Arial" w:hAnsi="Arial" w:eastAsia="微软雅黑" w:cs="Arial"/>
                <w:sz w:val="22"/>
                <w:szCs w:val="22"/>
                <w:lang w:val="en-US" w:eastAsia="zh-CN"/>
              </w:rPr>
              <w:t xml:space="preserve"> of this research</w:t>
            </w:r>
            <w:r>
              <w:rPr>
                <w:rFonts w:hint="default" w:ascii="Arial" w:hAnsi="Arial" w:eastAsia="微软雅黑" w:cs="Arial"/>
                <w:sz w:val="22"/>
                <w:szCs w:val="22"/>
              </w:rPr>
              <w:t>, the sample size for in-depth interviews should range from 28 to 40 participants (Gubrium &amp; Holstein, 2001, p. 20), adhering to the principle of theoretical saturation. A total of 32 participants will ultimately be selected.</w:t>
            </w:r>
          </w:p>
          <w:p w14:paraId="23B17DA7">
            <w:pPr>
              <w:pStyle w:val="11"/>
              <w:keepNext w:val="0"/>
              <w:keepLines w:val="0"/>
              <w:widowControl/>
              <w:suppressLineNumbers w:val="0"/>
              <w:rPr>
                <w:rFonts w:hint="default" w:ascii="Arial" w:hAnsi="Arial" w:eastAsia="微软雅黑" w:cs="Arial"/>
                <w:sz w:val="22"/>
                <w:szCs w:val="22"/>
              </w:rPr>
            </w:pPr>
            <w:r>
              <w:rPr>
                <w:rFonts w:hint="default" w:ascii="Arial" w:hAnsi="Arial" w:eastAsia="微软雅黑" w:cs="Arial"/>
                <w:sz w:val="22"/>
                <w:szCs w:val="22"/>
              </w:rPr>
              <w:t xml:space="preserve">Before the interviews, the interviewer will ask follow-up questions based on the participants’ responses and encourage them to provide specific examples or stories. Each interview will last approximately 40 minutes. </w:t>
            </w:r>
            <w:r>
              <w:rPr>
                <w:rFonts w:hint="default" w:ascii="Arial" w:hAnsi="Arial" w:eastAsia="微软雅黑" w:cs="Arial"/>
                <w:b/>
                <w:bCs/>
                <w:sz w:val="22"/>
                <w:szCs w:val="22"/>
                <w:lang w:val="en-US" w:eastAsia="zh-CN"/>
              </w:rPr>
              <w:t>Objective3</w:t>
            </w:r>
            <w:r>
              <w:rPr>
                <w:rFonts w:hint="default" w:ascii="Arial" w:hAnsi="Arial" w:eastAsia="微软雅黑" w:cs="Arial"/>
                <w:sz w:val="22"/>
                <w:szCs w:val="22"/>
                <w:lang w:val="en-US" w:eastAsia="zh-CN"/>
              </w:rPr>
              <w:t xml:space="preserve"> </w:t>
            </w:r>
            <w:r>
              <w:rPr>
                <w:rFonts w:hint="default" w:ascii="Arial" w:hAnsi="Arial" w:eastAsia="微软雅黑" w:cs="Arial"/>
                <w:sz w:val="22"/>
                <w:szCs w:val="22"/>
              </w:rPr>
              <w:t>Data extracted from the interviews regarding Nanjing ICH artisans’ intentions toward AI-assisted creation and influencing factors will be used to construct a model. This model will then be validated through a subsequent questionnaire survey.</w:t>
            </w:r>
          </w:p>
          <w:p w14:paraId="1DF7C4C0">
            <w:pPr>
              <w:rPr>
                <w:rFonts w:hint="default" w:ascii="Arial" w:hAnsi="Arial" w:eastAsia="微软雅黑" w:cs="Arial"/>
                <w:color w:val="FF0000"/>
                <w:sz w:val="22"/>
                <w:szCs w:val="22"/>
                <w:lang w:val="en-US" w:eastAsia="zh-CN"/>
              </w:rPr>
            </w:pPr>
          </w:p>
          <w:p w14:paraId="301B603B">
            <w:pPr>
              <w:rPr>
                <w:rFonts w:hint="default" w:ascii="微软雅黑" w:hAnsi="微软雅黑" w:eastAsia="微软雅黑" w:cs="微软雅黑"/>
                <w:color w:val="FF0000"/>
                <w:sz w:val="22"/>
                <w:szCs w:val="22"/>
                <w:lang w:val="en-US" w:eastAsia="zh-CN"/>
              </w:rPr>
            </w:pPr>
          </w:p>
          <w:p w14:paraId="30D1F3FB">
            <w:pPr>
              <w:rPr>
                <w:rFonts w:cs="Arial"/>
                <w:sz w:val="22"/>
                <w:szCs w:val="22"/>
              </w:rPr>
            </w:pPr>
          </w:p>
          <w:p w14:paraId="5C8D917E">
            <w:pPr>
              <w:rPr>
                <w:rFonts w:cs="Arial"/>
                <w:sz w:val="22"/>
                <w:szCs w:val="22"/>
              </w:rPr>
            </w:pPr>
          </w:p>
        </w:tc>
      </w:tr>
      <w:tr w14:paraId="2B34384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7" w:hRule="atLeast"/>
        </w:trPr>
        <w:tc>
          <w:tcPr>
            <w:tcW w:w="9781" w:type="dxa"/>
            <w:shd w:val="clear" w:color="auto" w:fill="F1F1F1" w:themeFill="background1" w:themeFillShade="F2"/>
            <w:vAlign w:val="center"/>
          </w:tcPr>
          <w:p w14:paraId="458C1CA8">
            <w:pPr>
              <w:rPr>
                <w:rFonts w:cs="Arial"/>
                <w:sz w:val="22"/>
                <w:szCs w:val="22"/>
              </w:rPr>
            </w:pPr>
            <w:r>
              <w:rPr>
                <w:rFonts w:cs="Arial"/>
                <w:sz w:val="22"/>
                <w:szCs w:val="22"/>
              </w:rPr>
              <w:t>Introductory bibliography:</w:t>
            </w:r>
          </w:p>
        </w:tc>
      </w:tr>
      <w:tr w14:paraId="0CF23B2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7" w:hRule="atLeast"/>
        </w:trPr>
        <w:tc>
          <w:tcPr>
            <w:tcW w:w="9781" w:type="dxa"/>
            <w:vAlign w:val="center"/>
          </w:tcPr>
          <w:p w14:paraId="0D5F5D60">
            <w:pPr>
              <w:rPr>
                <w:rFonts w:cs="Arial"/>
                <w:sz w:val="22"/>
                <w:szCs w:val="22"/>
              </w:rPr>
            </w:pPr>
            <w:r>
              <w:rPr>
                <w:rFonts w:cs="Arial"/>
                <w:sz w:val="22"/>
                <w:szCs w:val="22"/>
              </w:rPr>
              <w:t xml:space="preserve">In this section you should list a minimum of 30 titles that are relevant to your research. </w:t>
            </w:r>
          </w:p>
          <w:p w14:paraId="1E8DE918">
            <w:pPr>
              <w:rPr>
                <w:rFonts w:cs="Arial"/>
                <w:sz w:val="22"/>
                <w:szCs w:val="22"/>
              </w:rPr>
            </w:pPr>
            <w:r>
              <w:rPr>
                <w:rFonts w:cs="Arial"/>
                <w:sz w:val="22"/>
                <w:szCs w:val="22"/>
              </w:rPr>
              <w:t xml:space="preserve">You should include all works cited in this form. </w:t>
            </w:r>
          </w:p>
          <w:p w14:paraId="4534008E">
            <w:pPr>
              <w:rPr>
                <w:rFonts w:cs="Arial"/>
                <w:sz w:val="22"/>
                <w:szCs w:val="22"/>
              </w:rPr>
            </w:pPr>
            <w:r>
              <w:rPr>
                <w:rFonts w:cs="Arial"/>
                <w:sz w:val="22"/>
                <w:szCs w:val="22"/>
              </w:rPr>
              <w:t>The list should be alphabetical using the referencing system appropriate to your discipline.</w:t>
            </w:r>
          </w:p>
          <w:p w14:paraId="661E9493">
            <w:pPr>
              <w:rPr>
                <w:rFonts w:cs="Arial"/>
                <w:sz w:val="22"/>
                <w:szCs w:val="22"/>
              </w:rPr>
            </w:pPr>
          </w:p>
          <w:p w14:paraId="68F4461D">
            <w:pPr>
              <w:ind w:firstLine="440" w:firstLineChars="200"/>
              <w:rPr>
                <w:rFonts w:hint="eastAsia" w:ascii="微软雅黑" w:hAnsi="微软雅黑" w:eastAsia="微软雅黑" w:cs="微软雅黑"/>
                <w:color w:val="FF0000"/>
                <w:sz w:val="22"/>
                <w:szCs w:val="22"/>
                <w:lang w:val="en-US" w:eastAsia="zh-CN"/>
              </w:rPr>
            </w:pPr>
            <w:r>
              <w:rPr>
                <w:rFonts w:hint="eastAsia" w:ascii="微软雅黑" w:hAnsi="微软雅黑" w:eastAsia="微软雅黑" w:cs="微软雅黑"/>
                <w:color w:val="FF0000"/>
                <w:sz w:val="22"/>
                <w:szCs w:val="22"/>
              </w:rPr>
              <w:t xml:space="preserve">Department of Intangible Cultural Heritage. (2006). </w:t>
            </w:r>
            <w:r>
              <w:rPr>
                <w:rStyle w:val="18"/>
                <w:rFonts w:hint="eastAsia" w:ascii="微软雅黑" w:hAnsi="微软雅黑" w:eastAsia="微软雅黑" w:cs="微软雅黑"/>
                <w:color w:val="FF0000"/>
                <w:sz w:val="22"/>
                <w:szCs w:val="22"/>
              </w:rPr>
              <w:t>Notice from the Ministry of Culture on the Application for the First Batch of National Intangible Cultural Heritage Representative Items.</w:t>
            </w:r>
          </w:p>
          <w:p w14:paraId="6978FD42">
            <w:pPr>
              <w:ind w:firstLine="440" w:firstLineChars="200"/>
              <w:rPr>
                <w:rFonts w:hint="eastAsia" w:ascii="微软雅黑" w:hAnsi="微软雅黑" w:eastAsia="微软雅黑" w:cs="微软雅黑"/>
                <w:color w:val="FF0000"/>
                <w:sz w:val="22"/>
                <w:szCs w:val="22"/>
                <w:lang w:val="en-US" w:eastAsia="zh-CN"/>
              </w:rPr>
            </w:pPr>
            <w:r>
              <w:rPr>
                <w:rFonts w:hint="eastAsia" w:ascii="微软雅黑" w:hAnsi="微软雅黑" w:eastAsia="微软雅黑" w:cs="微软雅黑"/>
                <w:color w:val="FF0000"/>
                <w:sz w:val="22"/>
                <w:szCs w:val="22"/>
              </w:rPr>
              <w:t xml:space="preserve">Zheng, Jiuliang. (2023). "The Dialectical Relationship and Integration Path Between Traditional Intangible Cultural Heritage Techniques and Modern Technology: A Case Study of Contemporary Production in the Handmade Paper Industry," </w:t>
            </w:r>
            <w:r>
              <w:rPr>
                <w:rStyle w:val="18"/>
                <w:rFonts w:hint="eastAsia" w:ascii="微软雅黑" w:hAnsi="微软雅黑" w:eastAsia="微软雅黑" w:cs="微软雅黑"/>
                <w:color w:val="FF0000"/>
                <w:sz w:val="22"/>
                <w:szCs w:val="22"/>
              </w:rPr>
              <w:t>Journal of Changzhou Institute of Technology (Social Science Edition)</w:t>
            </w:r>
            <w:r>
              <w:rPr>
                <w:rFonts w:hint="eastAsia" w:ascii="微软雅黑" w:hAnsi="微软雅黑" w:eastAsia="微软雅黑" w:cs="微软雅黑"/>
                <w:color w:val="FF0000"/>
                <w:sz w:val="22"/>
                <w:szCs w:val="22"/>
              </w:rPr>
              <w:t>, 41(01), pp. 128–135.</w:t>
            </w:r>
          </w:p>
          <w:p w14:paraId="03F3BD10">
            <w:pPr>
              <w:ind w:firstLine="440" w:firstLineChars="200"/>
              <w:rPr>
                <w:rFonts w:hint="eastAsia" w:ascii="微软雅黑" w:hAnsi="微软雅黑" w:eastAsia="微软雅黑" w:cs="微软雅黑"/>
                <w:i/>
                <w:iCs/>
                <w:color w:val="FF0000"/>
                <w:sz w:val="22"/>
                <w:szCs w:val="22"/>
                <w:lang w:val="en-US" w:eastAsia="zh-CN"/>
              </w:rPr>
            </w:pPr>
            <w:r>
              <w:rPr>
                <w:rFonts w:hint="eastAsia" w:ascii="微软雅黑" w:hAnsi="微软雅黑" w:eastAsia="微软雅黑" w:cs="微软雅黑"/>
                <w:color w:val="FF0000"/>
                <w:sz w:val="22"/>
                <w:szCs w:val="22"/>
                <w:lang w:val="en-US" w:eastAsia="zh-CN"/>
              </w:rPr>
              <w:t xml:space="preserve">Smith,L.and Akagawa,N.(2008). </w:t>
            </w:r>
            <w:r>
              <w:rPr>
                <w:rFonts w:hint="default" w:ascii="微软雅黑" w:hAnsi="微软雅黑" w:eastAsia="微软雅黑" w:cs="微软雅黑"/>
                <w:color w:val="FF0000"/>
                <w:sz w:val="22"/>
                <w:szCs w:val="22"/>
                <w:lang w:val="en-US" w:eastAsia="zh-CN"/>
              </w:rPr>
              <w:t>‘</w:t>
            </w:r>
            <w:r>
              <w:rPr>
                <w:rFonts w:hint="eastAsia" w:ascii="微软雅黑" w:hAnsi="微软雅黑" w:eastAsia="微软雅黑" w:cs="微软雅黑"/>
                <w:color w:val="FF0000"/>
                <w:sz w:val="22"/>
                <w:szCs w:val="22"/>
                <w:lang w:val="en-US" w:eastAsia="zh-CN"/>
              </w:rPr>
              <w:t>Intangible heritage</w:t>
            </w:r>
            <w:r>
              <w:rPr>
                <w:rFonts w:hint="default" w:ascii="微软雅黑" w:hAnsi="微软雅黑" w:eastAsia="微软雅黑" w:cs="微软雅黑"/>
                <w:color w:val="FF0000"/>
                <w:sz w:val="22"/>
                <w:szCs w:val="22"/>
                <w:lang w:val="en-US" w:eastAsia="zh-CN"/>
              </w:rPr>
              <w:t>’</w:t>
            </w:r>
            <w:r>
              <w:rPr>
                <w:rFonts w:hint="eastAsia" w:ascii="微软雅黑" w:hAnsi="微软雅黑" w:eastAsia="微软雅黑" w:cs="微软雅黑"/>
                <w:color w:val="FF0000"/>
                <w:sz w:val="22"/>
                <w:szCs w:val="22"/>
                <w:lang w:val="en-US" w:eastAsia="zh-CN"/>
              </w:rPr>
              <w:t>,</w:t>
            </w:r>
            <w:r>
              <w:rPr>
                <w:rFonts w:hint="eastAsia" w:ascii="微软雅黑" w:hAnsi="微软雅黑" w:eastAsia="微软雅黑" w:cs="微软雅黑"/>
                <w:i/>
                <w:iCs/>
                <w:color w:val="FF0000"/>
                <w:sz w:val="22"/>
                <w:szCs w:val="22"/>
                <w:lang w:val="en-US" w:eastAsia="zh-CN"/>
              </w:rPr>
              <w:t>New York :Routledge.</w:t>
            </w:r>
          </w:p>
          <w:p w14:paraId="75461ACB">
            <w:pPr>
              <w:ind w:firstLine="440" w:firstLineChars="200"/>
              <w:rPr>
                <w:rFonts w:hint="eastAsia" w:ascii="微软雅黑" w:hAnsi="微软雅黑" w:eastAsia="微软雅黑" w:cs="微软雅黑"/>
                <w:i w:val="0"/>
                <w:iCs w:val="0"/>
                <w:color w:val="FF0000"/>
                <w:sz w:val="22"/>
                <w:szCs w:val="22"/>
                <w:lang w:val="en-US" w:eastAsia="zh-CN"/>
              </w:rPr>
            </w:pPr>
            <w:r>
              <w:rPr>
                <w:rFonts w:hint="eastAsia" w:ascii="微软雅黑" w:hAnsi="微软雅黑" w:eastAsia="微软雅黑" w:cs="微软雅黑"/>
                <w:i w:val="0"/>
                <w:iCs w:val="0"/>
                <w:color w:val="FF0000"/>
                <w:sz w:val="22"/>
                <w:szCs w:val="22"/>
                <w:lang w:val="en-US" w:eastAsia="zh-CN"/>
              </w:rPr>
              <w:t xml:space="preserve">Cominelli,F.and Greffe,X.(2021). </w:t>
            </w:r>
            <w:r>
              <w:rPr>
                <w:rFonts w:hint="default" w:ascii="微软雅黑" w:hAnsi="微软雅黑" w:eastAsia="微软雅黑" w:cs="微软雅黑"/>
                <w:i w:val="0"/>
                <w:iCs w:val="0"/>
                <w:color w:val="FF0000"/>
                <w:sz w:val="22"/>
                <w:szCs w:val="22"/>
                <w:lang w:val="en-US" w:eastAsia="zh-CN"/>
              </w:rPr>
              <w:t>‘</w:t>
            </w:r>
            <w:r>
              <w:rPr>
                <w:rFonts w:hint="eastAsia" w:ascii="微软雅黑" w:hAnsi="微软雅黑" w:eastAsia="微软雅黑" w:cs="微软雅黑"/>
                <w:i w:val="0"/>
                <w:iCs w:val="0"/>
                <w:color w:val="FF0000"/>
                <w:sz w:val="22"/>
                <w:szCs w:val="22"/>
                <w:lang w:val="en-US" w:eastAsia="zh-CN"/>
              </w:rPr>
              <w:t>Intangible cultural heritage:Safeguarding for creativity</w:t>
            </w:r>
            <w:r>
              <w:rPr>
                <w:rFonts w:hint="default" w:ascii="微软雅黑" w:hAnsi="微软雅黑" w:eastAsia="微软雅黑" w:cs="微软雅黑"/>
                <w:i w:val="0"/>
                <w:iCs w:val="0"/>
                <w:color w:val="FF0000"/>
                <w:sz w:val="22"/>
                <w:szCs w:val="22"/>
                <w:lang w:val="en-US" w:eastAsia="zh-CN"/>
              </w:rPr>
              <w:t>’</w:t>
            </w:r>
            <w:r>
              <w:rPr>
                <w:rFonts w:hint="eastAsia" w:ascii="微软雅黑" w:hAnsi="微软雅黑" w:eastAsia="微软雅黑" w:cs="微软雅黑"/>
                <w:i w:val="0"/>
                <w:iCs w:val="0"/>
                <w:color w:val="FF0000"/>
                <w:sz w:val="22"/>
                <w:szCs w:val="22"/>
                <w:lang w:val="en-US" w:eastAsia="zh-CN"/>
              </w:rPr>
              <w:t>,</w:t>
            </w:r>
            <w:r>
              <w:rPr>
                <w:rFonts w:hint="eastAsia" w:ascii="微软雅黑" w:hAnsi="微软雅黑" w:eastAsia="微软雅黑" w:cs="微软雅黑"/>
                <w:i/>
                <w:iCs/>
                <w:color w:val="FF0000"/>
                <w:sz w:val="22"/>
                <w:szCs w:val="22"/>
                <w:lang w:val="en-US" w:eastAsia="zh-CN"/>
              </w:rPr>
              <w:t>City,cultural and society</w:t>
            </w:r>
            <w:r>
              <w:rPr>
                <w:rFonts w:hint="eastAsia" w:ascii="微软雅黑" w:hAnsi="微软雅黑" w:eastAsia="微软雅黑" w:cs="微软雅黑"/>
                <w:i w:val="0"/>
                <w:iCs w:val="0"/>
                <w:color w:val="FF0000"/>
                <w:sz w:val="22"/>
                <w:szCs w:val="22"/>
                <w:lang w:val="en-US" w:eastAsia="zh-CN"/>
              </w:rPr>
              <w:t>,3(04),pp245-250.</w:t>
            </w:r>
          </w:p>
          <w:p w14:paraId="2053AFE6">
            <w:pPr>
              <w:ind w:firstLine="440" w:firstLineChars="200"/>
              <w:jc w:val="left"/>
              <w:rPr>
                <w:rFonts w:hint="eastAsia" w:ascii="微软雅黑" w:hAnsi="微软雅黑" w:eastAsia="微软雅黑" w:cs="微软雅黑"/>
                <w:color w:val="FF0000"/>
                <w:sz w:val="22"/>
                <w:szCs w:val="22"/>
              </w:rPr>
            </w:pPr>
            <w:r>
              <w:rPr>
                <w:rFonts w:hint="eastAsia" w:ascii="微软雅黑" w:hAnsi="微软雅黑" w:eastAsia="微软雅黑" w:cs="微软雅黑"/>
                <w:color w:val="FF0000"/>
                <w:sz w:val="22"/>
                <w:szCs w:val="22"/>
              </w:rPr>
              <w:t xml:space="preserve">Wang, Wenzhang. (2013). </w:t>
            </w:r>
            <w:r>
              <w:rPr>
                <w:rStyle w:val="18"/>
                <w:rFonts w:hint="eastAsia" w:ascii="微软雅黑" w:hAnsi="微软雅黑" w:eastAsia="微软雅黑" w:cs="微软雅黑"/>
                <w:color w:val="FF0000"/>
                <w:sz w:val="22"/>
                <w:szCs w:val="22"/>
              </w:rPr>
              <w:t>Introduction to Intangible Cultural Heritage.</w:t>
            </w:r>
            <w:r>
              <w:rPr>
                <w:rFonts w:hint="eastAsia" w:ascii="微软雅黑" w:hAnsi="微软雅黑" w:eastAsia="微软雅黑" w:cs="微软雅黑"/>
                <w:color w:val="FF0000"/>
                <w:sz w:val="22"/>
                <w:szCs w:val="22"/>
              </w:rPr>
              <w:t xml:space="preserve"> Beijing: Educational Science Publishing House.</w:t>
            </w:r>
          </w:p>
          <w:p w14:paraId="6320680E">
            <w:pPr>
              <w:ind w:firstLine="440" w:firstLineChars="200"/>
              <w:jc w:val="left"/>
              <w:rPr>
                <w:rFonts w:hint="eastAsia" w:ascii="微软雅黑" w:hAnsi="微软雅黑" w:eastAsia="微软雅黑" w:cs="微软雅黑"/>
                <w:color w:val="FF0000"/>
                <w:sz w:val="22"/>
                <w:szCs w:val="22"/>
              </w:rPr>
            </w:pPr>
            <w:r>
              <w:rPr>
                <w:rFonts w:hint="eastAsia" w:ascii="微软雅黑" w:hAnsi="微软雅黑" w:eastAsia="微软雅黑" w:cs="微软雅黑"/>
                <w:color w:val="FF0000"/>
                <w:sz w:val="22"/>
                <w:szCs w:val="22"/>
              </w:rPr>
              <w:t xml:space="preserve">Wang, Nana. (2022). "Research on the Digital Gamification Strategy of Intangible Cultural Heritage Based on Jinling Festival Culture: A Case Study of the Qinhuai Lantern Festival," </w:t>
            </w:r>
            <w:r>
              <w:rPr>
                <w:rStyle w:val="18"/>
                <w:rFonts w:hint="eastAsia" w:ascii="微软雅黑" w:hAnsi="微软雅黑" w:eastAsia="微软雅黑" w:cs="微软雅黑"/>
                <w:color w:val="FF0000"/>
                <w:sz w:val="22"/>
                <w:szCs w:val="22"/>
              </w:rPr>
              <w:t>Packaging Engineering</w:t>
            </w:r>
            <w:r>
              <w:rPr>
                <w:rFonts w:hint="eastAsia" w:ascii="微软雅黑" w:hAnsi="微软雅黑" w:eastAsia="微软雅黑" w:cs="微软雅黑"/>
                <w:color w:val="FF0000"/>
                <w:sz w:val="22"/>
                <w:szCs w:val="22"/>
              </w:rPr>
              <w:t>, (24), pp. 420–430.</w:t>
            </w:r>
            <w:r>
              <w:rPr>
                <w:rFonts w:hint="eastAsia" w:ascii="微软雅黑" w:hAnsi="微软雅黑" w:eastAsia="微软雅黑" w:cs="微软雅黑"/>
                <w:color w:val="FF0000"/>
                <w:sz w:val="22"/>
                <w:szCs w:val="22"/>
              </w:rPr>
              <w:br w:type="textWrapping"/>
            </w:r>
            <w:r>
              <w:rPr>
                <w:rFonts w:hint="eastAsia" w:ascii="微软雅黑" w:hAnsi="微软雅黑" w:eastAsia="微软雅黑" w:cs="微软雅黑"/>
                <w:color w:val="FF0000"/>
                <w:sz w:val="22"/>
                <w:szCs w:val="22"/>
                <w:lang w:val="en-US" w:eastAsia="zh-CN"/>
              </w:rPr>
              <w:t xml:space="preserve">       </w:t>
            </w:r>
            <w:r>
              <w:rPr>
                <w:rFonts w:hint="eastAsia" w:ascii="微软雅黑" w:hAnsi="微软雅黑" w:eastAsia="微软雅黑" w:cs="微软雅黑"/>
                <w:color w:val="FF0000"/>
                <w:sz w:val="22"/>
                <w:szCs w:val="22"/>
              </w:rPr>
              <w:t xml:space="preserve">Wang, Huifen. (2007). </w:t>
            </w:r>
            <w:r>
              <w:rPr>
                <w:rStyle w:val="18"/>
                <w:rFonts w:hint="eastAsia" w:ascii="微软雅黑" w:hAnsi="微软雅黑" w:eastAsia="微软雅黑" w:cs="微软雅黑"/>
                <w:color w:val="FF0000"/>
                <w:sz w:val="22"/>
                <w:szCs w:val="22"/>
              </w:rPr>
              <w:t>Overview of the First Batch of National Intangible Cultural Heritage in Jiangsu Province.</w:t>
            </w:r>
            <w:r>
              <w:rPr>
                <w:rFonts w:hint="eastAsia" w:ascii="微软雅黑" w:hAnsi="微软雅黑" w:eastAsia="微软雅黑" w:cs="微软雅黑"/>
                <w:color w:val="FF0000"/>
                <w:sz w:val="22"/>
                <w:szCs w:val="22"/>
              </w:rPr>
              <w:t xml:space="preserve"> Nanjing: Nanjing Normal University Press.</w:t>
            </w:r>
          </w:p>
          <w:p w14:paraId="101BEFC3">
            <w:pPr>
              <w:ind w:left="880" w:leftChars="220" w:hanging="440" w:hangingChars="200"/>
              <w:jc w:val="left"/>
              <w:rPr>
                <w:rFonts w:hint="eastAsia" w:ascii="微软雅黑" w:hAnsi="微软雅黑" w:eastAsia="微软雅黑" w:cs="微软雅黑"/>
                <w:i w:val="0"/>
                <w:iCs w:val="0"/>
                <w:color w:val="FF0000"/>
                <w:sz w:val="22"/>
                <w:szCs w:val="22"/>
                <w:lang w:val="en-US" w:eastAsia="zh-CN"/>
              </w:rPr>
            </w:pPr>
            <w:r>
              <w:rPr>
                <w:rFonts w:hint="eastAsia" w:ascii="微软雅黑" w:hAnsi="微软雅黑" w:eastAsia="微软雅黑" w:cs="微软雅黑"/>
                <w:i w:val="0"/>
                <w:iCs w:val="0"/>
                <w:color w:val="FF0000"/>
                <w:sz w:val="22"/>
                <w:szCs w:val="22"/>
                <w:lang w:val="en-US" w:eastAsia="zh-CN"/>
              </w:rPr>
              <w:t>Alivizatou，Barakou,M.,Kitsikidis,A.,Tsalakanidou,F.,Dimitropoulos,K.,Giannis,C.,...and</w:t>
            </w:r>
          </w:p>
          <w:p w14:paraId="78388D2C">
            <w:pPr>
              <w:jc w:val="left"/>
              <w:rPr>
                <w:rFonts w:hint="eastAsia" w:ascii="微软雅黑" w:hAnsi="微软雅黑" w:eastAsia="微软雅黑" w:cs="微软雅黑"/>
                <w:i w:val="0"/>
                <w:iCs w:val="0"/>
                <w:color w:val="FF0000"/>
                <w:sz w:val="22"/>
                <w:szCs w:val="22"/>
                <w:lang w:val="en-US" w:eastAsia="zh-CN"/>
              </w:rPr>
            </w:pPr>
            <w:r>
              <w:rPr>
                <w:rFonts w:hint="eastAsia" w:ascii="微软雅黑" w:hAnsi="微软雅黑" w:eastAsia="微软雅黑" w:cs="微软雅黑"/>
                <w:i w:val="0"/>
                <w:iCs w:val="0"/>
                <w:color w:val="FF0000"/>
                <w:sz w:val="22"/>
                <w:szCs w:val="22"/>
                <w:lang w:val="en-US" w:eastAsia="zh-CN"/>
              </w:rPr>
              <w:t xml:space="preserve">Grammalidis,N.(2017). </w:t>
            </w:r>
            <w:r>
              <w:rPr>
                <w:rFonts w:hint="default" w:ascii="微软雅黑" w:hAnsi="微软雅黑" w:eastAsia="微软雅黑" w:cs="微软雅黑"/>
                <w:i w:val="0"/>
                <w:iCs w:val="0"/>
                <w:color w:val="FF0000"/>
                <w:sz w:val="22"/>
                <w:szCs w:val="22"/>
                <w:lang w:val="en-US" w:eastAsia="zh-CN"/>
              </w:rPr>
              <w:t>‘</w:t>
            </w:r>
            <w:r>
              <w:rPr>
                <w:rFonts w:hint="eastAsia" w:ascii="微软雅黑" w:hAnsi="微软雅黑" w:eastAsia="微软雅黑" w:cs="微软雅黑"/>
                <w:i w:val="0"/>
                <w:iCs w:val="0"/>
                <w:color w:val="FF0000"/>
                <w:sz w:val="22"/>
                <w:szCs w:val="22"/>
                <w:lang w:val="en-US" w:eastAsia="zh-CN"/>
              </w:rPr>
              <w:t>Intangible cultural heritage and new technologies:challenges and opportunities for cultural preservation and development</w:t>
            </w:r>
            <w:r>
              <w:rPr>
                <w:rFonts w:hint="default" w:ascii="微软雅黑" w:hAnsi="微软雅黑" w:eastAsia="微软雅黑" w:cs="微软雅黑"/>
                <w:i w:val="0"/>
                <w:iCs w:val="0"/>
                <w:color w:val="FF0000"/>
                <w:sz w:val="22"/>
                <w:szCs w:val="22"/>
                <w:lang w:val="en-US" w:eastAsia="zh-CN"/>
              </w:rPr>
              <w:t>’</w:t>
            </w:r>
            <w:r>
              <w:rPr>
                <w:rFonts w:hint="eastAsia" w:ascii="微软雅黑" w:hAnsi="微软雅黑" w:eastAsia="微软雅黑" w:cs="微软雅黑"/>
                <w:i w:val="0"/>
                <w:iCs w:val="0"/>
                <w:color w:val="FF0000"/>
                <w:sz w:val="22"/>
                <w:szCs w:val="22"/>
                <w:lang w:val="en-US" w:eastAsia="zh-CN"/>
              </w:rPr>
              <w:t>,</w:t>
            </w:r>
            <w:r>
              <w:rPr>
                <w:rFonts w:hint="eastAsia" w:ascii="微软雅黑" w:hAnsi="微软雅黑" w:eastAsia="微软雅黑" w:cs="微软雅黑"/>
                <w:i/>
                <w:iCs/>
                <w:color w:val="FF0000"/>
                <w:sz w:val="22"/>
                <w:szCs w:val="22"/>
                <w:lang w:val="en-US" w:eastAsia="zh-CN"/>
              </w:rPr>
              <w:t>Mixed reality and gamification for cultural heritage</w:t>
            </w:r>
            <w:r>
              <w:rPr>
                <w:rFonts w:hint="eastAsia" w:ascii="微软雅黑" w:hAnsi="微软雅黑" w:eastAsia="微软雅黑" w:cs="微软雅黑"/>
                <w:i w:val="0"/>
                <w:iCs w:val="0"/>
                <w:color w:val="FF0000"/>
                <w:sz w:val="22"/>
                <w:szCs w:val="22"/>
                <w:lang w:val="en-US" w:eastAsia="zh-CN"/>
              </w:rPr>
              <w:t>,pp129-158.</w:t>
            </w:r>
          </w:p>
          <w:p w14:paraId="64BD8056">
            <w:pPr>
              <w:ind w:firstLine="440" w:firstLineChars="200"/>
              <w:rPr>
                <w:rFonts w:hint="eastAsia" w:ascii="微软雅黑" w:hAnsi="微软雅黑" w:eastAsia="微软雅黑" w:cs="微软雅黑"/>
                <w:color w:val="FF0000"/>
                <w:sz w:val="22"/>
                <w:szCs w:val="22"/>
              </w:rPr>
            </w:pPr>
            <w:r>
              <w:rPr>
                <w:rFonts w:hint="eastAsia" w:ascii="微软雅黑" w:hAnsi="微软雅黑" w:eastAsia="微软雅黑" w:cs="微软雅黑"/>
                <w:color w:val="FF0000"/>
                <w:sz w:val="22"/>
                <w:szCs w:val="22"/>
              </w:rPr>
              <w:t xml:space="preserve">Yi, Ling, Xiao, Zhangqi, and Xu, Qinyi. (2021). "Thirty Years of Intangible Cultural Heritage Protection in China: Achievements, Issues, and Insights," </w:t>
            </w:r>
            <w:r>
              <w:rPr>
                <w:rStyle w:val="18"/>
                <w:rFonts w:hint="eastAsia" w:ascii="微软雅黑" w:hAnsi="微软雅黑" w:eastAsia="微软雅黑" w:cs="微软雅黑"/>
                <w:color w:val="FF0000"/>
                <w:sz w:val="22"/>
                <w:szCs w:val="22"/>
              </w:rPr>
              <w:t>Administrative Management Reform</w:t>
            </w:r>
            <w:r>
              <w:rPr>
                <w:rFonts w:hint="eastAsia" w:ascii="微软雅黑" w:hAnsi="微软雅黑" w:eastAsia="微软雅黑" w:cs="微软雅黑"/>
                <w:color w:val="FF0000"/>
                <w:sz w:val="22"/>
                <w:szCs w:val="22"/>
              </w:rPr>
              <w:t>, (11), pp. 65–73.</w:t>
            </w:r>
            <w:r>
              <w:rPr>
                <w:rFonts w:hint="eastAsia" w:ascii="微软雅黑" w:hAnsi="微软雅黑" w:eastAsia="微软雅黑" w:cs="微软雅黑"/>
                <w:color w:val="FF0000"/>
                <w:sz w:val="22"/>
                <w:szCs w:val="22"/>
              </w:rPr>
              <w:br w:type="textWrapping"/>
            </w:r>
            <w:r>
              <w:rPr>
                <w:rFonts w:hint="eastAsia" w:ascii="微软雅黑" w:hAnsi="微软雅黑" w:eastAsia="微软雅黑" w:cs="微软雅黑"/>
                <w:color w:val="FF0000"/>
                <w:sz w:val="22"/>
                <w:szCs w:val="22"/>
                <w:lang w:val="en-US" w:eastAsia="zh-CN"/>
              </w:rPr>
              <w:t xml:space="preserve">       </w:t>
            </w:r>
            <w:r>
              <w:rPr>
                <w:rFonts w:hint="eastAsia" w:ascii="微软雅黑" w:hAnsi="微软雅黑" w:eastAsia="微软雅黑" w:cs="微软雅黑"/>
                <w:color w:val="FF0000"/>
                <w:sz w:val="22"/>
                <w:szCs w:val="22"/>
              </w:rPr>
              <w:t xml:space="preserve">Zhou, Jiwu and Wu, Weiyi. (2021). "From 'Object Creation' to 'Mirror Creation': A Paradigm Shift in the Protection of Handicraft Intangible Cultural Heritage," </w:t>
            </w:r>
            <w:r>
              <w:rPr>
                <w:rStyle w:val="18"/>
                <w:rFonts w:hint="eastAsia" w:ascii="微软雅黑" w:hAnsi="微软雅黑" w:eastAsia="微软雅黑" w:cs="微软雅黑"/>
                <w:color w:val="FF0000"/>
                <w:sz w:val="22"/>
                <w:szCs w:val="22"/>
              </w:rPr>
              <w:t>Cultural and Art Studies</w:t>
            </w:r>
            <w:r>
              <w:rPr>
                <w:rFonts w:hint="eastAsia" w:ascii="微软雅黑" w:hAnsi="微软雅黑" w:eastAsia="微软雅黑" w:cs="微软雅黑"/>
                <w:color w:val="FF0000"/>
                <w:sz w:val="22"/>
                <w:szCs w:val="22"/>
              </w:rPr>
              <w:t>, 14(05), pp. 32–41.</w:t>
            </w:r>
          </w:p>
          <w:p w14:paraId="6A064A28">
            <w:pPr>
              <w:ind w:firstLine="440" w:firstLineChars="200"/>
              <w:rPr>
                <w:rFonts w:hint="default" w:ascii="微软雅黑" w:hAnsi="微软雅黑" w:eastAsia="微软雅黑" w:cs="微软雅黑"/>
                <w:i w:val="0"/>
                <w:iCs w:val="0"/>
                <w:color w:val="FF0000"/>
                <w:sz w:val="22"/>
                <w:szCs w:val="22"/>
                <w:lang w:val="en-US" w:eastAsia="zh-CN"/>
              </w:rPr>
            </w:pPr>
            <w:r>
              <w:rPr>
                <w:rFonts w:hint="eastAsia" w:ascii="微软雅黑" w:hAnsi="微软雅黑" w:eastAsia="微软雅黑" w:cs="微软雅黑"/>
                <w:i w:val="0"/>
                <w:iCs w:val="0"/>
                <w:color w:val="FF0000"/>
                <w:sz w:val="22"/>
                <w:szCs w:val="22"/>
                <w:lang w:val="en-US" w:eastAsia="zh-CN"/>
              </w:rPr>
              <w:t>Swartz,D.(2012).</w:t>
            </w:r>
            <w:r>
              <w:rPr>
                <w:rFonts w:hint="eastAsia" w:ascii="微软雅黑" w:hAnsi="微软雅黑" w:eastAsia="微软雅黑" w:cs="微软雅黑"/>
                <w:i/>
                <w:iCs/>
                <w:color w:val="FF0000"/>
                <w:sz w:val="22"/>
                <w:szCs w:val="22"/>
                <w:lang w:val="en-US" w:eastAsia="zh-CN"/>
              </w:rPr>
              <w:t>Cultural and power:The sociology of Pierre Bourdieu</w:t>
            </w:r>
            <w:r>
              <w:rPr>
                <w:rFonts w:hint="eastAsia" w:ascii="微软雅黑" w:hAnsi="微软雅黑" w:eastAsia="微软雅黑" w:cs="微软雅黑"/>
                <w:i w:val="0"/>
                <w:iCs w:val="0"/>
                <w:color w:val="FF0000"/>
                <w:sz w:val="22"/>
                <w:szCs w:val="22"/>
                <w:lang w:val="en-US" w:eastAsia="zh-CN"/>
              </w:rPr>
              <w:t>.University of Chicago Press.</w:t>
            </w:r>
          </w:p>
          <w:p w14:paraId="28391C6D">
            <w:pPr>
              <w:ind w:firstLine="440" w:firstLineChars="200"/>
              <w:rPr>
                <w:rFonts w:hint="eastAsia" w:ascii="微软雅黑" w:hAnsi="微软雅黑" w:eastAsia="微软雅黑" w:cs="微软雅黑"/>
                <w:color w:val="FF0000"/>
                <w:sz w:val="22"/>
                <w:szCs w:val="22"/>
              </w:rPr>
            </w:pPr>
            <w:r>
              <w:rPr>
                <w:rFonts w:hint="eastAsia" w:ascii="微软雅黑" w:hAnsi="微软雅黑" w:eastAsia="微软雅黑" w:cs="微软雅黑"/>
                <w:color w:val="FF0000"/>
                <w:sz w:val="22"/>
                <w:szCs w:val="22"/>
              </w:rPr>
              <w:t xml:space="preserve">Fu, Qiyuan. (2008). "Research on the Protection and Utilization of Nanjing Intangible Cultural Heritage," </w:t>
            </w:r>
            <w:r>
              <w:rPr>
                <w:rStyle w:val="18"/>
                <w:rFonts w:hint="eastAsia" w:ascii="微软雅黑" w:hAnsi="微软雅黑" w:eastAsia="微软雅黑" w:cs="微软雅黑"/>
                <w:color w:val="FF0000"/>
                <w:sz w:val="22"/>
                <w:szCs w:val="22"/>
              </w:rPr>
              <w:t>Journal of Nanjing Xiaozhuang College</w:t>
            </w:r>
            <w:r>
              <w:rPr>
                <w:rFonts w:hint="eastAsia" w:ascii="微软雅黑" w:hAnsi="微软雅黑" w:eastAsia="微软雅黑" w:cs="微软雅黑"/>
                <w:color w:val="FF0000"/>
                <w:sz w:val="22"/>
                <w:szCs w:val="22"/>
              </w:rPr>
              <w:t>, (02), pp. 48–55.</w:t>
            </w:r>
            <w:r>
              <w:rPr>
                <w:rFonts w:hint="eastAsia" w:ascii="微软雅黑" w:hAnsi="微软雅黑" w:eastAsia="微软雅黑" w:cs="微软雅黑"/>
                <w:color w:val="FF0000"/>
                <w:sz w:val="22"/>
                <w:szCs w:val="22"/>
              </w:rPr>
              <w:br w:type="textWrapping"/>
            </w:r>
            <w:r>
              <w:rPr>
                <w:rFonts w:hint="eastAsia" w:ascii="微软雅黑" w:hAnsi="微软雅黑" w:eastAsia="微软雅黑" w:cs="微软雅黑"/>
                <w:color w:val="FF0000"/>
                <w:sz w:val="22"/>
                <w:szCs w:val="22"/>
                <w:lang w:val="en-US" w:eastAsia="zh-CN"/>
              </w:rPr>
              <w:t xml:space="preserve">       </w:t>
            </w:r>
            <w:r>
              <w:rPr>
                <w:rFonts w:hint="eastAsia" w:ascii="微软雅黑" w:hAnsi="微软雅黑" w:eastAsia="微软雅黑" w:cs="微软雅黑"/>
                <w:color w:val="FF0000"/>
                <w:sz w:val="22"/>
                <w:szCs w:val="22"/>
              </w:rPr>
              <w:t xml:space="preserve">Ma, Zhiyao and Chang, Guoyi. (2021). "A Review of Hot Issues in the Protection and Deepening Phase of Intangible Cultural Heritage (2011–2020)," </w:t>
            </w:r>
            <w:r>
              <w:rPr>
                <w:rStyle w:val="18"/>
                <w:rFonts w:hint="eastAsia" w:ascii="微软雅黑" w:hAnsi="微软雅黑" w:eastAsia="微软雅黑" w:cs="微软雅黑"/>
                <w:color w:val="FF0000"/>
                <w:sz w:val="22"/>
                <w:szCs w:val="22"/>
              </w:rPr>
              <w:t>Journal of Original Ecological Ethnic Culture</w:t>
            </w:r>
            <w:r>
              <w:rPr>
                <w:rFonts w:hint="eastAsia" w:ascii="微软雅黑" w:hAnsi="微软雅黑" w:eastAsia="微软雅黑" w:cs="微软雅黑"/>
                <w:color w:val="FF0000"/>
                <w:sz w:val="22"/>
                <w:szCs w:val="22"/>
              </w:rPr>
              <w:t>, 13(06), pp. 44–59.</w:t>
            </w:r>
            <w:r>
              <w:rPr>
                <w:rFonts w:hint="eastAsia" w:ascii="微软雅黑" w:hAnsi="微软雅黑" w:eastAsia="微软雅黑" w:cs="微软雅黑"/>
                <w:color w:val="FF0000"/>
                <w:sz w:val="22"/>
                <w:szCs w:val="22"/>
              </w:rPr>
              <w:br w:type="textWrapping"/>
            </w:r>
            <w:r>
              <w:rPr>
                <w:rFonts w:hint="eastAsia" w:ascii="微软雅黑" w:hAnsi="微软雅黑" w:eastAsia="微软雅黑" w:cs="微软雅黑"/>
                <w:color w:val="FF0000"/>
                <w:sz w:val="22"/>
                <w:szCs w:val="22"/>
                <w:lang w:val="en-US" w:eastAsia="zh-CN"/>
              </w:rPr>
              <w:t xml:space="preserve">       </w:t>
            </w:r>
            <w:r>
              <w:rPr>
                <w:rFonts w:hint="eastAsia" w:ascii="微软雅黑" w:hAnsi="微软雅黑" w:eastAsia="微软雅黑" w:cs="微软雅黑"/>
                <w:color w:val="FF0000"/>
                <w:sz w:val="22"/>
                <w:szCs w:val="22"/>
              </w:rPr>
              <w:t xml:space="preserve">Qian, Yongping. (2019). "On the Integration of Productive Protection of Intangible Cultural Heritage and Inclusive Economic Development: A Case Study of Ling Shang Embroidery in Shanxi Province," </w:t>
            </w:r>
            <w:r>
              <w:rPr>
                <w:rStyle w:val="18"/>
                <w:rFonts w:hint="eastAsia" w:ascii="微软雅黑" w:hAnsi="微软雅黑" w:eastAsia="微软雅黑" w:cs="微软雅黑"/>
                <w:color w:val="FF0000"/>
                <w:sz w:val="22"/>
                <w:szCs w:val="22"/>
              </w:rPr>
              <w:t>Cultural Heritage</w:t>
            </w:r>
            <w:r>
              <w:rPr>
                <w:rFonts w:hint="eastAsia" w:ascii="微软雅黑" w:hAnsi="微软雅黑" w:eastAsia="微软雅黑" w:cs="微软雅黑"/>
                <w:color w:val="FF0000"/>
                <w:sz w:val="22"/>
                <w:szCs w:val="22"/>
              </w:rPr>
              <w:t>, (01), pp. 20–25.</w:t>
            </w:r>
            <w:r>
              <w:rPr>
                <w:rFonts w:hint="eastAsia" w:ascii="微软雅黑" w:hAnsi="微软雅黑" w:eastAsia="微软雅黑" w:cs="微软雅黑"/>
                <w:color w:val="FF0000"/>
                <w:sz w:val="22"/>
                <w:szCs w:val="22"/>
              </w:rPr>
              <w:br w:type="textWrapping"/>
            </w:r>
            <w:r>
              <w:rPr>
                <w:rFonts w:hint="eastAsia" w:ascii="微软雅黑" w:hAnsi="微软雅黑" w:eastAsia="微软雅黑" w:cs="微软雅黑"/>
                <w:color w:val="FF0000"/>
                <w:sz w:val="22"/>
                <w:szCs w:val="22"/>
                <w:lang w:val="en-US" w:eastAsia="zh-CN"/>
              </w:rPr>
              <w:t xml:space="preserve">       </w:t>
            </w:r>
            <w:r>
              <w:rPr>
                <w:rFonts w:hint="eastAsia" w:ascii="微软雅黑" w:hAnsi="微软雅黑" w:eastAsia="微软雅黑" w:cs="微软雅黑"/>
                <w:color w:val="FF0000"/>
                <w:sz w:val="22"/>
                <w:szCs w:val="22"/>
              </w:rPr>
              <w:t xml:space="preserve">Huang, Datong. (2011). "Can Intangible Heritage Be Innovated?" </w:t>
            </w:r>
            <w:r>
              <w:rPr>
                <w:rStyle w:val="18"/>
                <w:rFonts w:hint="eastAsia" w:ascii="微软雅黑" w:hAnsi="微软雅黑" w:eastAsia="微软雅黑" w:cs="微软雅黑"/>
                <w:color w:val="FF0000"/>
                <w:sz w:val="22"/>
                <w:szCs w:val="22"/>
              </w:rPr>
              <w:t>Ethnic Art Studies</w:t>
            </w:r>
            <w:r>
              <w:rPr>
                <w:rFonts w:hint="eastAsia" w:ascii="微软雅黑" w:hAnsi="微软雅黑" w:eastAsia="微软雅黑" w:cs="微软雅黑"/>
                <w:color w:val="FF0000"/>
                <w:sz w:val="22"/>
                <w:szCs w:val="22"/>
              </w:rPr>
              <w:t>, (01), pp. 88–89.</w:t>
            </w:r>
            <w:r>
              <w:rPr>
                <w:rFonts w:hint="eastAsia" w:ascii="微软雅黑" w:hAnsi="微软雅黑" w:eastAsia="微软雅黑" w:cs="微软雅黑"/>
                <w:color w:val="FF0000"/>
                <w:sz w:val="22"/>
                <w:szCs w:val="22"/>
              </w:rPr>
              <w:br w:type="textWrapping"/>
            </w:r>
            <w:r>
              <w:rPr>
                <w:rFonts w:hint="eastAsia" w:ascii="微软雅黑" w:hAnsi="微软雅黑" w:eastAsia="微软雅黑" w:cs="微软雅黑"/>
                <w:color w:val="FF0000"/>
                <w:sz w:val="22"/>
                <w:szCs w:val="22"/>
                <w:lang w:val="en-US" w:eastAsia="zh-CN"/>
              </w:rPr>
              <w:t xml:space="preserve">       </w:t>
            </w:r>
            <w:r>
              <w:rPr>
                <w:rFonts w:hint="eastAsia" w:ascii="微软雅黑" w:hAnsi="微软雅黑" w:eastAsia="微软雅黑" w:cs="微软雅黑"/>
                <w:color w:val="FF0000"/>
                <w:sz w:val="22"/>
                <w:szCs w:val="22"/>
              </w:rPr>
              <w:t xml:space="preserve">Tuan, Y. F. (1977). </w:t>
            </w:r>
            <w:r>
              <w:rPr>
                <w:rStyle w:val="18"/>
                <w:rFonts w:hint="eastAsia" w:ascii="微软雅黑" w:hAnsi="微软雅黑" w:eastAsia="微软雅黑" w:cs="微软雅黑"/>
                <w:color w:val="FF0000"/>
                <w:sz w:val="22"/>
                <w:szCs w:val="22"/>
              </w:rPr>
              <w:t>Space and Place: The Perspective of Experience.</w:t>
            </w:r>
            <w:r>
              <w:rPr>
                <w:rFonts w:hint="eastAsia" w:ascii="微软雅黑" w:hAnsi="微软雅黑" w:eastAsia="微软雅黑" w:cs="微软雅黑"/>
                <w:color w:val="FF0000"/>
                <w:sz w:val="22"/>
                <w:szCs w:val="22"/>
              </w:rPr>
              <w:t xml:space="preserve"> University of Minnesota Press.</w:t>
            </w:r>
            <w:r>
              <w:rPr>
                <w:rFonts w:hint="eastAsia" w:ascii="微软雅黑" w:hAnsi="微软雅黑" w:eastAsia="微软雅黑" w:cs="微软雅黑"/>
                <w:color w:val="FF0000"/>
                <w:sz w:val="22"/>
                <w:szCs w:val="22"/>
              </w:rPr>
              <w:br w:type="textWrapping"/>
            </w:r>
            <w:r>
              <w:rPr>
                <w:rFonts w:hint="eastAsia" w:ascii="微软雅黑" w:hAnsi="微软雅黑" w:eastAsia="微软雅黑" w:cs="微软雅黑"/>
                <w:color w:val="FF0000"/>
                <w:sz w:val="22"/>
                <w:szCs w:val="22"/>
                <w:lang w:val="en-US" w:eastAsia="zh-CN"/>
              </w:rPr>
              <w:t xml:space="preserve">       </w:t>
            </w:r>
            <w:r>
              <w:rPr>
                <w:rFonts w:hint="eastAsia" w:ascii="微软雅黑" w:hAnsi="微软雅黑" w:eastAsia="微软雅黑" w:cs="微软雅黑"/>
                <w:color w:val="FF0000"/>
                <w:sz w:val="22"/>
                <w:szCs w:val="22"/>
              </w:rPr>
              <w:t xml:space="preserve">Li, Mu. (2020). "The Cultural Logic of Contemporary Art under the 'Anthropological Turn'," </w:t>
            </w:r>
            <w:r>
              <w:rPr>
                <w:rStyle w:val="18"/>
                <w:rFonts w:hint="eastAsia" w:ascii="微软雅黑" w:hAnsi="微软雅黑" w:eastAsia="微软雅黑" w:cs="微软雅黑"/>
                <w:color w:val="FF0000"/>
                <w:sz w:val="22"/>
                <w:szCs w:val="22"/>
              </w:rPr>
              <w:t>Ethnic Arts</w:t>
            </w:r>
            <w:r>
              <w:rPr>
                <w:rFonts w:hint="eastAsia" w:ascii="微软雅黑" w:hAnsi="微软雅黑" w:eastAsia="微软雅黑" w:cs="微软雅黑"/>
                <w:color w:val="FF0000"/>
                <w:sz w:val="22"/>
                <w:szCs w:val="22"/>
              </w:rPr>
              <w:t>, (01), pp. 76–86.</w:t>
            </w:r>
            <w:r>
              <w:rPr>
                <w:rFonts w:hint="eastAsia" w:ascii="微软雅黑" w:hAnsi="微软雅黑" w:eastAsia="微软雅黑" w:cs="微软雅黑"/>
                <w:color w:val="FF0000"/>
                <w:sz w:val="22"/>
                <w:szCs w:val="22"/>
              </w:rPr>
              <w:br w:type="textWrapping"/>
            </w:r>
            <w:r>
              <w:rPr>
                <w:rFonts w:hint="eastAsia" w:ascii="微软雅黑" w:hAnsi="微软雅黑" w:eastAsia="微软雅黑" w:cs="微软雅黑"/>
                <w:color w:val="FF0000"/>
                <w:sz w:val="22"/>
                <w:szCs w:val="22"/>
                <w:lang w:val="en-US" w:eastAsia="zh-CN"/>
              </w:rPr>
              <w:t xml:space="preserve">       </w:t>
            </w:r>
            <w:r>
              <w:rPr>
                <w:rFonts w:hint="eastAsia" w:ascii="微软雅黑" w:hAnsi="微软雅黑" w:eastAsia="微软雅黑" w:cs="微软雅黑"/>
                <w:color w:val="FF0000"/>
                <w:sz w:val="22"/>
                <w:szCs w:val="22"/>
              </w:rPr>
              <w:t xml:space="preserve">Xu, Yiyi. (2011). "The Tradition of Handicrafts: A Reappraisal of the Knowledge System Related to Traditional Handicrafts," </w:t>
            </w:r>
            <w:r>
              <w:rPr>
                <w:rStyle w:val="18"/>
                <w:rFonts w:hint="eastAsia" w:ascii="微软雅黑" w:hAnsi="微软雅黑" w:eastAsia="微软雅黑" w:cs="微软雅黑"/>
                <w:color w:val="FF0000"/>
                <w:sz w:val="22"/>
                <w:szCs w:val="22"/>
              </w:rPr>
              <w:t>Decoration</w:t>
            </w:r>
            <w:r>
              <w:rPr>
                <w:rFonts w:hint="eastAsia" w:ascii="微软雅黑" w:hAnsi="微软雅黑" w:eastAsia="微软雅黑" w:cs="微软雅黑"/>
                <w:color w:val="FF0000"/>
                <w:sz w:val="22"/>
                <w:szCs w:val="22"/>
              </w:rPr>
              <w:t>, (08), pp. 54–59.</w:t>
            </w:r>
            <w:r>
              <w:rPr>
                <w:rFonts w:hint="eastAsia" w:ascii="微软雅黑" w:hAnsi="微软雅黑" w:eastAsia="微软雅黑" w:cs="微软雅黑"/>
                <w:color w:val="FF0000"/>
                <w:sz w:val="22"/>
                <w:szCs w:val="22"/>
              </w:rPr>
              <w:br w:type="textWrapping"/>
            </w:r>
            <w:r>
              <w:rPr>
                <w:rFonts w:hint="eastAsia" w:ascii="微软雅黑" w:hAnsi="微软雅黑" w:eastAsia="微软雅黑" w:cs="微软雅黑"/>
                <w:color w:val="FF0000"/>
                <w:sz w:val="22"/>
                <w:szCs w:val="22"/>
                <w:lang w:val="en-US" w:eastAsia="zh-CN"/>
              </w:rPr>
              <w:t xml:space="preserve">       </w:t>
            </w:r>
            <w:r>
              <w:rPr>
                <w:rFonts w:hint="eastAsia" w:ascii="微软雅黑" w:hAnsi="微软雅黑" w:eastAsia="微软雅黑" w:cs="微软雅黑"/>
                <w:color w:val="FF0000"/>
                <w:sz w:val="22"/>
                <w:szCs w:val="22"/>
              </w:rPr>
              <w:t xml:space="preserve">Chen, Huawen. (2010). "Several Issues on the Productive Protection of Intangible Culture," </w:t>
            </w:r>
            <w:r>
              <w:rPr>
                <w:rStyle w:val="18"/>
                <w:rFonts w:hint="eastAsia" w:ascii="微软雅黑" w:hAnsi="微软雅黑" w:eastAsia="微软雅黑" w:cs="微软雅黑"/>
                <w:color w:val="FF0000"/>
                <w:sz w:val="22"/>
                <w:szCs w:val="22"/>
              </w:rPr>
              <w:t>Journal of Guangxi University for Nationalities (Philosophy and Social Science Edition)</w:t>
            </w:r>
            <w:r>
              <w:rPr>
                <w:rFonts w:hint="eastAsia" w:ascii="微软雅黑" w:hAnsi="微软雅黑" w:eastAsia="微软雅黑" w:cs="微软雅黑"/>
                <w:color w:val="FF0000"/>
                <w:sz w:val="22"/>
                <w:szCs w:val="22"/>
              </w:rPr>
              <w:t>, (05), pp. 89.</w:t>
            </w:r>
            <w:r>
              <w:rPr>
                <w:rFonts w:hint="eastAsia" w:ascii="微软雅黑" w:hAnsi="微软雅黑" w:eastAsia="微软雅黑" w:cs="微软雅黑"/>
                <w:color w:val="FF0000"/>
                <w:sz w:val="22"/>
                <w:szCs w:val="22"/>
              </w:rPr>
              <w:br w:type="textWrapping"/>
            </w:r>
            <w:r>
              <w:rPr>
                <w:rFonts w:hint="eastAsia" w:ascii="微软雅黑" w:hAnsi="微软雅黑" w:eastAsia="微软雅黑" w:cs="微软雅黑"/>
                <w:color w:val="FF0000"/>
                <w:sz w:val="22"/>
                <w:szCs w:val="22"/>
                <w:lang w:val="en-US" w:eastAsia="zh-CN"/>
              </w:rPr>
              <w:t xml:space="preserve">        </w:t>
            </w:r>
            <w:r>
              <w:rPr>
                <w:rFonts w:hint="eastAsia" w:ascii="微软雅黑" w:hAnsi="微软雅黑" w:eastAsia="微软雅黑" w:cs="微软雅黑"/>
                <w:color w:val="FF0000"/>
                <w:sz w:val="22"/>
                <w:szCs w:val="22"/>
              </w:rPr>
              <w:t xml:space="preserve">Ji, Zhongyang and Chen, Yu. (2019). "On the Innovative Protection of Traditional Handicraft Intangible Cultural Heritage," </w:t>
            </w:r>
            <w:r>
              <w:rPr>
                <w:rStyle w:val="18"/>
                <w:rFonts w:hint="eastAsia" w:ascii="微软雅黑" w:hAnsi="微软雅黑" w:eastAsia="微软雅黑" w:cs="微软雅黑"/>
                <w:color w:val="FF0000"/>
                <w:sz w:val="22"/>
                <w:szCs w:val="22"/>
              </w:rPr>
              <w:t>Journal of Yunnan Normal University (Philosophy and Social Sciences Edition)</w:t>
            </w:r>
            <w:r>
              <w:rPr>
                <w:rFonts w:hint="eastAsia" w:ascii="微软雅黑" w:hAnsi="微软雅黑" w:eastAsia="微软雅黑" w:cs="微软雅黑"/>
                <w:color w:val="FF0000"/>
                <w:sz w:val="22"/>
                <w:szCs w:val="22"/>
              </w:rPr>
              <w:t>, (04), pp. 59–65.</w:t>
            </w:r>
            <w:r>
              <w:rPr>
                <w:rFonts w:hint="eastAsia" w:ascii="微软雅黑" w:hAnsi="微软雅黑" w:eastAsia="微软雅黑" w:cs="微软雅黑"/>
                <w:color w:val="FF0000"/>
                <w:sz w:val="22"/>
                <w:szCs w:val="22"/>
              </w:rPr>
              <w:br w:type="textWrapping"/>
            </w:r>
            <w:r>
              <w:rPr>
                <w:rFonts w:hint="eastAsia" w:ascii="微软雅黑" w:hAnsi="微软雅黑" w:eastAsia="微软雅黑" w:cs="微软雅黑"/>
                <w:color w:val="FF0000"/>
                <w:sz w:val="22"/>
                <w:szCs w:val="22"/>
                <w:lang w:val="en-US" w:eastAsia="zh-CN"/>
              </w:rPr>
              <w:t xml:space="preserve">        </w:t>
            </w:r>
            <w:r>
              <w:rPr>
                <w:rFonts w:hint="eastAsia" w:ascii="微软雅黑" w:hAnsi="微软雅黑" w:eastAsia="微软雅黑" w:cs="微软雅黑"/>
                <w:color w:val="FF0000"/>
                <w:sz w:val="22"/>
                <w:szCs w:val="22"/>
              </w:rPr>
              <w:t xml:space="preserve">Zhu, Yiqing. (2015). "The Productive Protection and Living Transmission of Traditional Craftsmanship," </w:t>
            </w:r>
            <w:r>
              <w:rPr>
                <w:rStyle w:val="18"/>
                <w:rFonts w:hint="eastAsia" w:ascii="微软雅黑" w:hAnsi="微软雅黑" w:eastAsia="微软雅黑" w:cs="微软雅黑"/>
                <w:color w:val="FF0000"/>
                <w:sz w:val="22"/>
                <w:szCs w:val="22"/>
              </w:rPr>
              <w:t>Folklore Studies</w:t>
            </w:r>
            <w:r>
              <w:rPr>
                <w:rFonts w:hint="eastAsia" w:ascii="微软雅黑" w:hAnsi="微软雅黑" w:eastAsia="微软雅黑" w:cs="微软雅黑"/>
                <w:color w:val="FF0000"/>
                <w:sz w:val="22"/>
                <w:szCs w:val="22"/>
              </w:rPr>
              <w:t>, (01), pp. 81–87.</w:t>
            </w:r>
          </w:p>
          <w:p w14:paraId="2FEB4283">
            <w:pPr>
              <w:ind w:firstLine="440" w:firstLineChars="200"/>
              <w:rPr>
                <w:rFonts w:hint="eastAsia" w:ascii="微软雅黑" w:hAnsi="微软雅黑" w:eastAsia="微软雅黑" w:cs="微软雅黑"/>
                <w:i w:val="0"/>
                <w:iCs w:val="0"/>
                <w:color w:val="FF0000"/>
                <w:sz w:val="22"/>
                <w:szCs w:val="22"/>
                <w:lang w:val="en-US" w:eastAsia="zh-CN"/>
              </w:rPr>
            </w:pPr>
            <w:r>
              <w:rPr>
                <w:rFonts w:hint="eastAsia" w:ascii="微软雅黑" w:hAnsi="微软雅黑" w:eastAsia="微软雅黑" w:cs="微软雅黑"/>
                <w:i w:val="0"/>
                <w:iCs w:val="0"/>
                <w:color w:val="FF0000"/>
                <w:sz w:val="22"/>
                <w:szCs w:val="22"/>
                <w:lang w:val="en-US" w:eastAsia="zh-CN"/>
              </w:rPr>
              <w:t xml:space="preserve">Melis,C.and Chambers,D.(2021). </w:t>
            </w:r>
            <w:r>
              <w:rPr>
                <w:rFonts w:hint="default" w:ascii="微软雅黑" w:hAnsi="微软雅黑" w:eastAsia="微软雅黑" w:cs="微软雅黑"/>
                <w:i w:val="0"/>
                <w:iCs w:val="0"/>
                <w:color w:val="FF0000"/>
                <w:sz w:val="22"/>
                <w:szCs w:val="22"/>
                <w:lang w:val="en-US" w:eastAsia="zh-CN"/>
              </w:rPr>
              <w:t>‘</w:t>
            </w:r>
            <w:r>
              <w:rPr>
                <w:rFonts w:hint="eastAsia" w:ascii="微软雅黑" w:hAnsi="微软雅黑" w:eastAsia="微软雅黑" w:cs="微软雅黑"/>
                <w:i w:val="0"/>
                <w:iCs w:val="0"/>
                <w:color w:val="FF0000"/>
                <w:sz w:val="22"/>
                <w:szCs w:val="22"/>
                <w:lang w:val="en-US" w:eastAsia="zh-CN"/>
              </w:rPr>
              <w:t>The construction of intangible cultural heritage:A Foucauldian critique</w:t>
            </w:r>
            <w:r>
              <w:rPr>
                <w:rFonts w:hint="default" w:ascii="微软雅黑" w:hAnsi="微软雅黑" w:eastAsia="微软雅黑" w:cs="微软雅黑"/>
                <w:i w:val="0"/>
                <w:iCs w:val="0"/>
                <w:color w:val="FF0000"/>
                <w:sz w:val="22"/>
                <w:szCs w:val="22"/>
                <w:lang w:val="en-US" w:eastAsia="zh-CN"/>
              </w:rPr>
              <w:t>’</w:t>
            </w:r>
            <w:r>
              <w:rPr>
                <w:rFonts w:hint="eastAsia" w:ascii="微软雅黑" w:hAnsi="微软雅黑" w:eastAsia="微软雅黑" w:cs="微软雅黑"/>
                <w:i w:val="0"/>
                <w:iCs w:val="0"/>
                <w:color w:val="FF0000"/>
                <w:sz w:val="22"/>
                <w:szCs w:val="22"/>
                <w:lang w:val="en-US" w:eastAsia="zh-CN"/>
              </w:rPr>
              <w:t>,</w:t>
            </w:r>
            <w:r>
              <w:rPr>
                <w:rFonts w:hint="eastAsia" w:ascii="微软雅黑" w:hAnsi="微软雅黑" w:eastAsia="微软雅黑" w:cs="微软雅黑"/>
                <w:i/>
                <w:iCs/>
                <w:color w:val="FF0000"/>
                <w:sz w:val="22"/>
                <w:szCs w:val="22"/>
                <w:lang w:val="en-US" w:eastAsia="zh-CN"/>
              </w:rPr>
              <w:t>Annals of Tourism Research</w:t>
            </w:r>
            <w:r>
              <w:rPr>
                <w:rFonts w:hint="eastAsia" w:ascii="微软雅黑" w:hAnsi="微软雅黑" w:eastAsia="微软雅黑" w:cs="微软雅黑"/>
                <w:i w:val="0"/>
                <w:iCs w:val="0"/>
                <w:color w:val="FF0000"/>
                <w:sz w:val="22"/>
                <w:szCs w:val="22"/>
                <w:lang w:val="en-US" w:eastAsia="zh-CN"/>
              </w:rPr>
              <w:t>,89,103206.</w:t>
            </w:r>
          </w:p>
          <w:p w14:paraId="331548AE">
            <w:pPr>
              <w:ind w:firstLine="440" w:firstLineChars="200"/>
              <w:rPr>
                <w:rFonts w:hint="eastAsia" w:ascii="微软雅黑" w:hAnsi="微软雅黑" w:eastAsia="微软雅黑" w:cs="微软雅黑"/>
                <w:i w:val="0"/>
                <w:iCs w:val="0"/>
                <w:color w:val="FF0000"/>
                <w:sz w:val="22"/>
                <w:szCs w:val="22"/>
                <w:lang w:val="en-US" w:eastAsia="zh-CN"/>
              </w:rPr>
            </w:pPr>
            <w:r>
              <w:rPr>
                <w:rFonts w:hint="eastAsia" w:ascii="微软雅黑" w:hAnsi="微软雅黑" w:eastAsia="微软雅黑" w:cs="微软雅黑"/>
                <w:i w:val="0"/>
                <w:iCs w:val="0"/>
                <w:color w:val="FF0000"/>
                <w:sz w:val="22"/>
                <w:szCs w:val="22"/>
                <w:lang w:val="en-US" w:eastAsia="zh-CN"/>
              </w:rPr>
              <w:t xml:space="preserve">Lan,T.and Han,Y.(2024). </w:t>
            </w:r>
            <w:r>
              <w:rPr>
                <w:rFonts w:hint="default" w:ascii="微软雅黑" w:hAnsi="微软雅黑" w:eastAsia="微软雅黑" w:cs="微软雅黑"/>
                <w:i w:val="0"/>
                <w:iCs w:val="0"/>
                <w:color w:val="FF0000"/>
                <w:sz w:val="22"/>
                <w:szCs w:val="22"/>
                <w:lang w:val="en-US" w:eastAsia="zh-CN"/>
              </w:rPr>
              <w:t>‘</w:t>
            </w:r>
            <w:r>
              <w:rPr>
                <w:rFonts w:hint="eastAsia" w:ascii="微软雅黑" w:hAnsi="微软雅黑" w:eastAsia="微软雅黑" w:cs="微软雅黑"/>
                <w:i w:val="0"/>
                <w:iCs w:val="0"/>
                <w:color w:val="FF0000"/>
                <w:sz w:val="22"/>
                <w:szCs w:val="22"/>
                <w:lang w:val="en-US" w:eastAsia="zh-CN"/>
              </w:rPr>
              <w:t>Cultural inheritance and Innovation:A New Mechanism for Cooperation between</w:t>
            </w:r>
            <w:r>
              <w:rPr>
                <w:rFonts w:hint="default" w:ascii="微软雅黑" w:hAnsi="微软雅黑" w:eastAsia="微软雅黑" w:cs="微软雅黑"/>
                <w:i w:val="0"/>
                <w:iCs w:val="0"/>
                <w:color w:val="FF0000"/>
                <w:sz w:val="22"/>
                <w:szCs w:val="22"/>
                <w:lang w:val="en-US" w:eastAsia="zh-CN"/>
              </w:rPr>
              <w:t>’</w:t>
            </w:r>
            <w:r>
              <w:rPr>
                <w:rFonts w:hint="eastAsia" w:ascii="微软雅黑" w:hAnsi="微软雅黑" w:eastAsia="微软雅黑" w:cs="微软雅黑"/>
                <w:i w:val="0"/>
                <w:iCs w:val="0"/>
                <w:color w:val="FF0000"/>
                <w:sz w:val="22"/>
                <w:szCs w:val="22"/>
                <w:lang w:val="en-US" w:eastAsia="zh-CN"/>
              </w:rPr>
              <w:t>,</w:t>
            </w:r>
            <w:r>
              <w:rPr>
                <w:rFonts w:hint="eastAsia" w:ascii="微软雅黑" w:hAnsi="微软雅黑" w:eastAsia="微软雅黑" w:cs="微软雅黑"/>
                <w:i/>
                <w:iCs/>
                <w:color w:val="FF0000"/>
                <w:sz w:val="22"/>
                <w:szCs w:val="22"/>
                <w:lang w:val="en-US" w:eastAsia="zh-CN"/>
              </w:rPr>
              <w:t>Journal of Sociology and Ethnology</w:t>
            </w:r>
            <w:r>
              <w:rPr>
                <w:rFonts w:hint="eastAsia" w:ascii="微软雅黑" w:hAnsi="微软雅黑" w:eastAsia="微软雅黑" w:cs="微软雅黑"/>
                <w:i w:val="0"/>
                <w:iCs w:val="0"/>
                <w:color w:val="FF0000"/>
                <w:sz w:val="22"/>
                <w:szCs w:val="22"/>
                <w:lang w:val="en-US" w:eastAsia="zh-CN"/>
              </w:rPr>
              <w:t>,6(04),pp18-25.</w:t>
            </w:r>
          </w:p>
          <w:p w14:paraId="09A6BE4E">
            <w:pPr>
              <w:ind w:firstLine="440" w:firstLineChars="200"/>
              <w:rPr>
                <w:rFonts w:hint="eastAsia" w:ascii="微软雅黑" w:hAnsi="微软雅黑" w:eastAsia="微软雅黑" w:cs="微软雅黑"/>
                <w:i w:val="0"/>
                <w:iCs w:val="0"/>
                <w:color w:val="FF0000"/>
                <w:sz w:val="22"/>
                <w:szCs w:val="22"/>
                <w:lang w:val="en-US" w:eastAsia="zh-CN"/>
              </w:rPr>
            </w:pPr>
            <w:r>
              <w:rPr>
                <w:rFonts w:hint="eastAsia" w:ascii="微软雅黑" w:hAnsi="微软雅黑" w:eastAsia="微软雅黑" w:cs="微软雅黑"/>
                <w:i w:val="0"/>
                <w:iCs w:val="0"/>
                <w:color w:val="FF0000"/>
                <w:sz w:val="22"/>
                <w:szCs w:val="22"/>
                <w:lang w:val="en-US" w:eastAsia="zh-CN"/>
              </w:rPr>
              <w:t xml:space="preserve">Ariffin,W.J.W.,Shahfiq,S.,Ahmad,F.,lbrahim,A.and Ghazalli,F.S.(2023). </w:t>
            </w:r>
            <w:r>
              <w:rPr>
                <w:rFonts w:hint="default" w:ascii="微软雅黑" w:hAnsi="微软雅黑" w:eastAsia="微软雅黑" w:cs="微软雅黑"/>
                <w:i w:val="0"/>
                <w:iCs w:val="0"/>
                <w:color w:val="FF0000"/>
                <w:sz w:val="22"/>
                <w:szCs w:val="22"/>
                <w:lang w:val="en-US" w:eastAsia="zh-CN"/>
              </w:rPr>
              <w:t>‘</w:t>
            </w:r>
            <w:r>
              <w:rPr>
                <w:rFonts w:hint="eastAsia" w:ascii="微软雅黑" w:hAnsi="微软雅黑" w:eastAsia="微软雅黑" w:cs="微软雅黑"/>
                <w:i w:val="0"/>
                <w:iCs w:val="0"/>
                <w:color w:val="FF0000"/>
                <w:sz w:val="22"/>
                <w:szCs w:val="22"/>
                <w:lang w:val="en-US" w:eastAsia="zh-CN"/>
              </w:rPr>
              <w:t>Handicraft innovations:A strategic approach to preserving intangible cultural heritage of Malaysia</w:t>
            </w:r>
            <w:r>
              <w:rPr>
                <w:rFonts w:hint="default" w:ascii="微软雅黑" w:hAnsi="微软雅黑" w:eastAsia="微软雅黑" w:cs="微软雅黑"/>
                <w:i w:val="0"/>
                <w:iCs w:val="0"/>
                <w:color w:val="FF0000"/>
                <w:sz w:val="22"/>
                <w:szCs w:val="22"/>
                <w:lang w:val="en-US" w:eastAsia="zh-CN"/>
              </w:rPr>
              <w:t>’</w:t>
            </w:r>
            <w:r>
              <w:rPr>
                <w:rFonts w:hint="eastAsia" w:ascii="微软雅黑" w:hAnsi="微软雅黑" w:eastAsia="微软雅黑" w:cs="微软雅黑"/>
                <w:i w:val="0"/>
                <w:iCs w:val="0"/>
                <w:color w:val="FF0000"/>
                <w:sz w:val="22"/>
                <w:szCs w:val="22"/>
                <w:lang w:val="en-US" w:eastAsia="zh-CN"/>
              </w:rPr>
              <w:t>,</w:t>
            </w:r>
            <w:r>
              <w:rPr>
                <w:rFonts w:hint="eastAsia" w:ascii="微软雅黑" w:hAnsi="微软雅黑" w:eastAsia="微软雅黑" w:cs="微软雅黑"/>
                <w:i/>
                <w:iCs/>
                <w:color w:val="FF0000"/>
                <w:sz w:val="22"/>
                <w:szCs w:val="22"/>
                <w:lang w:val="en-US" w:eastAsia="zh-CN"/>
              </w:rPr>
              <w:t>ISVS e-journal</w:t>
            </w:r>
            <w:r>
              <w:rPr>
                <w:rFonts w:hint="eastAsia" w:ascii="微软雅黑" w:hAnsi="微软雅黑" w:eastAsia="微软雅黑" w:cs="微软雅黑"/>
                <w:i w:val="0"/>
                <w:iCs w:val="0"/>
                <w:color w:val="FF0000"/>
                <w:sz w:val="22"/>
                <w:szCs w:val="22"/>
                <w:lang w:val="en-US" w:eastAsia="zh-CN"/>
              </w:rPr>
              <w:t>,10(07),pp137-146.</w:t>
            </w:r>
          </w:p>
          <w:p w14:paraId="1CE3209F">
            <w:pPr>
              <w:ind w:firstLine="440" w:firstLineChars="200"/>
              <w:rPr>
                <w:rFonts w:hint="eastAsia" w:ascii="微软雅黑" w:hAnsi="微软雅黑" w:eastAsia="微软雅黑" w:cs="微软雅黑"/>
                <w:color w:val="FF0000"/>
                <w:sz w:val="22"/>
                <w:szCs w:val="22"/>
              </w:rPr>
            </w:pPr>
            <w:r>
              <w:rPr>
                <w:rFonts w:hint="eastAsia" w:ascii="微软雅黑" w:hAnsi="微软雅黑" w:eastAsia="微软雅黑" w:cs="微软雅黑"/>
                <w:color w:val="FF0000"/>
                <w:sz w:val="22"/>
                <w:szCs w:val="22"/>
              </w:rPr>
              <w:t xml:space="preserve">Gu, Jun and Yuan, Li. (2016). "Three Discussions on the Original Ecological Protection of Intangible Cultural Heritage," </w:t>
            </w:r>
            <w:r>
              <w:rPr>
                <w:rStyle w:val="18"/>
                <w:rFonts w:hint="eastAsia" w:ascii="微软雅黑" w:hAnsi="微软雅黑" w:eastAsia="微软雅黑" w:cs="微软雅黑"/>
                <w:color w:val="FF0000"/>
                <w:sz w:val="22"/>
                <w:szCs w:val="22"/>
              </w:rPr>
              <w:t>Journal of Original Ecological Ethnic Culture</w:t>
            </w:r>
            <w:r>
              <w:rPr>
                <w:rFonts w:hint="eastAsia" w:ascii="微软雅黑" w:hAnsi="微软雅黑" w:eastAsia="微软雅黑" w:cs="微软雅黑"/>
                <w:color w:val="FF0000"/>
                <w:sz w:val="22"/>
                <w:szCs w:val="22"/>
              </w:rPr>
              <w:t>, (01), pp. 113–116.</w:t>
            </w:r>
          </w:p>
          <w:p w14:paraId="757427B6">
            <w:pPr>
              <w:ind w:firstLine="440" w:firstLineChars="200"/>
              <w:rPr>
                <w:rFonts w:hint="eastAsia" w:ascii="微软雅黑" w:hAnsi="微软雅黑" w:eastAsia="微软雅黑" w:cs="微软雅黑"/>
                <w:i w:val="0"/>
                <w:iCs w:val="0"/>
                <w:color w:val="FF0000"/>
                <w:sz w:val="22"/>
                <w:szCs w:val="22"/>
                <w:lang w:val="en-US" w:eastAsia="zh-CN"/>
              </w:rPr>
            </w:pPr>
            <w:r>
              <w:rPr>
                <w:rFonts w:hint="eastAsia" w:ascii="微软雅黑" w:hAnsi="微软雅黑" w:eastAsia="微软雅黑" w:cs="微软雅黑"/>
                <w:i w:val="0"/>
                <w:iCs w:val="0"/>
                <w:color w:val="FF0000"/>
                <w:sz w:val="22"/>
                <w:szCs w:val="22"/>
                <w:lang w:val="en-US" w:eastAsia="zh-CN"/>
              </w:rPr>
              <w:t>Convery,I.,Corsane,G.and Davis,P.(Eds.).(2012).</w:t>
            </w:r>
            <w:r>
              <w:rPr>
                <w:rFonts w:hint="eastAsia" w:ascii="微软雅黑" w:hAnsi="微软雅黑" w:eastAsia="微软雅黑" w:cs="微软雅黑"/>
                <w:i/>
                <w:iCs/>
                <w:color w:val="FF0000"/>
                <w:sz w:val="22"/>
                <w:szCs w:val="22"/>
                <w:lang w:val="en-US" w:eastAsia="zh-CN"/>
              </w:rPr>
              <w:t>Making sense of place:Multidisciplinary perspective</w:t>
            </w:r>
            <w:r>
              <w:rPr>
                <w:rFonts w:hint="eastAsia" w:ascii="微软雅黑" w:hAnsi="微软雅黑" w:eastAsia="微软雅黑" w:cs="微软雅黑"/>
                <w:i w:val="0"/>
                <w:iCs w:val="0"/>
                <w:color w:val="FF0000"/>
                <w:sz w:val="22"/>
                <w:szCs w:val="22"/>
                <w:lang w:val="en-US" w:eastAsia="zh-CN"/>
              </w:rPr>
              <w:t>(Vol.7)</w:t>
            </w:r>
            <w:r>
              <w:rPr>
                <w:rFonts w:hint="eastAsia" w:ascii="微软雅黑" w:hAnsi="微软雅黑" w:eastAsia="微软雅黑" w:cs="微软雅黑"/>
                <w:i/>
                <w:iCs/>
                <w:color w:val="FF0000"/>
                <w:sz w:val="22"/>
                <w:szCs w:val="22"/>
                <w:lang w:val="en-US" w:eastAsia="zh-CN"/>
              </w:rPr>
              <w:t>.</w:t>
            </w:r>
            <w:r>
              <w:rPr>
                <w:rFonts w:hint="eastAsia" w:ascii="微软雅黑" w:hAnsi="微软雅黑" w:eastAsia="微软雅黑" w:cs="微软雅黑"/>
                <w:i w:val="0"/>
                <w:iCs w:val="0"/>
                <w:color w:val="FF0000"/>
                <w:sz w:val="22"/>
                <w:szCs w:val="22"/>
                <w:lang w:val="en-US" w:eastAsia="zh-CN"/>
              </w:rPr>
              <w:t>Boydell Press.</w:t>
            </w:r>
          </w:p>
          <w:p w14:paraId="4CB0EC4F">
            <w:pPr>
              <w:ind w:firstLine="440" w:firstLineChars="200"/>
              <w:rPr>
                <w:rFonts w:hint="eastAsia" w:ascii="微软雅黑" w:hAnsi="微软雅黑" w:eastAsia="微软雅黑" w:cs="微软雅黑"/>
                <w:i w:val="0"/>
                <w:iCs w:val="0"/>
                <w:color w:val="FF0000"/>
                <w:sz w:val="22"/>
                <w:szCs w:val="22"/>
                <w:lang w:val="en-US" w:eastAsia="zh-CN"/>
              </w:rPr>
            </w:pPr>
            <w:r>
              <w:rPr>
                <w:rFonts w:hint="eastAsia" w:ascii="微软雅黑" w:hAnsi="微软雅黑" w:eastAsia="微软雅黑" w:cs="微软雅黑"/>
                <w:i w:val="0"/>
                <w:iCs w:val="0"/>
                <w:color w:val="FF0000"/>
                <w:sz w:val="22"/>
                <w:szCs w:val="22"/>
                <w:lang w:val="en-US" w:eastAsia="zh-CN"/>
              </w:rPr>
              <w:t>Agnew,J.A.(2014).</w:t>
            </w:r>
            <w:r>
              <w:rPr>
                <w:rFonts w:hint="eastAsia" w:ascii="微软雅黑" w:hAnsi="微软雅黑" w:eastAsia="微软雅黑" w:cs="微软雅黑"/>
                <w:i/>
                <w:iCs/>
                <w:color w:val="FF0000"/>
                <w:sz w:val="22"/>
                <w:szCs w:val="22"/>
                <w:lang w:val="en-US" w:eastAsia="zh-CN"/>
              </w:rPr>
              <w:t>Place and politics:The geographical mediation of state and society</w:t>
            </w:r>
            <w:r>
              <w:rPr>
                <w:rFonts w:hint="eastAsia" w:ascii="微软雅黑" w:hAnsi="微软雅黑" w:eastAsia="微软雅黑" w:cs="微软雅黑"/>
                <w:i w:val="0"/>
                <w:iCs w:val="0"/>
                <w:color w:val="FF0000"/>
                <w:sz w:val="22"/>
                <w:szCs w:val="22"/>
                <w:lang w:val="en-US" w:eastAsia="zh-CN"/>
              </w:rPr>
              <w:t>.Routledge.</w:t>
            </w:r>
          </w:p>
          <w:p w14:paraId="7A5AB3B8">
            <w:pPr>
              <w:ind w:firstLine="440" w:firstLineChars="200"/>
              <w:rPr>
                <w:rFonts w:hint="eastAsia" w:ascii="微软雅黑" w:hAnsi="微软雅黑" w:eastAsia="微软雅黑" w:cs="微软雅黑"/>
                <w:i w:val="0"/>
                <w:iCs w:val="0"/>
                <w:color w:val="FF0000"/>
                <w:sz w:val="22"/>
                <w:szCs w:val="22"/>
                <w:lang w:val="en-US" w:eastAsia="zh-CN"/>
              </w:rPr>
            </w:pPr>
            <w:r>
              <w:rPr>
                <w:rFonts w:hint="eastAsia" w:ascii="微软雅黑" w:hAnsi="微软雅黑" w:eastAsia="微软雅黑" w:cs="微软雅黑"/>
                <w:i w:val="0"/>
                <w:iCs w:val="0"/>
                <w:color w:val="FF0000"/>
                <w:sz w:val="22"/>
                <w:szCs w:val="22"/>
                <w:lang w:val="en-US" w:eastAsia="zh-CN"/>
              </w:rPr>
              <w:t>Bondi,L.(2016).E</w:t>
            </w:r>
            <w:r>
              <w:rPr>
                <w:rFonts w:hint="eastAsia" w:ascii="微软雅黑" w:hAnsi="微软雅黑" w:eastAsia="微软雅黑" w:cs="微软雅黑"/>
                <w:i/>
                <w:iCs/>
                <w:color w:val="FF0000"/>
                <w:sz w:val="22"/>
                <w:szCs w:val="22"/>
                <w:lang w:val="en-US" w:eastAsia="zh-CN"/>
              </w:rPr>
              <w:t>motional geographies.</w:t>
            </w:r>
            <w:r>
              <w:rPr>
                <w:rFonts w:hint="eastAsia" w:ascii="微软雅黑" w:hAnsi="微软雅黑" w:eastAsia="微软雅黑" w:cs="微软雅黑"/>
                <w:i w:val="0"/>
                <w:iCs w:val="0"/>
                <w:color w:val="FF0000"/>
                <w:sz w:val="22"/>
                <w:szCs w:val="22"/>
                <w:lang w:val="en-US" w:eastAsia="zh-CN"/>
              </w:rPr>
              <w:t>Routledge.</w:t>
            </w:r>
          </w:p>
          <w:p w14:paraId="748C76B0">
            <w:pPr>
              <w:ind w:firstLine="440" w:firstLineChars="200"/>
              <w:rPr>
                <w:rFonts w:hint="eastAsia" w:ascii="微软雅黑" w:hAnsi="微软雅黑" w:eastAsia="微软雅黑" w:cs="微软雅黑"/>
                <w:i w:val="0"/>
                <w:iCs w:val="0"/>
                <w:color w:val="FF0000"/>
                <w:sz w:val="22"/>
                <w:szCs w:val="22"/>
                <w:lang w:val="en-US" w:eastAsia="zh-CN"/>
              </w:rPr>
            </w:pPr>
            <w:r>
              <w:rPr>
                <w:rFonts w:hint="eastAsia" w:ascii="微软雅黑" w:hAnsi="微软雅黑" w:eastAsia="微软雅黑" w:cs="微软雅黑"/>
                <w:i w:val="0"/>
                <w:iCs w:val="0"/>
                <w:color w:val="FF0000"/>
                <w:sz w:val="22"/>
                <w:szCs w:val="22"/>
                <w:lang w:val="en-US" w:eastAsia="zh-CN"/>
              </w:rPr>
              <w:t xml:space="preserve">Thrift,N.(2004). </w:t>
            </w:r>
            <w:r>
              <w:rPr>
                <w:rFonts w:hint="default" w:ascii="微软雅黑" w:hAnsi="微软雅黑" w:eastAsia="微软雅黑" w:cs="微软雅黑"/>
                <w:i w:val="0"/>
                <w:iCs w:val="0"/>
                <w:color w:val="FF0000"/>
                <w:sz w:val="22"/>
                <w:szCs w:val="22"/>
                <w:lang w:val="en-US" w:eastAsia="zh-CN"/>
              </w:rPr>
              <w:t>‘</w:t>
            </w:r>
            <w:r>
              <w:rPr>
                <w:rFonts w:hint="eastAsia" w:ascii="微软雅黑" w:hAnsi="微软雅黑" w:eastAsia="微软雅黑" w:cs="微软雅黑"/>
                <w:i w:val="0"/>
                <w:iCs w:val="0"/>
                <w:color w:val="FF0000"/>
                <w:sz w:val="22"/>
                <w:szCs w:val="22"/>
                <w:lang w:val="en-US" w:eastAsia="zh-CN"/>
              </w:rPr>
              <w:t>Intensities of feeling:Towards a spatial politics of affect,</w:t>
            </w:r>
            <w:r>
              <w:rPr>
                <w:rFonts w:hint="eastAsia" w:ascii="微软雅黑" w:hAnsi="微软雅黑" w:eastAsia="微软雅黑" w:cs="微软雅黑"/>
                <w:i/>
                <w:iCs/>
                <w:color w:val="FF0000"/>
                <w:sz w:val="22"/>
                <w:szCs w:val="22"/>
                <w:lang w:val="en-US" w:eastAsia="zh-CN"/>
              </w:rPr>
              <w:t>Geografiska Annaler:Series B,Human Geography</w:t>
            </w:r>
            <w:r>
              <w:rPr>
                <w:rFonts w:hint="eastAsia" w:ascii="微软雅黑" w:hAnsi="微软雅黑" w:eastAsia="微软雅黑" w:cs="微软雅黑"/>
                <w:i w:val="0"/>
                <w:iCs w:val="0"/>
                <w:color w:val="FF0000"/>
                <w:sz w:val="22"/>
                <w:szCs w:val="22"/>
                <w:lang w:val="en-US" w:eastAsia="zh-CN"/>
              </w:rPr>
              <w:t>,86(01),pp57-78.</w:t>
            </w:r>
          </w:p>
          <w:p w14:paraId="24B474B0">
            <w:pPr>
              <w:ind w:firstLine="440" w:firstLineChars="200"/>
              <w:rPr>
                <w:rFonts w:hint="default" w:ascii="微软雅黑" w:hAnsi="微软雅黑" w:eastAsia="微软雅黑" w:cs="微软雅黑"/>
                <w:i w:val="0"/>
                <w:iCs w:val="0"/>
                <w:color w:val="FF0000"/>
                <w:sz w:val="22"/>
                <w:szCs w:val="22"/>
                <w:lang w:val="en-US" w:eastAsia="zh-CN"/>
              </w:rPr>
            </w:pPr>
            <w:r>
              <w:rPr>
                <w:rFonts w:hint="eastAsia" w:ascii="微软雅黑" w:hAnsi="微软雅黑" w:eastAsia="微软雅黑" w:cs="微软雅黑"/>
                <w:i w:val="0"/>
                <w:iCs w:val="0"/>
                <w:color w:val="FF0000"/>
                <w:sz w:val="22"/>
                <w:szCs w:val="22"/>
                <w:lang w:val="en-US" w:eastAsia="zh-CN"/>
              </w:rPr>
              <w:t xml:space="preserve">Twigger-Ross,C.L.and Uzzell,D.L.(1996). </w:t>
            </w:r>
            <w:r>
              <w:rPr>
                <w:rFonts w:hint="default" w:ascii="微软雅黑" w:hAnsi="微软雅黑" w:eastAsia="微软雅黑" w:cs="微软雅黑"/>
                <w:i w:val="0"/>
                <w:iCs w:val="0"/>
                <w:color w:val="FF0000"/>
                <w:sz w:val="22"/>
                <w:szCs w:val="22"/>
                <w:lang w:val="en-US" w:eastAsia="zh-CN"/>
              </w:rPr>
              <w:t>‘</w:t>
            </w:r>
            <w:r>
              <w:rPr>
                <w:rFonts w:hint="eastAsia" w:ascii="微软雅黑" w:hAnsi="微软雅黑" w:eastAsia="微软雅黑" w:cs="微软雅黑"/>
                <w:i w:val="0"/>
                <w:iCs w:val="0"/>
                <w:color w:val="FF0000"/>
                <w:sz w:val="22"/>
                <w:szCs w:val="22"/>
                <w:lang w:val="en-US" w:eastAsia="zh-CN"/>
              </w:rPr>
              <w:t>Place and identity processes</w:t>
            </w:r>
            <w:r>
              <w:rPr>
                <w:rFonts w:hint="default" w:ascii="微软雅黑" w:hAnsi="微软雅黑" w:eastAsia="微软雅黑" w:cs="微软雅黑"/>
                <w:i w:val="0"/>
                <w:iCs w:val="0"/>
                <w:color w:val="FF0000"/>
                <w:sz w:val="22"/>
                <w:szCs w:val="22"/>
                <w:lang w:val="en-US" w:eastAsia="zh-CN"/>
              </w:rPr>
              <w:t>’</w:t>
            </w:r>
            <w:r>
              <w:rPr>
                <w:rFonts w:hint="eastAsia" w:ascii="微软雅黑" w:hAnsi="微软雅黑" w:eastAsia="微软雅黑" w:cs="微软雅黑"/>
                <w:i w:val="0"/>
                <w:iCs w:val="0"/>
                <w:color w:val="FF0000"/>
                <w:sz w:val="22"/>
                <w:szCs w:val="22"/>
                <w:lang w:val="en-US" w:eastAsia="zh-CN"/>
              </w:rPr>
              <w:t>,</w:t>
            </w:r>
            <w:r>
              <w:rPr>
                <w:rFonts w:hint="eastAsia" w:ascii="微软雅黑" w:hAnsi="微软雅黑" w:eastAsia="微软雅黑" w:cs="微软雅黑"/>
                <w:i/>
                <w:iCs/>
                <w:color w:val="FF0000"/>
                <w:sz w:val="22"/>
                <w:szCs w:val="22"/>
                <w:lang w:val="en-US" w:eastAsia="zh-CN"/>
              </w:rPr>
              <w:t>Journal of environmental psychology</w:t>
            </w:r>
            <w:r>
              <w:rPr>
                <w:rFonts w:hint="eastAsia" w:ascii="微软雅黑" w:hAnsi="微软雅黑" w:eastAsia="微软雅黑" w:cs="微软雅黑"/>
                <w:i w:val="0"/>
                <w:iCs w:val="0"/>
                <w:color w:val="FF0000"/>
                <w:sz w:val="22"/>
                <w:szCs w:val="22"/>
                <w:lang w:val="en-US" w:eastAsia="zh-CN"/>
              </w:rPr>
              <w:t>,16(03),pp205-220.</w:t>
            </w:r>
          </w:p>
          <w:p w14:paraId="6C28005B">
            <w:pPr>
              <w:keepNext w:val="0"/>
              <w:keepLines w:val="0"/>
              <w:widowControl/>
              <w:suppressLineNumbers w:val="0"/>
              <w:ind w:firstLine="440" w:firstLineChars="200"/>
              <w:jc w:val="left"/>
              <w:rPr>
                <w:sz w:val="22"/>
                <w:szCs w:val="22"/>
              </w:rPr>
            </w:pPr>
            <w:r>
              <w:rPr>
                <w:rFonts w:ascii="微软雅黑" w:hAnsi="微软雅黑" w:eastAsia="微软雅黑" w:cs="微软雅黑"/>
                <w:color w:val="FF0000"/>
                <w:kern w:val="0"/>
                <w:sz w:val="22"/>
                <w:szCs w:val="22"/>
                <w:lang w:val="en-US" w:eastAsia="zh-CN" w:bidi="ar"/>
              </w:rPr>
              <w:t>Gubrium, J.F. and Holstein, J.A.(2001)</w:t>
            </w:r>
            <w:r>
              <w:rPr>
                <w:rFonts w:hint="eastAsia" w:ascii="微软雅黑" w:hAnsi="微软雅黑" w:eastAsia="微软雅黑" w:cs="微软雅黑"/>
                <w:i/>
                <w:iCs/>
                <w:color w:val="FF0000"/>
                <w:kern w:val="0"/>
                <w:sz w:val="22"/>
                <w:szCs w:val="22"/>
                <w:lang w:val="en-US" w:eastAsia="zh-CN" w:bidi="ar"/>
              </w:rPr>
              <w:t xml:space="preserve">Handbook of interview research: Context and </w:t>
            </w:r>
          </w:p>
          <w:p w14:paraId="07254374">
            <w:pPr>
              <w:keepNext w:val="0"/>
              <w:keepLines w:val="0"/>
              <w:widowControl/>
              <w:suppressLineNumbers w:val="0"/>
              <w:jc w:val="left"/>
              <w:rPr>
                <w:rFonts w:hint="eastAsia" w:ascii="微软雅黑" w:hAnsi="微软雅黑" w:eastAsia="微软雅黑" w:cs="微软雅黑"/>
                <w:color w:val="FF0000"/>
                <w:kern w:val="0"/>
                <w:sz w:val="22"/>
                <w:szCs w:val="22"/>
                <w:lang w:val="en-US" w:eastAsia="zh-CN" w:bidi="ar"/>
              </w:rPr>
            </w:pPr>
            <w:r>
              <w:rPr>
                <w:rFonts w:hint="eastAsia" w:ascii="微软雅黑" w:hAnsi="微软雅黑" w:eastAsia="微软雅黑" w:cs="微软雅黑"/>
                <w:i/>
                <w:iCs/>
                <w:color w:val="FF0000"/>
                <w:kern w:val="0"/>
                <w:sz w:val="22"/>
                <w:szCs w:val="22"/>
                <w:lang w:val="en-US" w:eastAsia="zh-CN" w:bidi="ar"/>
              </w:rPr>
              <w:t>method</w:t>
            </w:r>
            <w:r>
              <w:rPr>
                <w:rFonts w:hint="eastAsia" w:ascii="微软雅黑" w:hAnsi="微软雅黑" w:eastAsia="微软雅黑" w:cs="微软雅黑"/>
                <w:color w:val="FF0000"/>
                <w:kern w:val="0"/>
                <w:sz w:val="22"/>
                <w:szCs w:val="22"/>
                <w:lang w:val="en-US" w:eastAsia="zh-CN" w:bidi="ar"/>
              </w:rPr>
              <w:t>. London:Sage Publications.</w:t>
            </w:r>
          </w:p>
          <w:p w14:paraId="2F496E03">
            <w:pPr>
              <w:rPr>
                <w:rFonts w:hint="eastAsia" w:ascii="微软雅黑" w:hAnsi="微软雅黑" w:eastAsia="微软雅黑" w:cs="微软雅黑"/>
                <w:color w:val="FF0000"/>
                <w:sz w:val="22"/>
                <w:szCs w:val="22"/>
              </w:rPr>
            </w:pPr>
            <w:r>
              <w:rPr>
                <w:rFonts w:hint="eastAsia" w:ascii="微软雅黑" w:hAnsi="微软雅黑" w:eastAsia="微软雅黑" w:cs="微软雅黑"/>
                <w:color w:val="FF0000"/>
                <w:kern w:val="0"/>
                <w:sz w:val="20"/>
                <w:szCs w:val="20"/>
                <w:lang w:val="en-US" w:eastAsia="zh-CN" w:bidi="ar"/>
              </w:rPr>
              <w:t xml:space="preserve">        </w:t>
            </w:r>
            <w:r>
              <w:rPr>
                <w:rFonts w:hint="eastAsia" w:ascii="微软雅黑" w:hAnsi="微软雅黑" w:eastAsia="微软雅黑" w:cs="微软雅黑"/>
                <w:i w:val="0"/>
                <w:iCs w:val="0"/>
                <w:caps w:val="0"/>
                <w:color w:val="FF0000"/>
                <w:spacing w:val="0"/>
                <w:sz w:val="22"/>
                <w:szCs w:val="22"/>
                <w:shd w:val="clear" w:fill="FFFFFF"/>
              </w:rPr>
              <w:t>Polanyi, M., 2009. The tacit dimension. In </w:t>
            </w:r>
            <w:r>
              <w:rPr>
                <w:rFonts w:hint="eastAsia" w:ascii="微软雅黑" w:hAnsi="微软雅黑" w:eastAsia="微软雅黑" w:cs="微软雅黑"/>
                <w:i/>
                <w:iCs/>
                <w:caps w:val="0"/>
                <w:color w:val="FF0000"/>
                <w:spacing w:val="0"/>
                <w:sz w:val="22"/>
                <w:szCs w:val="22"/>
                <w:shd w:val="clear" w:fill="FFFFFF"/>
              </w:rPr>
              <w:t>Knowledge in organisations</w:t>
            </w:r>
            <w:r>
              <w:rPr>
                <w:rFonts w:hint="eastAsia" w:ascii="微软雅黑" w:hAnsi="微软雅黑" w:eastAsia="微软雅黑" w:cs="微软雅黑"/>
                <w:i w:val="0"/>
                <w:iCs w:val="0"/>
                <w:caps w:val="0"/>
                <w:color w:val="FF0000"/>
                <w:spacing w:val="0"/>
                <w:sz w:val="22"/>
                <w:szCs w:val="22"/>
                <w:shd w:val="clear" w:fill="FFFFFF"/>
              </w:rPr>
              <w:t> (pp. 135-146). Routledge.</w:t>
            </w:r>
          </w:p>
          <w:p w14:paraId="25099A6F">
            <w:pPr>
              <w:ind w:firstLine="440" w:firstLineChars="200"/>
              <w:rPr>
                <w:rFonts w:hint="eastAsia" w:ascii="微软雅黑" w:hAnsi="微软雅黑" w:eastAsia="微软雅黑" w:cs="微软雅黑"/>
                <w:color w:val="FF0000"/>
                <w:sz w:val="22"/>
                <w:szCs w:val="22"/>
              </w:rPr>
            </w:pPr>
            <w:r>
              <w:rPr>
                <w:rFonts w:hint="eastAsia" w:ascii="微软雅黑" w:hAnsi="微软雅黑" w:eastAsia="微软雅黑" w:cs="微软雅黑"/>
                <w:i w:val="0"/>
                <w:iCs w:val="0"/>
                <w:caps w:val="0"/>
                <w:color w:val="FF0000"/>
                <w:spacing w:val="0"/>
                <w:sz w:val="22"/>
                <w:szCs w:val="22"/>
                <w:shd w:val="clear" w:fill="FFFFFF"/>
              </w:rPr>
              <w:t>Swartz, D., 2012. </w:t>
            </w:r>
            <w:r>
              <w:rPr>
                <w:rFonts w:hint="eastAsia" w:ascii="微软雅黑" w:hAnsi="微软雅黑" w:eastAsia="微软雅黑" w:cs="微软雅黑"/>
                <w:i/>
                <w:iCs/>
                <w:caps w:val="0"/>
                <w:color w:val="FF0000"/>
                <w:spacing w:val="0"/>
                <w:sz w:val="22"/>
                <w:szCs w:val="22"/>
                <w:shd w:val="clear" w:fill="FFFFFF"/>
              </w:rPr>
              <w:t>Culture and power: The sociology of Pierre Bourdieu</w:t>
            </w:r>
            <w:r>
              <w:rPr>
                <w:rFonts w:hint="eastAsia" w:ascii="微软雅黑" w:hAnsi="微软雅黑" w:eastAsia="微软雅黑" w:cs="微软雅黑"/>
                <w:i w:val="0"/>
                <w:iCs w:val="0"/>
                <w:caps w:val="0"/>
                <w:color w:val="FF0000"/>
                <w:spacing w:val="0"/>
                <w:sz w:val="22"/>
                <w:szCs w:val="22"/>
                <w:shd w:val="clear" w:fill="FFFFFF"/>
              </w:rPr>
              <w:t>. University of Chicago Press.</w:t>
            </w:r>
          </w:p>
          <w:p w14:paraId="415FA2B8">
            <w:pPr>
              <w:rPr>
                <w:rFonts w:cs="Arial"/>
                <w:sz w:val="22"/>
                <w:szCs w:val="22"/>
              </w:rPr>
            </w:pPr>
          </w:p>
        </w:tc>
      </w:tr>
      <w:tr w14:paraId="2F728C1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7" w:hRule="atLeast"/>
        </w:trPr>
        <w:tc>
          <w:tcPr>
            <w:tcW w:w="9781" w:type="dxa"/>
            <w:shd w:val="clear" w:color="auto" w:fill="F1F1F1" w:themeFill="background1" w:themeFillShade="F2"/>
            <w:vAlign w:val="center"/>
          </w:tcPr>
          <w:p w14:paraId="43D3CD2A">
            <w:pPr>
              <w:rPr>
                <w:rFonts w:cs="Arial"/>
                <w:sz w:val="22"/>
                <w:szCs w:val="22"/>
              </w:rPr>
            </w:pPr>
            <w:r>
              <w:rPr>
                <w:rFonts w:cs="Arial"/>
                <w:sz w:val="22"/>
                <w:szCs w:val="22"/>
              </w:rPr>
              <w:t>Facilities and resources available for the investigation: please indicate if you expect to need any special resources</w:t>
            </w:r>
          </w:p>
        </w:tc>
      </w:tr>
      <w:tr w14:paraId="37B7ACC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7" w:hRule="atLeast"/>
        </w:trPr>
        <w:tc>
          <w:tcPr>
            <w:tcW w:w="9781" w:type="dxa"/>
            <w:vAlign w:val="center"/>
          </w:tcPr>
          <w:p w14:paraId="587615CA">
            <w:pPr>
              <w:rPr>
                <w:rFonts w:cs="Arial"/>
                <w:sz w:val="22"/>
                <w:szCs w:val="22"/>
              </w:rPr>
            </w:pPr>
            <w:r>
              <w:rPr>
                <w:rFonts w:cs="Arial"/>
                <w:sz w:val="22"/>
                <w:szCs w:val="22"/>
              </w:rPr>
              <w:t>In this section you should indicate:</w:t>
            </w:r>
          </w:p>
          <w:p w14:paraId="452EDDBE">
            <w:pPr>
              <w:rPr>
                <w:rFonts w:cs="Arial"/>
                <w:sz w:val="22"/>
                <w:szCs w:val="22"/>
              </w:rPr>
            </w:pPr>
          </w:p>
          <w:p w14:paraId="31FDA96D">
            <w:pPr>
              <w:pStyle w:val="27"/>
              <w:numPr>
                <w:ilvl w:val="0"/>
                <w:numId w:val="4"/>
              </w:numPr>
              <w:autoSpaceDE w:val="0"/>
              <w:autoSpaceDN w:val="0"/>
              <w:adjustRightInd w:val="0"/>
              <w:contextualSpacing/>
              <w:rPr>
                <w:rFonts w:cs="Arial"/>
                <w:sz w:val="22"/>
                <w:szCs w:val="22"/>
              </w:rPr>
            </w:pPr>
            <w:r>
              <w:rPr>
                <w:rFonts w:cs="Arial"/>
                <w:sz w:val="22"/>
                <w:szCs w:val="22"/>
              </w:rPr>
              <w:t>What facilities you will need access to including libraries, archives, institutions, specialist IT facilities</w:t>
            </w:r>
          </w:p>
          <w:p w14:paraId="6B59878C">
            <w:pPr>
              <w:pStyle w:val="27"/>
              <w:numPr>
                <w:ilvl w:val="0"/>
                <w:numId w:val="4"/>
              </w:numPr>
              <w:autoSpaceDE w:val="0"/>
              <w:autoSpaceDN w:val="0"/>
              <w:adjustRightInd w:val="0"/>
              <w:contextualSpacing/>
              <w:rPr>
                <w:rFonts w:cs="Arial"/>
                <w:sz w:val="22"/>
                <w:szCs w:val="22"/>
              </w:rPr>
            </w:pPr>
            <w:r>
              <w:rPr>
                <w:rFonts w:cs="Arial"/>
                <w:sz w:val="22"/>
                <w:szCs w:val="22"/>
              </w:rPr>
              <w:t>Whether you have permission to access the facilities and resources</w:t>
            </w:r>
          </w:p>
          <w:p w14:paraId="64B1F49A">
            <w:pPr>
              <w:pStyle w:val="27"/>
              <w:numPr>
                <w:ilvl w:val="0"/>
                <w:numId w:val="4"/>
              </w:numPr>
              <w:autoSpaceDE w:val="0"/>
              <w:autoSpaceDN w:val="0"/>
              <w:adjustRightInd w:val="0"/>
              <w:contextualSpacing/>
              <w:rPr>
                <w:rFonts w:cs="Arial"/>
                <w:sz w:val="22"/>
                <w:szCs w:val="22"/>
              </w:rPr>
            </w:pPr>
            <w:r>
              <w:rPr>
                <w:rFonts w:cs="Arial"/>
                <w:sz w:val="22"/>
                <w:szCs w:val="22"/>
              </w:rPr>
              <w:t>Whether you need to travel to access the facilities and resources – where do you need to go, for how long, and how will this be financed</w:t>
            </w:r>
          </w:p>
          <w:p w14:paraId="1A01A39F">
            <w:pPr>
              <w:pStyle w:val="27"/>
              <w:numPr>
                <w:ilvl w:val="0"/>
                <w:numId w:val="4"/>
              </w:numPr>
              <w:autoSpaceDE w:val="0"/>
              <w:autoSpaceDN w:val="0"/>
              <w:adjustRightInd w:val="0"/>
              <w:contextualSpacing/>
              <w:rPr>
                <w:rFonts w:cs="Arial"/>
                <w:sz w:val="22"/>
                <w:szCs w:val="22"/>
              </w:rPr>
            </w:pPr>
            <w:r>
              <w:rPr>
                <w:rFonts w:cs="Arial"/>
                <w:sz w:val="22"/>
                <w:szCs w:val="22"/>
              </w:rPr>
              <w:t>Whether you will be carrying out fieldwork or interviews and whether you have followed the correct protocols, secured permission and ethical clearance.</w:t>
            </w:r>
          </w:p>
          <w:p w14:paraId="37A1BE46">
            <w:pPr>
              <w:pStyle w:val="11"/>
              <w:keepNext w:val="0"/>
              <w:keepLines w:val="0"/>
              <w:widowControl/>
              <w:suppressLineNumbers w:val="0"/>
              <w:jc w:val="both"/>
              <w:rPr>
                <w:rFonts w:hint="default" w:ascii="Arial" w:hAnsi="Arial" w:cs="Arial"/>
                <w:sz w:val="22"/>
                <w:szCs w:val="22"/>
              </w:rPr>
            </w:pPr>
            <w:r>
              <w:rPr>
                <w:rFonts w:hint="default" w:ascii="Arial" w:hAnsi="Arial" w:cs="Arial"/>
                <w:sz w:val="22"/>
                <w:szCs w:val="22"/>
              </w:rPr>
              <w:t>Based on the literature review, learning is conducted through resources available on Google Scholar and the UWTSD library, to which I have access. Since the research subjects are located in Nanjing, Jiangsu Province, China, it is necessary to remain in China throughout the research period (February 2025 to January 2027). During this time, all research expenses will be self-funded. Throughout the research process, strict adherence to safety regulations and ethical standards will be ensured.</w:t>
            </w:r>
          </w:p>
          <w:p w14:paraId="6B254A91">
            <w:pPr>
              <w:pStyle w:val="11"/>
              <w:keepNext w:val="0"/>
              <w:keepLines w:val="0"/>
              <w:widowControl/>
              <w:suppressLineNumbers w:val="0"/>
              <w:rPr>
                <w:rFonts w:hint="default" w:ascii="Arial" w:hAnsi="Arial" w:cs="Arial"/>
                <w:sz w:val="22"/>
                <w:szCs w:val="22"/>
              </w:rPr>
            </w:pPr>
            <w:r>
              <w:rPr>
                <w:rFonts w:hint="default" w:ascii="Arial" w:hAnsi="Arial" w:cs="Arial"/>
                <w:sz w:val="22"/>
                <w:szCs w:val="22"/>
              </w:rPr>
              <w:t>Potential factories and industry associations to engage with:</w:t>
            </w:r>
          </w:p>
          <w:p w14:paraId="7F59147F">
            <w:pPr>
              <w:keepNext w:val="0"/>
              <w:keepLines w:val="0"/>
              <w:widowControl/>
              <w:numPr>
                <w:ilvl w:val="0"/>
                <w:numId w:val="5"/>
              </w:numPr>
              <w:suppressLineNumbers w:val="0"/>
              <w:spacing w:before="0" w:beforeAutospacing="1" w:after="0" w:afterAutospacing="1"/>
              <w:ind w:left="720" w:hanging="360"/>
              <w:rPr>
                <w:rFonts w:hint="default" w:ascii="Arial" w:hAnsi="Arial" w:cs="Arial"/>
                <w:sz w:val="22"/>
                <w:szCs w:val="22"/>
              </w:rPr>
            </w:pPr>
            <w:r>
              <w:rPr>
                <w:rFonts w:hint="default" w:ascii="Arial" w:hAnsi="Arial" w:cs="Arial"/>
                <w:sz w:val="22"/>
                <w:szCs w:val="22"/>
              </w:rPr>
              <w:t>Nanjing Arts and Crafts General Corporation</w:t>
            </w:r>
          </w:p>
          <w:p w14:paraId="587D0B64">
            <w:pPr>
              <w:keepNext w:val="0"/>
              <w:keepLines w:val="0"/>
              <w:widowControl/>
              <w:numPr>
                <w:ilvl w:val="0"/>
                <w:numId w:val="5"/>
              </w:numPr>
              <w:suppressLineNumbers w:val="0"/>
              <w:spacing w:before="0" w:beforeAutospacing="1" w:after="0" w:afterAutospacing="1"/>
              <w:ind w:left="720" w:hanging="360"/>
              <w:rPr>
                <w:rFonts w:hint="default" w:ascii="Arial" w:hAnsi="Arial" w:cs="Arial"/>
                <w:sz w:val="22"/>
                <w:szCs w:val="22"/>
              </w:rPr>
            </w:pPr>
            <w:r>
              <w:rPr>
                <w:rFonts w:hint="default" w:ascii="Arial" w:hAnsi="Arial" w:cs="Arial"/>
                <w:sz w:val="22"/>
                <w:szCs w:val="22"/>
              </w:rPr>
              <w:t>Nanjing Arts and Crafts Industry Association</w:t>
            </w:r>
          </w:p>
          <w:p w14:paraId="4ABDC4E3">
            <w:pPr>
              <w:keepNext w:val="0"/>
              <w:keepLines w:val="0"/>
              <w:widowControl/>
              <w:numPr>
                <w:ilvl w:val="0"/>
                <w:numId w:val="5"/>
              </w:numPr>
              <w:suppressLineNumbers w:val="0"/>
              <w:spacing w:before="0" w:beforeAutospacing="1" w:after="0" w:afterAutospacing="1"/>
              <w:ind w:left="720" w:hanging="360"/>
              <w:rPr>
                <w:rFonts w:hint="default" w:ascii="Arial" w:hAnsi="Arial" w:cs="Arial"/>
                <w:sz w:val="22"/>
                <w:szCs w:val="22"/>
              </w:rPr>
            </w:pPr>
            <w:r>
              <w:rPr>
                <w:rFonts w:hint="default" w:ascii="Arial" w:hAnsi="Arial" w:cs="Arial"/>
                <w:sz w:val="22"/>
                <w:szCs w:val="22"/>
              </w:rPr>
              <w:t>Nanjing Gold Thread and Gold Foil General Factory</w:t>
            </w:r>
          </w:p>
          <w:p w14:paraId="0902C87B">
            <w:pPr>
              <w:keepNext w:val="0"/>
              <w:keepLines w:val="0"/>
              <w:widowControl/>
              <w:numPr>
                <w:ilvl w:val="0"/>
                <w:numId w:val="5"/>
              </w:numPr>
              <w:suppressLineNumbers w:val="0"/>
              <w:spacing w:before="0" w:beforeAutospacing="1" w:after="0" w:afterAutospacing="1"/>
              <w:ind w:left="720" w:hanging="360"/>
              <w:rPr>
                <w:rFonts w:hint="default" w:ascii="Arial" w:hAnsi="Arial" w:cs="Arial"/>
                <w:sz w:val="22"/>
                <w:szCs w:val="22"/>
              </w:rPr>
            </w:pPr>
            <w:r>
              <w:rPr>
                <w:rFonts w:hint="default" w:ascii="Arial" w:hAnsi="Arial" w:cs="Arial"/>
                <w:sz w:val="22"/>
                <w:szCs w:val="22"/>
              </w:rPr>
              <w:t>Nanjing Yunjin Research Institute Co., Ltd.</w:t>
            </w:r>
          </w:p>
          <w:p w14:paraId="31F0F05A">
            <w:pPr>
              <w:keepNext w:val="0"/>
              <w:keepLines w:val="0"/>
              <w:widowControl/>
              <w:numPr>
                <w:ilvl w:val="0"/>
                <w:numId w:val="5"/>
              </w:numPr>
              <w:suppressLineNumbers w:val="0"/>
              <w:spacing w:before="0" w:beforeAutospacing="1" w:after="0" w:afterAutospacing="1"/>
              <w:ind w:left="720" w:hanging="360"/>
              <w:rPr>
                <w:rFonts w:hint="default" w:ascii="Arial" w:hAnsi="Arial" w:cs="Arial"/>
                <w:sz w:val="22"/>
                <w:szCs w:val="22"/>
              </w:rPr>
            </w:pPr>
            <w:r>
              <w:rPr>
                <w:rFonts w:hint="default" w:ascii="Arial" w:hAnsi="Arial" w:cs="Arial"/>
                <w:sz w:val="22"/>
                <w:szCs w:val="22"/>
              </w:rPr>
              <w:t>China Folk Literature and Art Association, Jiangsu Folk Literature and Art Association</w:t>
            </w:r>
          </w:p>
          <w:p w14:paraId="57CCC38A">
            <w:pPr>
              <w:rPr>
                <w:rFonts w:hint="eastAsia" w:ascii="微软雅黑" w:hAnsi="微软雅黑" w:eastAsia="微软雅黑" w:cs="微软雅黑"/>
                <w:sz w:val="22"/>
                <w:szCs w:val="22"/>
                <w:lang w:val="en-US" w:eastAsia="zh-CN"/>
              </w:rPr>
            </w:pPr>
          </w:p>
          <w:p w14:paraId="266FCE7D">
            <w:pPr>
              <w:rPr>
                <w:rFonts w:hint="eastAsia" w:ascii="微软雅黑" w:hAnsi="微软雅黑" w:eastAsia="微软雅黑" w:cs="微软雅黑"/>
                <w:sz w:val="22"/>
                <w:szCs w:val="22"/>
                <w:lang w:val="en-US" w:eastAsia="zh-CN"/>
              </w:rPr>
            </w:pPr>
          </w:p>
          <w:p w14:paraId="5D7F7948">
            <w:pPr>
              <w:rPr>
                <w:rFonts w:hint="eastAsia" w:eastAsia="宋体" w:cs="Arial"/>
                <w:sz w:val="22"/>
                <w:szCs w:val="22"/>
                <w:lang w:val="en-US" w:eastAsia="zh-CN"/>
              </w:rPr>
            </w:pPr>
          </w:p>
          <w:p w14:paraId="4FEAFAD3">
            <w:pPr>
              <w:rPr>
                <w:rFonts w:hint="eastAsia" w:eastAsia="宋体" w:cs="Arial"/>
                <w:sz w:val="22"/>
                <w:szCs w:val="22"/>
                <w:lang w:val="en-US" w:eastAsia="zh-CN"/>
              </w:rPr>
            </w:pPr>
          </w:p>
          <w:p w14:paraId="26748358">
            <w:pPr>
              <w:rPr>
                <w:rFonts w:hint="eastAsia" w:eastAsia="宋体" w:cs="Arial"/>
                <w:sz w:val="22"/>
                <w:szCs w:val="22"/>
                <w:lang w:val="en-US" w:eastAsia="zh-CN"/>
              </w:rPr>
            </w:pPr>
          </w:p>
          <w:p w14:paraId="577B9819">
            <w:pPr>
              <w:rPr>
                <w:rFonts w:hint="eastAsia" w:eastAsia="宋体" w:cs="Arial"/>
                <w:sz w:val="22"/>
                <w:szCs w:val="22"/>
                <w:lang w:val="en-US" w:eastAsia="zh-CN"/>
              </w:rPr>
            </w:pPr>
          </w:p>
          <w:p w14:paraId="6370FAE7">
            <w:pPr>
              <w:rPr>
                <w:rFonts w:hint="eastAsia" w:eastAsia="宋体" w:cs="Arial"/>
                <w:sz w:val="22"/>
                <w:szCs w:val="22"/>
                <w:lang w:val="en-US" w:eastAsia="zh-CN"/>
              </w:rPr>
            </w:pPr>
          </w:p>
          <w:p w14:paraId="5345A395">
            <w:pPr>
              <w:rPr>
                <w:rFonts w:hint="eastAsia" w:eastAsia="宋体" w:cs="Arial"/>
                <w:sz w:val="22"/>
                <w:szCs w:val="22"/>
                <w:lang w:val="en-US" w:eastAsia="zh-CN"/>
              </w:rPr>
            </w:pPr>
          </w:p>
          <w:p w14:paraId="63FEC6B4">
            <w:pPr>
              <w:rPr>
                <w:rFonts w:hint="eastAsia" w:eastAsia="宋体" w:cs="Arial"/>
                <w:sz w:val="22"/>
                <w:szCs w:val="22"/>
                <w:lang w:val="en-US" w:eastAsia="zh-CN"/>
              </w:rPr>
            </w:pPr>
          </w:p>
          <w:p w14:paraId="5132EE36">
            <w:pPr>
              <w:rPr>
                <w:rFonts w:hint="eastAsia" w:eastAsia="宋体" w:cs="Arial"/>
                <w:sz w:val="22"/>
                <w:szCs w:val="22"/>
                <w:lang w:val="en-US" w:eastAsia="zh-CN"/>
              </w:rPr>
            </w:pPr>
          </w:p>
          <w:p w14:paraId="63A3637C">
            <w:pPr>
              <w:rPr>
                <w:rFonts w:hint="default" w:eastAsia="宋体" w:cs="Arial"/>
                <w:sz w:val="22"/>
                <w:szCs w:val="22"/>
                <w:lang w:val="en-US" w:eastAsia="zh-CN"/>
              </w:rPr>
            </w:pPr>
          </w:p>
          <w:p w14:paraId="211EDAAC">
            <w:pPr>
              <w:rPr>
                <w:rFonts w:cs="Arial"/>
                <w:sz w:val="22"/>
                <w:szCs w:val="22"/>
              </w:rPr>
            </w:pPr>
          </w:p>
        </w:tc>
      </w:tr>
    </w:tbl>
    <w:p w14:paraId="1C6C6C9E">
      <w:pPr>
        <w:rPr>
          <w:rFonts w:cs="Arial"/>
          <w:sz w:val="22"/>
          <w:szCs w:val="22"/>
        </w:rPr>
      </w:pPr>
    </w:p>
    <w:p w14:paraId="068FBBD3">
      <w:pPr>
        <w:rPr>
          <w:rFonts w:cs="Arial"/>
          <w:sz w:val="22"/>
          <w:szCs w:val="22"/>
        </w:rPr>
      </w:pPr>
    </w:p>
    <w:p w14:paraId="532539A2">
      <w:pPr>
        <w:rPr>
          <w:rFonts w:cs="Arial"/>
          <w:sz w:val="22"/>
          <w:szCs w:val="22"/>
        </w:rPr>
      </w:pPr>
    </w:p>
    <w:p w14:paraId="5620ED97">
      <w:pPr>
        <w:rPr>
          <w:rFonts w:cs="Arial"/>
          <w:b/>
          <w:sz w:val="22"/>
          <w:szCs w:val="22"/>
        </w:rPr>
      </w:pPr>
      <w:r>
        <w:rPr>
          <w:rFonts w:cs="Arial"/>
          <w:b/>
          <w:sz w:val="22"/>
          <w:szCs w:val="22"/>
        </w:rPr>
        <w:t>Intellectual Property IP</w:t>
      </w:r>
    </w:p>
    <w:p w14:paraId="4847AFB8">
      <w:pPr>
        <w:rPr>
          <w:rFonts w:cs="Arial"/>
          <w:b/>
          <w:sz w:val="22"/>
          <w:szCs w:val="22"/>
        </w:rPr>
      </w:pPr>
      <w:r>
        <w:rPr>
          <w:sz w:val="22"/>
        </w:rPr>
        <w:t>It is anticipated that Intellectual Property (IP) will be produced as a result of this research.</w:t>
      </w:r>
    </w:p>
    <w:tbl>
      <w:tblPr>
        <w:tblStyle w:val="13"/>
        <w:tblW w:w="9781"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6946"/>
        <w:gridCol w:w="1418"/>
        <w:gridCol w:w="1417"/>
      </w:tblGrid>
      <w:tr w14:paraId="34BEA0B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7" w:hRule="atLeast"/>
        </w:trPr>
        <w:tc>
          <w:tcPr>
            <w:tcW w:w="9781" w:type="dxa"/>
            <w:gridSpan w:val="3"/>
            <w:tcBorders>
              <w:top w:val="nil"/>
              <w:left w:val="nil"/>
              <w:bottom w:val="nil"/>
              <w:right w:val="nil"/>
            </w:tcBorders>
            <w:shd w:val="clear" w:color="auto" w:fill="auto"/>
          </w:tcPr>
          <w:p w14:paraId="012CF4F9">
            <w:pPr>
              <w:jc w:val="right"/>
              <w:rPr>
                <w:rFonts w:cs="Arial"/>
                <w:b/>
              </w:rPr>
            </w:pPr>
            <w:r>
              <w:rPr>
                <w:rFonts w:cs="Arial"/>
                <w:b/>
              </w:rPr>
              <w:t xml:space="preserve">Tick </w:t>
            </w:r>
            <w:r>
              <w:rPr>
                <w:rFonts w:ascii="Agency FB" w:hAnsi="Agency FB" w:cs="Arial"/>
                <w:b/>
              </w:rPr>
              <w:t>√</w:t>
            </w:r>
          </w:p>
        </w:tc>
      </w:tr>
      <w:tr w14:paraId="65D44C9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7" w:hRule="atLeast"/>
        </w:trPr>
        <w:tc>
          <w:tcPr>
            <w:tcW w:w="6946" w:type="dxa"/>
            <w:tcBorders>
              <w:top w:val="nil"/>
              <w:left w:val="nil"/>
              <w:bottom w:val="single" w:color="auto" w:sz="4" w:space="0"/>
              <w:right w:val="single" w:color="auto" w:sz="4" w:space="0"/>
            </w:tcBorders>
            <w:shd w:val="clear" w:color="auto" w:fill="FFFFFF" w:themeFill="background1"/>
          </w:tcPr>
          <w:p w14:paraId="102959EA">
            <w:pPr>
              <w:rPr>
                <w:rFonts w:cs="Arial"/>
                <w:sz w:val="22"/>
                <w:szCs w:val="22"/>
              </w:rPr>
            </w:pPr>
          </w:p>
        </w:tc>
        <w:tc>
          <w:tcPr>
            <w:tcW w:w="1418" w:type="dxa"/>
            <w:tcBorders>
              <w:top w:val="single" w:color="auto" w:sz="4" w:space="0"/>
              <w:left w:val="single" w:color="auto" w:sz="4" w:space="0"/>
            </w:tcBorders>
            <w:shd w:val="clear" w:color="auto" w:fill="F1F1F1" w:themeFill="background1" w:themeFillShade="F2"/>
          </w:tcPr>
          <w:p w14:paraId="1D6B3087">
            <w:pPr>
              <w:rPr>
                <w:rFonts w:cs="Arial"/>
                <w:sz w:val="22"/>
                <w:szCs w:val="22"/>
              </w:rPr>
            </w:pPr>
            <w:r>
              <w:rPr>
                <w:rFonts w:cs="Arial"/>
                <w:sz w:val="22"/>
                <w:szCs w:val="22"/>
              </w:rPr>
              <w:t>YES</w:t>
            </w:r>
          </w:p>
        </w:tc>
        <w:tc>
          <w:tcPr>
            <w:tcW w:w="1417" w:type="dxa"/>
            <w:tcBorders>
              <w:top w:val="single" w:color="auto" w:sz="4" w:space="0"/>
            </w:tcBorders>
            <w:shd w:val="clear" w:color="auto" w:fill="F1F1F1" w:themeFill="background1" w:themeFillShade="F2"/>
          </w:tcPr>
          <w:p w14:paraId="343163F4">
            <w:pPr>
              <w:rPr>
                <w:rFonts w:cs="Arial"/>
                <w:sz w:val="22"/>
                <w:szCs w:val="22"/>
              </w:rPr>
            </w:pPr>
            <w:r>
              <w:rPr>
                <w:rFonts w:cs="Arial"/>
                <w:sz w:val="22"/>
                <w:szCs w:val="22"/>
              </w:rPr>
              <w:t>NO</w:t>
            </w:r>
          </w:p>
        </w:tc>
      </w:tr>
      <w:tr w14:paraId="2BF949C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7" w:hRule="atLeast"/>
        </w:trPr>
        <w:tc>
          <w:tcPr>
            <w:tcW w:w="6946" w:type="dxa"/>
            <w:tcBorders>
              <w:top w:val="single" w:color="auto" w:sz="4" w:space="0"/>
            </w:tcBorders>
            <w:shd w:val="clear" w:color="auto" w:fill="F1F1F1" w:themeFill="background1" w:themeFillShade="F2"/>
          </w:tcPr>
          <w:p w14:paraId="1C8BF160">
            <w:pPr>
              <w:rPr>
                <w:rFonts w:cs="Arial"/>
                <w:sz w:val="22"/>
                <w:szCs w:val="22"/>
              </w:rPr>
            </w:pPr>
            <w:r>
              <w:rPr>
                <w:sz w:val="22"/>
              </w:rPr>
              <w:t>Is the IP already subject to a separate agreement with a third party (e.g. employer, sponsor or external funder)? If so please provide details below</w:t>
            </w:r>
          </w:p>
        </w:tc>
        <w:sdt>
          <w:sdtPr>
            <w:rPr>
              <w:rFonts w:cs="Arial"/>
              <w:sz w:val="22"/>
              <w:szCs w:val="22"/>
            </w:rPr>
            <w:id w:val="1557745169"/>
            <w14:checkbox>
              <w14:checked w14:val="0"/>
              <w14:checkedState w14:val="2612" w14:font="MS Gothic"/>
              <w14:uncheckedState w14:val="2610" w14:font="MS Gothic"/>
            </w14:checkbox>
          </w:sdtPr>
          <w:sdtEndPr>
            <w:rPr>
              <w:rFonts w:cs="Arial"/>
              <w:sz w:val="22"/>
              <w:szCs w:val="22"/>
            </w:rPr>
          </w:sdtEndPr>
          <w:sdtContent>
            <w:tc>
              <w:tcPr>
                <w:tcW w:w="1418" w:type="dxa"/>
                <w:tcBorders>
                  <w:top w:val="single" w:color="auto" w:sz="4" w:space="0"/>
                </w:tcBorders>
                <w:shd w:val="clear" w:color="auto" w:fill="auto"/>
              </w:tcPr>
              <w:p w14:paraId="3FB7B2F0">
                <w:pPr>
                  <w:jc w:val="center"/>
                  <w:rPr>
                    <w:rFonts w:cs="Arial"/>
                    <w:sz w:val="22"/>
                    <w:szCs w:val="22"/>
                  </w:rPr>
                </w:pPr>
                <w:r>
                  <w:rPr>
                    <w:rFonts w:ascii="MS Gothic" w:hAnsi="MS Gothic" w:eastAsia="MS Gothic" w:cs="Arial"/>
                    <w:sz w:val="22"/>
                    <w:szCs w:val="22"/>
                  </w:rPr>
                  <w:t>☐</w:t>
                </w:r>
              </w:p>
            </w:tc>
          </w:sdtContent>
        </w:sdt>
        <w:sdt>
          <w:sdtPr>
            <w:rPr>
              <w:rFonts w:cs="Arial"/>
              <w:sz w:val="22"/>
              <w:szCs w:val="22"/>
            </w:rPr>
            <w:id w:val="678392512"/>
            <w14:checkbox>
              <w14:checked w14:val="1"/>
              <w14:checkedState w14:val="2612" w14:font="MS Gothic"/>
              <w14:uncheckedState w14:val="2610" w14:font="MS Gothic"/>
            </w14:checkbox>
          </w:sdtPr>
          <w:sdtEndPr>
            <w:rPr>
              <w:rFonts w:cs="Arial"/>
              <w:sz w:val="22"/>
              <w:szCs w:val="22"/>
            </w:rPr>
          </w:sdtEndPr>
          <w:sdtContent>
            <w:tc>
              <w:tcPr>
                <w:tcW w:w="1417" w:type="dxa"/>
                <w:tcBorders>
                  <w:top w:val="single" w:color="auto" w:sz="4" w:space="0"/>
                </w:tcBorders>
                <w:shd w:val="clear" w:color="auto" w:fill="auto"/>
              </w:tcPr>
              <w:p w14:paraId="05586A79">
                <w:pPr>
                  <w:jc w:val="center"/>
                  <w:rPr>
                    <w:rFonts w:cs="Arial"/>
                    <w:sz w:val="22"/>
                    <w:szCs w:val="22"/>
                  </w:rPr>
                </w:pPr>
                <w:r>
                  <w:rPr>
                    <w:rFonts w:ascii="MS Gothic" w:hAnsi="MS Gothic" w:eastAsia="MS Gothic" w:cs="Arial"/>
                    <w:sz w:val="22"/>
                    <w:szCs w:val="22"/>
                    <w:lang w:val="en-GB" w:eastAsia="en-GB" w:bidi="ar-SA"/>
                  </w:rPr>
                  <w:t>☒</w:t>
                </w:r>
              </w:p>
            </w:tc>
          </w:sdtContent>
        </w:sdt>
      </w:tr>
      <w:tr w14:paraId="08BAAA8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72" w:hRule="atLeast"/>
        </w:trPr>
        <w:tc>
          <w:tcPr>
            <w:tcW w:w="6946" w:type="dxa"/>
            <w:shd w:val="clear" w:color="auto" w:fill="F1F1F1" w:themeFill="background1" w:themeFillShade="F2"/>
          </w:tcPr>
          <w:p w14:paraId="1590E689">
            <w:pPr>
              <w:rPr>
                <w:sz w:val="22"/>
              </w:rPr>
            </w:pPr>
            <w:r>
              <w:rPr>
                <w:sz w:val="22"/>
              </w:rPr>
              <w:t xml:space="preserve">Is the research dependent upon background IP owned by: </w:t>
            </w:r>
          </w:p>
          <w:p w14:paraId="72E8DDEC">
            <w:pPr>
              <w:rPr>
                <w:rFonts w:cs="Arial"/>
                <w:sz w:val="22"/>
                <w:szCs w:val="22"/>
              </w:rPr>
            </w:pPr>
            <w:r>
              <w:rPr>
                <w:sz w:val="22"/>
              </w:rPr>
              <w:t>If so, please provide details below</w:t>
            </w:r>
          </w:p>
        </w:tc>
        <w:tc>
          <w:tcPr>
            <w:tcW w:w="1418" w:type="dxa"/>
            <w:shd w:val="clear" w:color="auto" w:fill="auto"/>
          </w:tcPr>
          <w:p w14:paraId="6A96A3DD">
            <w:pPr>
              <w:jc w:val="center"/>
              <w:rPr>
                <w:sz w:val="22"/>
              </w:rPr>
            </w:pPr>
            <w:r>
              <w:rPr>
                <w:sz w:val="22"/>
              </w:rPr>
              <w:t>UWTSD</w:t>
            </w:r>
          </w:p>
          <w:sdt>
            <w:sdtPr>
              <w:rPr>
                <w:rFonts w:cs="Arial"/>
                <w:sz w:val="22"/>
                <w:szCs w:val="22"/>
              </w:rPr>
              <w:id w:val="123590131"/>
              <w14:checkbox>
                <w14:checked w14:val="1"/>
                <w14:checkedState w14:val="2612" w14:font="MS Gothic"/>
                <w14:uncheckedState w14:val="2610" w14:font="MS Gothic"/>
              </w14:checkbox>
            </w:sdtPr>
            <w:sdtEndPr>
              <w:rPr>
                <w:rFonts w:cs="Arial"/>
                <w:sz w:val="22"/>
                <w:szCs w:val="22"/>
              </w:rPr>
            </w:sdtEndPr>
            <w:sdtContent>
              <w:p w14:paraId="30193C2A">
                <w:pPr>
                  <w:jc w:val="center"/>
                  <w:rPr>
                    <w:rFonts w:cs="Arial"/>
                    <w:sz w:val="22"/>
                    <w:szCs w:val="22"/>
                  </w:rPr>
                </w:pPr>
                <w:r>
                  <w:rPr>
                    <w:rFonts w:ascii="MS Gothic" w:hAnsi="MS Gothic" w:eastAsia="MS Gothic" w:cs="Arial"/>
                    <w:sz w:val="22"/>
                    <w:szCs w:val="22"/>
                    <w:lang w:val="en-GB" w:eastAsia="en-GB" w:bidi="ar-SA"/>
                  </w:rPr>
                  <w:t>☒</w:t>
                </w:r>
              </w:p>
            </w:sdtContent>
          </w:sdt>
        </w:tc>
        <w:tc>
          <w:tcPr>
            <w:tcW w:w="1417" w:type="dxa"/>
            <w:shd w:val="clear" w:color="auto" w:fill="auto"/>
          </w:tcPr>
          <w:p w14:paraId="5325D9CB">
            <w:pPr>
              <w:rPr>
                <w:sz w:val="22"/>
              </w:rPr>
            </w:pPr>
            <w:r>
              <w:rPr>
                <w:sz w:val="22"/>
              </w:rPr>
              <w:t>A third party</w:t>
            </w:r>
          </w:p>
          <w:sdt>
            <w:sdtPr>
              <w:rPr>
                <w:rFonts w:cs="Arial"/>
                <w:sz w:val="22"/>
                <w:szCs w:val="22"/>
              </w:rPr>
              <w:id w:val="1919519062"/>
              <w14:checkbox>
                <w14:checked w14:val="0"/>
                <w14:checkedState w14:val="2612" w14:font="MS Gothic"/>
                <w14:uncheckedState w14:val="2610" w14:font="MS Gothic"/>
              </w14:checkbox>
            </w:sdtPr>
            <w:sdtEndPr>
              <w:rPr>
                <w:rFonts w:cs="Arial"/>
                <w:sz w:val="22"/>
                <w:szCs w:val="22"/>
              </w:rPr>
            </w:sdtEndPr>
            <w:sdtContent>
              <w:p w14:paraId="6E2125F9">
                <w:pPr>
                  <w:jc w:val="center"/>
                  <w:rPr>
                    <w:rFonts w:cs="Arial"/>
                    <w:sz w:val="22"/>
                    <w:szCs w:val="22"/>
                  </w:rPr>
                </w:pPr>
                <w:r>
                  <w:rPr>
                    <w:rFonts w:ascii="MS Gothic" w:hAnsi="MS Gothic" w:eastAsia="MS Gothic" w:cs="Arial"/>
                    <w:sz w:val="22"/>
                    <w:szCs w:val="22"/>
                  </w:rPr>
                  <w:t>☐</w:t>
                </w:r>
              </w:p>
            </w:sdtContent>
          </w:sdt>
        </w:tc>
      </w:tr>
      <w:tr w14:paraId="3EE8985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72" w:hRule="atLeast"/>
        </w:trPr>
        <w:tc>
          <w:tcPr>
            <w:tcW w:w="9781" w:type="dxa"/>
            <w:gridSpan w:val="3"/>
            <w:shd w:val="clear" w:color="auto" w:fill="auto"/>
          </w:tcPr>
          <w:p w14:paraId="7C2C0A06">
            <w:pPr>
              <w:rPr>
                <w:i/>
                <w:sz w:val="18"/>
                <w:szCs w:val="18"/>
              </w:rPr>
            </w:pPr>
            <w:r>
              <w:rPr>
                <w:i/>
                <w:sz w:val="18"/>
                <w:szCs w:val="18"/>
              </w:rPr>
              <w:t>Text box will expand</w:t>
            </w:r>
          </w:p>
          <w:p w14:paraId="40898F5A">
            <w:pPr>
              <w:rPr>
                <w:sz w:val="18"/>
                <w:szCs w:val="18"/>
              </w:rPr>
            </w:pPr>
          </w:p>
          <w:p w14:paraId="784D3D3E">
            <w:pPr>
              <w:rPr>
                <w:sz w:val="18"/>
                <w:szCs w:val="18"/>
              </w:rPr>
            </w:pPr>
          </w:p>
          <w:p w14:paraId="463373A7">
            <w:pPr>
              <w:rPr>
                <w:sz w:val="18"/>
                <w:szCs w:val="18"/>
              </w:rPr>
            </w:pPr>
          </w:p>
        </w:tc>
      </w:tr>
      <w:tr w14:paraId="7E997E0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7" w:hRule="atLeast"/>
        </w:trPr>
        <w:tc>
          <w:tcPr>
            <w:tcW w:w="9781" w:type="dxa"/>
            <w:gridSpan w:val="3"/>
            <w:tcBorders>
              <w:top w:val="nil"/>
              <w:left w:val="nil"/>
              <w:bottom w:val="nil"/>
              <w:right w:val="nil"/>
            </w:tcBorders>
            <w:shd w:val="clear" w:color="auto" w:fill="auto"/>
          </w:tcPr>
          <w:p w14:paraId="7C2A5205">
            <w:pPr>
              <w:jc w:val="right"/>
              <w:rPr>
                <w:rFonts w:cs="Arial"/>
                <w:b/>
              </w:rPr>
            </w:pPr>
            <w:r>
              <w:rPr>
                <w:rFonts w:cs="Arial"/>
                <w:b/>
              </w:rPr>
              <w:t xml:space="preserve">Tick </w:t>
            </w:r>
            <w:r>
              <w:rPr>
                <w:rFonts w:ascii="Agency FB" w:hAnsi="Agency FB" w:cs="Arial"/>
                <w:b/>
              </w:rPr>
              <w:t>√</w:t>
            </w:r>
          </w:p>
        </w:tc>
      </w:tr>
      <w:tr w14:paraId="4A621ED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7" w:hRule="atLeast"/>
        </w:trPr>
        <w:tc>
          <w:tcPr>
            <w:tcW w:w="6946" w:type="dxa"/>
            <w:tcBorders>
              <w:top w:val="nil"/>
              <w:left w:val="nil"/>
              <w:bottom w:val="single" w:color="auto" w:sz="4" w:space="0"/>
              <w:right w:val="single" w:color="auto" w:sz="4" w:space="0"/>
            </w:tcBorders>
            <w:shd w:val="clear" w:color="auto" w:fill="FFFFFF" w:themeFill="background1"/>
          </w:tcPr>
          <w:p w14:paraId="6184C841">
            <w:pPr>
              <w:rPr>
                <w:rFonts w:cs="Arial"/>
                <w:sz w:val="22"/>
                <w:szCs w:val="22"/>
              </w:rPr>
            </w:pPr>
            <w:r>
              <w:rPr>
                <w:rFonts w:cs="Arial"/>
                <w:sz w:val="22"/>
                <w:szCs w:val="22"/>
              </w:rPr>
              <w:t>I understand that:</w:t>
            </w:r>
          </w:p>
        </w:tc>
        <w:tc>
          <w:tcPr>
            <w:tcW w:w="1418" w:type="dxa"/>
            <w:tcBorders>
              <w:top w:val="single" w:color="auto" w:sz="4" w:space="0"/>
              <w:left w:val="single" w:color="auto" w:sz="4" w:space="0"/>
            </w:tcBorders>
            <w:shd w:val="clear" w:color="auto" w:fill="F1F1F1" w:themeFill="background1" w:themeFillShade="F2"/>
          </w:tcPr>
          <w:p w14:paraId="3E034D3D">
            <w:pPr>
              <w:rPr>
                <w:rFonts w:cs="Arial"/>
                <w:sz w:val="22"/>
                <w:szCs w:val="22"/>
              </w:rPr>
            </w:pPr>
            <w:r>
              <w:rPr>
                <w:rFonts w:cs="Arial"/>
                <w:sz w:val="22"/>
                <w:szCs w:val="22"/>
              </w:rPr>
              <w:t>YES</w:t>
            </w:r>
          </w:p>
        </w:tc>
        <w:tc>
          <w:tcPr>
            <w:tcW w:w="1417" w:type="dxa"/>
            <w:tcBorders>
              <w:top w:val="single" w:color="auto" w:sz="4" w:space="0"/>
            </w:tcBorders>
            <w:shd w:val="clear" w:color="auto" w:fill="F1F1F1" w:themeFill="background1" w:themeFillShade="F2"/>
          </w:tcPr>
          <w:p w14:paraId="1FB6FF05">
            <w:pPr>
              <w:rPr>
                <w:rFonts w:cs="Arial"/>
                <w:sz w:val="22"/>
                <w:szCs w:val="22"/>
              </w:rPr>
            </w:pPr>
            <w:r>
              <w:rPr>
                <w:rFonts w:cs="Arial"/>
                <w:sz w:val="22"/>
                <w:szCs w:val="22"/>
              </w:rPr>
              <w:t>NO</w:t>
            </w:r>
          </w:p>
        </w:tc>
      </w:tr>
      <w:tr w14:paraId="320D77C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9" w:hRule="atLeast"/>
        </w:trPr>
        <w:tc>
          <w:tcPr>
            <w:tcW w:w="6946" w:type="dxa"/>
            <w:shd w:val="clear" w:color="auto" w:fill="F1F1F1" w:themeFill="background1" w:themeFillShade="F2"/>
          </w:tcPr>
          <w:p w14:paraId="3145BE2D">
            <w:pPr>
              <w:rPr>
                <w:sz w:val="22"/>
              </w:rPr>
            </w:pPr>
            <w:r>
              <w:rPr>
                <w:sz w:val="22"/>
              </w:rPr>
              <w:t>If any party other than the student is likely to be involved in the development of IP a separate IP agreement will be needed and it may be necessary for the student to assign the IP rights to the University.</w:t>
            </w:r>
          </w:p>
          <w:p w14:paraId="5B9D944B">
            <w:pPr>
              <w:rPr>
                <w:rFonts w:cs="Arial"/>
                <w:sz w:val="22"/>
                <w:szCs w:val="22"/>
              </w:rPr>
            </w:pPr>
          </w:p>
        </w:tc>
        <w:sdt>
          <w:sdtPr>
            <w:rPr>
              <w:rFonts w:cs="Arial"/>
              <w:sz w:val="22"/>
              <w:szCs w:val="22"/>
            </w:rPr>
            <w:id w:val="1219639617"/>
            <w14:checkbox>
              <w14:checked w14:val="1"/>
              <w14:checkedState w14:val="2612" w14:font="MS Gothic"/>
              <w14:uncheckedState w14:val="2610" w14:font="MS Gothic"/>
            </w14:checkbox>
          </w:sdtPr>
          <w:sdtEndPr>
            <w:rPr>
              <w:rFonts w:cs="Arial"/>
              <w:sz w:val="22"/>
              <w:szCs w:val="22"/>
            </w:rPr>
          </w:sdtEndPr>
          <w:sdtContent>
            <w:tc>
              <w:tcPr>
                <w:tcW w:w="1418" w:type="dxa"/>
                <w:shd w:val="clear" w:color="auto" w:fill="auto"/>
              </w:tcPr>
              <w:p w14:paraId="474EFA2E">
                <w:pPr>
                  <w:jc w:val="center"/>
                  <w:rPr>
                    <w:rFonts w:cs="Arial"/>
                    <w:sz w:val="22"/>
                    <w:szCs w:val="22"/>
                  </w:rPr>
                </w:pPr>
                <w:r>
                  <w:rPr>
                    <w:rFonts w:ascii="MS Gothic" w:hAnsi="MS Gothic" w:eastAsia="MS Gothic" w:cs="Arial"/>
                    <w:sz w:val="22"/>
                    <w:szCs w:val="22"/>
                    <w:lang w:val="en-GB" w:eastAsia="en-GB" w:bidi="ar-SA"/>
                  </w:rPr>
                  <w:t>☒</w:t>
                </w:r>
              </w:p>
            </w:tc>
          </w:sdtContent>
        </w:sdt>
        <w:sdt>
          <w:sdtPr>
            <w:rPr>
              <w:rFonts w:cs="Arial"/>
              <w:sz w:val="22"/>
              <w:szCs w:val="22"/>
            </w:rPr>
            <w:id w:val="-1144885060"/>
            <w14:checkbox>
              <w14:checked w14:val="0"/>
              <w14:checkedState w14:val="2612" w14:font="MS Gothic"/>
              <w14:uncheckedState w14:val="2610" w14:font="MS Gothic"/>
            </w14:checkbox>
          </w:sdtPr>
          <w:sdtEndPr>
            <w:rPr>
              <w:rFonts w:cs="Arial"/>
              <w:sz w:val="22"/>
              <w:szCs w:val="22"/>
            </w:rPr>
          </w:sdtEndPr>
          <w:sdtContent>
            <w:tc>
              <w:tcPr>
                <w:tcW w:w="1417" w:type="dxa"/>
                <w:shd w:val="clear" w:color="auto" w:fill="auto"/>
              </w:tcPr>
              <w:p w14:paraId="3BE096FF">
                <w:pPr>
                  <w:jc w:val="center"/>
                  <w:rPr>
                    <w:rFonts w:cs="Arial"/>
                    <w:sz w:val="22"/>
                    <w:szCs w:val="22"/>
                  </w:rPr>
                </w:pPr>
                <w:r>
                  <w:rPr>
                    <w:rFonts w:ascii="MS Gothic" w:hAnsi="MS Gothic" w:eastAsia="MS Gothic" w:cs="Arial"/>
                    <w:sz w:val="22"/>
                    <w:szCs w:val="22"/>
                  </w:rPr>
                  <w:t>☐</w:t>
                </w:r>
              </w:p>
            </w:tc>
          </w:sdtContent>
        </w:sdt>
      </w:tr>
      <w:tr w14:paraId="486D434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36" w:hRule="atLeast"/>
        </w:trPr>
        <w:tc>
          <w:tcPr>
            <w:tcW w:w="6946" w:type="dxa"/>
            <w:shd w:val="clear" w:color="auto" w:fill="F1F1F1" w:themeFill="background1" w:themeFillShade="F2"/>
          </w:tcPr>
          <w:p w14:paraId="49B8B72D">
            <w:pPr>
              <w:rPr>
                <w:sz w:val="22"/>
              </w:rPr>
            </w:pPr>
            <w:r>
              <w:rPr>
                <w:sz w:val="22"/>
              </w:rPr>
              <w:t xml:space="preserve">If there are no third parties involved in the creation of the IP the student is deemed to own the IP, however should the student wish to commercially exploit their IP and require the assistance of the University to do so, they will be required to assign their IP to the University. </w:t>
            </w:r>
            <w:r>
              <w:fldChar w:fldCharType="begin"/>
            </w:r>
            <w:r>
              <w:instrText xml:space="preserve"> HYPERLINK "https://www.uwtsd.ac.uk/iiced/protecting-innovation-and-creativity---intellectual-property/" </w:instrText>
            </w:r>
            <w:r>
              <w:fldChar w:fldCharType="separate"/>
            </w:r>
            <w:r>
              <w:rPr>
                <w:rStyle w:val="19"/>
              </w:rPr>
              <w:t>https://www.uwtsd.ac.uk/iiced/protecting-innovation-and-creativity---intellectual-property/</w:t>
            </w:r>
            <w:r>
              <w:rPr>
                <w:rStyle w:val="19"/>
              </w:rPr>
              <w:fldChar w:fldCharType="end"/>
            </w:r>
          </w:p>
          <w:p w14:paraId="4E5827CB">
            <w:pPr>
              <w:rPr>
                <w:rFonts w:ascii="Calibri" w:hAnsi="Calibri"/>
              </w:rPr>
            </w:pPr>
          </w:p>
        </w:tc>
        <w:tc>
          <w:tcPr>
            <w:tcW w:w="1418" w:type="dxa"/>
            <w:shd w:val="clear" w:color="auto" w:fill="auto"/>
          </w:tcPr>
          <w:p w14:paraId="26FB668C">
            <w:pPr>
              <w:jc w:val="center"/>
              <w:rPr>
                <w:rFonts w:cs="Arial"/>
                <w:sz w:val="22"/>
                <w:szCs w:val="22"/>
              </w:rPr>
            </w:pPr>
            <w:sdt>
              <w:sdtPr>
                <w:rPr>
                  <w:rFonts w:cs="Arial"/>
                  <w:sz w:val="22"/>
                  <w:szCs w:val="22"/>
                </w:rPr>
                <w:id w:val="1199513403"/>
                <w14:checkbox>
                  <w14:checked w14:val="1"/>
                  <w14:checkedState w14:val="2612" w14:font="MS Gothic"/>
                  <w14:uncheckedState w14:val="2610" w14:font="MS Gothic"/>
                </w14:checkbox>
              </w:sdtPr>
              <w:sdtEndPr>
                <w:rPr>
                  <w:rFonts w:cs="Arial"/>
                  <w:sz w:val="22"/>
                  <w:szCs w:val="22"/>
                </w:rPr>
              </w:sdtEndPr>
              <w:sdtContent>
                <w:r>
                  <w:rPr>
                    <w:rFonts w:hint="eastAsia" w:ascii="MS Gothic" w:hAnsi="MS Gothic" w:eastAsia="MS Gothic" w:cs="Arial"/>
                    <w:sz w:val="22"/>
                    <w:szCs w:val="22"/>
                    <w:lang w:val="en-GB" w:eastAsia="en-GB" w:bidi="ar-SA"/>
                  </w:rPr>
                  <w:t>☒</w:t>
                </w:r>
                <w:bookmarkStart w:id="0" w:name="_GoBack"/>
                <w:bookmarkEnd w:id="0"/>
              </w:sdtContent>
            </w:sdt>
          </w:p>
        </w:tc>
        <w:tc>
          <w:tcPr>
            <w:tcW w:w="1417" w:type="dxa"/>
            <w:shd w:val="clear" w:color="auto" w:fill="auto"/>
          </w:tcPr>
          <w:p w14:paraId="1599CD7F">
            <w:pPr>
              <w:jc w:val="center"/>
              <w:rPr>
                <w:rFonts w:cs="Arial"/>
                <w:sz w:val="22"/>
                <w:szCs w:val="22"/>
              </w:rPr>
            </w:pPr>
            <w:sdt>
              <w:sdtPr>
                <w:rPr>
                  <w:rFonts w:cs="Arial"/>
                  <w:sz w:val="22"/>
                  <w:szCs w:val="22"/>
                </w:rPr>
                <w:id w:val="1455208757"/>
                <w14:checkbox>
                  <w14:checked w14:val="0"/>
                  <w14:checkedState w14:val="2612" w14:font="MS Gothic"/>
                  <w14:uncheckedState w14:val="2610" w14:font="MS Gothic"/>
                </w14:checkbox>
              </w:sdtPr>
              <w:sdtEndPr>
                <w:rPr>
                  <w:rFonts w:cs="Arial"/>
                  <w:sz w:val="22"/>
                  <w:szCs w:val="22"/>
                </w:rPr>
              </w:sdtEndPr>
              <w:sdtContent>
                <w:r>
                  <w:rPr>
                    <w:rFonts w:ascii="MS Gothic" w:hAnsi="MS Gothic" w:eastAsia="MS Gothic" w:cs="Arial"/>
                    <w:sz w:val="22"/>
                    <w:szCs w:val="22"/>
                  </w:rPr>
                  <w:t>☐</w:t>
                </w:r>
              </w:sdtContent>
            </w:sdt>
          </w:p>
        </w:tc>
      </w:tr>
    </w:tbl>
    <w:p w14:paraId="22BBA35C">
      <w:pPr>
        <w:rPr>
          <w:rFonts w:cs="Arial"/>
          <w:sz w:val="22"/>
          <w:szCs w:val="22"/>
        </w:rPr>
      </w:pPr>
    </w:p>
    <w:tbl>
      <w:tblPr>
        <w:tblStyle w:val="14"/>
        <w:tblW w:w="9747"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9747"/>
      </w:tblGrid>
      <w:tr w14:paraId="535FDB52">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c>
          <w:tcPr>
            <w:tcW w:w="9747" w:type="dxa"/>
          </w:tcPr>
          <w:p w14:paraId="1376D7B7">
            <w:pPr>
              <w:rPr>
                <w:rFonts w:cs="Arial"/>
                <w:sz w:val="22"/>
                <w:szCs w:val="22"/>
              </w:rPr>
            </w:pPr>
          </w:p>
          <w:p w14:paraId="513E5268">
            <w:pPr>
              <w:rPr>
                <w:rFonts w:cs="Arial"/>
                <w:b/>
                <w:sz w:val="22"/>
                <w:szCs w:val="22"/>
              </w:rPr>
            </w:pPr>
            <w:r>
              <w:rPr>
                <w:rFonts w:cs="Arial"/>
                <w:b/>
                <w:sz w:val="22"/>
                <w:szCs w:val="22"/>
              </w:rPr>
              <w:t>Student Signature</w:t>
            </w:r>
          </w:p>
          <w:p w14:paraId="5EEC5232">
            <w:pPr>
              <w:rPr>
                <w:rFonts w:cs="Arial"/>
                <w:sz w:val="22"/>
                <w:szCs w:val="22"/>
              </w:rPr>
            </w:pPr>
          </w:p>
          <w:tbl>
            <w:tblPr>
              <w:tblStyle w:val="1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062"/>
              <w:gridCol w:w="6064"/>
              <w:gridCol w:w="1395"/>
            </w:tblGrid>
            <w:tr w14:paraId="35E70B7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4" w:type="dxa"/>
                  <w:shd w:val="clear" w:color="auto" w:fill="F1F1F1" w:themeFill="background1" w:themeFillShade="F2"/>
                </w:tcPr>
                <w:p w14:paraId="2B1A3004">
                  <w:pPr>
                    <w:rPr>
                      <w:rFonts w:cs="Arial"/>
                      <w:sz w:val="22"/>
                      <w:szCs w:val="22"/>
                    </w:rPr>
                  </w:pPr>
                </w:p>
                <w:p w14:paraId="26B0D9DA">
                  <w:pPr>
                    <w:rPr>
                      <w:rFonts w:cs="Arial"/>
                      <w:sz w:val="22"/>
                      <w:szCs w:val="22"/>
                    </w:rPr>
                  </w:pPr>
                  <w:r>
                    <w:rPr>
                      <w:rFonts w:cs="Arial"/>
                      <w:sz w:val="22"/>
                      <w:szCs w:val="22"/>
                    </w:rPr>
                    <w:t>Signature or Print Name:</w:t>
                  </w:r>
                </w:p>
                <w:p w14:paraId="69A25636">
                  <w:pPr>
                    <w:rPr>
                      <w:rFonts w:cs="Arial"/>
                      <w:sz w:val="22"/>
                      <w:szCs w:val="22"/>
                    </w:rPr>
                  </w:pPr>
                </w:p>
              </w:tc>
              <w:tc>
                <w:tcPr>
                  <w:tcW w:w="6265" w:type="dxa"/>
                </w:tcPr>
                <w:p w14:paraId="13D2438A">
                  <w:pPr>
                    <w:rPr>
                      <w:rFonts w:cs="Arial"/>
                      <w:sz w:val="22"/>
                      <w:szCs w:val="22"/>
                    </w:rPr>
                  </w:pPr>
                </w:p>
              </w:tc>
              <w:tc>
                <w:tcPr>
                  <w:tcW w:w="1417" w:type="dxa"/>
                </w:tcPr>
                <w:p w14:paraId="0475CA85">
                  <w:pPr>
                    <w:rPr>
                      <w:rFonts w:cs="Arial"/>
                      <w:sz w:val="22"/>
                      <w:szCs w:val="22"/>
                    </w:rPr>
                  </w:pPr>
                  <w:r>
                    <w:rPr>
                      <w:rFonts w:cs="Arial"/>
                      <w:sz w:val="22"/>
                      <w:szCs w:val="22"/>
                    </w:rPr>
                    <w:t>Date:</w:t>
                  </w:r>
                </w:p>
              </w:tc>
            </w:tr>
          </w:tbl>
          <w:p w14:paraId="7BAE8739">
            <w:pPr>
              <w:rPr>
                <w:rFonts w:cs="Arial"/>
                <w:sz w:val="22"/>
                <w:szCs w:val="22"/>
              </w:rPr>
            </w:pPr>
          </w:p>
          <w:p w14:paraId="7186971B">
            <w:pPr>
              <w:rPr>
                <w:rFonts w:cs="Arial"/>
                <w:sz w:val="22"/>
                <w:szCs w:val="22"/>
              </w:rPr>
            </w:pPr>
          </w:p>
        </w:tc>
      </w:tr>
    </w:tbl>
    <w:p w14:paraId="1F6DC404">
      <w:pPr>
        <w:rPr>
          <w:rFonts w:cs="Arial"/>
          <w:sz w:val="22"/>
          <w:szCs w:val="22"/>
        </w:rPr>
      </w:pPr>
    </w:p>
    <w:p w14:paraId="51057E28">
      <w:pPr>
        <w:rPr>
          <w:rFonts w:cs="Arial"/>
          <w:sz w:val="22"/>
          <w:szCs w:val="22"/>
        </w:rPr>
      </w:pPr>
      <w:r>
        <w:rPr>
          <w:rFonts w:cs="Arial"/>
          <w:sz w:val="22"/>
          <w:szCs w:val="22"/>
        </w:rPr>
        <w:br w:type="page"/>
      </w:r>
    </w:p>
    <w:p w14:paraId="5AC5A0EB">
      <w:pPr>
        <w:rPr>
          <w:rFonts w:cs="Arial"/>
          <w:sz w:val="22"/>
          <w:szCs w:val="22"/>
        </w:rPr>
      </w:pPr>
    </w:p>
    <w:p w14:paraId="6ABB2FC9">
      <w:pPr>
        <w:rPr>
          <w:rFonts w:cs="Arial"/>
          <w:sz w:val="22"/>
          <w:szCs w:val="22"/>
        </w:rPr>
      </w:pPr>
    </w:p>
    <w:p w14:paraId="2A2518BF">
      <w:pPr>
        <w:ind w:left="-142"/>
        <w:rPr>
          <w:rFonts w:cs="Arial"/>
          <w:sz w:val="22"/>
          <w:szCs w:val="22"/>
        </w:rPr>
      </w:pPr>
      <w:r>
        <w:rPr>
          <w:rFonts w:cs="Arial"/>
          <w:b/>
          <w:bCs/>
          <w:sz w:val="22"/>
          <w:szCs w:val="22"/>
        </w:rPr>
        <w:t>Supervisory Team</w:t>
      </w:r>
    </w:p>
    <w:p w14:paraId="6C333259">
      <w:pPr>
        <w:rPr>
          <w:rFonts w:cs="Arial"/>
          <w:sz w:val="22"/>
          <w:szCs w:val="22"/>
        </w:rPr>
      </w:pPr>
    </w:p>
    <w:p w14:paraId="031F6DCE">
      <w:pPr>
        <w:ind w:left="180"/>
        <w:rPr>
          <w:rFonts w:cs="Arial"/>
          <w:b/>
          <w:sz w:val="22"/>
          <w:szCs w:val="22"/>
        </w:rPr>
      </w:pPr>
    </w:p>
    <w:tbl>
      <w:tblPr>
        <w:tblStyle w:val="14"/>
        <w:tblW w:w="9747"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747"/>
      </w:tblGrid>
      <w:tr w14:paraId="6DEC14A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747" w:type="dxa"/>
            <w:shd w:val="clear" w:color="auto" w:fill="F1F1F1" w:themeFill="background1" w:themeFillShade="F2"/>
          </w:tcPr>
          <w:p w14:paraId="67C439D8">
            <w:pPr>
              <w:rPr>
                <w:rFonts w:cs="Arial"/>
                <w:b/>
                <w:sz w:val="22"/>
                <w:szCs w:val="22"/>
              </w:rPr>
            </w:pPr>
            <w:r>
              <w:rPr>
                <w:rFonts w:cs="Arial"/>
                <w:szCs w:val="22"/>
              </w:rPr>
              <w:t xml:space="preserve">Has the student proposed a viable research project that is appropriate for this programme that should be supported by the Institute? </w:t>
            </w:r>
          </w:p>
        </w:tc>
      </w:tr>
      <w:tr w14:paraId="2A58274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747" w:type="dxa"/>
          </w:tcPr>
          <w:p w14:paraId="14E0F47B">
            <w:pPr>
              <w:rPr>
                <w:rFonts w:cs="Arial"/>
                <w:b/>
                <w:sz w:val="22"/>
                <w:szCs w:val="22"/>
              </w:rPr>
            </w:pPr>
          </w:p>
          <w:p w14:paraId="150FD3CD">
            <w:pPr>
              <w:rPr>
                <w:rFonts w:cs="Arial"/>
                <w:b/>
                <w:sz w:val="22"/>
                <w:szCs w:val="22"/>
              </w:rPr>
            </w:pPr>
            <w:r>
              <w:rPr>
                <w:rFonts w:cs="Arial"/>
                <w:b/>
                <w:sz w:val="22"/>
                <w:szCs w:val="22"/>
              </w:rPr>
              <w:t xml:space="preserve">              Supported:  </w:t>
            </w:r>
            <w:sdt>
              <w:sdtPr>
                <w:rPr>
                  <w:rFonts w:cs="Arial"/>
                  <w:b/>
                  <w:sz w:val="22"/>
                  <w:szCs w:val="22"/>
                </w:rPr>
                <w:id w:val="374281938"/>
                <w14:checkbox>
                  <w14:checked w14:val="0"/>
                  <w14:checkedState w14:val="2612" w14:font="MS Gothic"/>
                  <w14:uncheckedState w14:val="2610" w14:font="MS Gothic"/>
                </w14:checkbox>
              </w:sdtPr>
              <w:sdtEndPr>
                <w:rPr>
                  <w:rFonts w:cs="Arial"/>
                  <w:b/>
                  <w:sz w:val="22"/>
                  <w:szCs w:val="22"/>
                </w:rPr>
              </w:sdtEndPr>
              <w:sdtContent>
                <w:r>
                  <w:rPr>
                    <w:rFonts w:ascii="MS Gothic" w:hAnsi="MS Gothic" w:eastAsia="MS Gothic" w:cs="Arial"/>
                    <w:b/>
                    <w:sz w:val="22"/>
                    <w:szCs w:val="22"/>
                  </w:rPr>
                  <w:t>☐</w:t>
                </w:r>
              </w:sdtContent>
            </w:sdt>
            <w:r>
              <w:rPr>
                <w:rFonts w:cs="Arial"/>
                <w:b/>
                <w:sz w:val="22"/>
                <w:szCs w:val="22"/>
              </w:rPr>
              <w:t xml:space="preserve">                                                     Not Supported:  </w:t>
            </w:r>
            <w:sdt>
              <w:sdtPr>
                <w:rPr>
                  <w:rFonts w:cs="Arial"/>
                  <w:b/>
                  <w:sz w:val="22"/>
                  <w:szCs w:val="22"/>
                </w:rPr>
                <w:id w:val="1693492707"/>
                <w14:checkbox>
                  <w14:checked w14:val="0"/>
                  <w14:checkedState w14:val="2612" w14:font="MS Gothic"/>
                  <w14:uncheckedState w14:val="2610" w14:font="MS Gothic"/>
                </w14:checkbox>
              </w:sdtPr>
              <w:sdtEndPr>
                <w:rPr>
                  <w:rFonts w:cs="Arial"/>
                  <w:b/>
                  <w:sz w:val="22"/>
                  <w:szCs w:val="22"/>
                </w:rPr>
              </w:sdtEndPr>
              <w:sdtContent>
                <w:r>
                  <w:rPr>
                    <w:rFonts w:ascii="MS Gothic" w:hAnsi="MS Gothic" w:eastAsia="MS Gothic" w:cs="MS Gothic"/>
                    <w:b/>
                    <w:sz w:val="22"/>
                    <w:szCs w:val="22"/>
                  </w:rPr>
                  <w:t>☐</w:t>
                </w:r>
              </w:sdtContent>
            </w:sdt>
          </w:p>
          <w:p w14:paraId="1B3D0D08">
            <w:pPr>
              <w:rPr>
                <w:rFonts w:cs="Arial"/>
                <w:b/>
                <w:sz w:val="22"/>
                <w:szCs w:val="22"/>
              </w:rPr>
            </w:pPr>
          </w:p>
          <w:p w14:paraId="1029B02B">
            <w:pPr>
              <w:rPr>
                <w:rFonts w:cs="Arial"/>
                <w:b/>
                <w:sz w:val="22"/>
                <w:szCs w:val="22"/>
              </w:rPr>
            </w:pPr>
          </w:p>
        </w:tc>
      </w:tr>
    </w:tbl>
    <w:p w14:paraId="12E8B255">
      <w:pPr>
        <w:rPr>
          <w:rFonts w:cs="Arial"/>
          <w:sz w:val="22"/>
          <w:szCs w:val="22"/>
        </w:rPr>
      </w:pPr>
    </w:p>
    <w:p w14:paraId="040E15F0">
      <w:pPr>
        <w:rPr>
          <w:rFonts w:cs="Arial"/>
          <w:b/>
          <w:sz w:val="22"/>
          <w:szCs w:val="22"/>
        </w:rPr>
      </w:pPr>
      <w:r>
        <w:rPr>
          <w:rFonts w:cs="Arial"/>
          <w:b/>
          <w:sz w:val="22"/>
          <w:szCs w:val="22"/>
        </w:rPr>
        <w:t>Authorisation</w:t>
      </w:r>
    </w:p>
    <w:p w14:paraId="2B6C4E5D">
      <w:pPr>
        <w:rPr>
          <w:rFonts w:cs="Arial"/>
          <w:sz w:val="22"/>
          <w:szCs w:val="22"/>
        </w:rPr>
      </w:pPr>
    </w:p>
    <w:tbl>
      <w:tblPr>
        <w:tblStyle w:val="14"/>
        <w:tblW w:w="9781"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552"/>
        <w:gridCol w:w="5387"/>
        <w:gridCol w:w="1842"/>
      </w:tblGrid>
      <w:tr w14:paraId="790100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52" w:type="dxa"/>
            <w:shd w:val="clear" w:color="auto" w:fill="F1F1F1" w:themeFill="background1" w:themeFillShade="F2"/>
          </w:tcPr>
          <w:p w14:paraId="750705C5">
            <w:pPr>
              <w:rPr>
                <w:rFonts w:cs="Arial"/>
                <w:sz w:val="22"/>
                <w:szCs w:val="22"/>
              </w:rPr>
            </w:pPr>
            <w:r>
              <w:rPr>
                <w:rFonts w:cs="Arial"/>
                <w:sz w:val="22"/>
                <w:szCs w:val="22"/>
              </w:rPr>
              <w:t>Director of Studies</w:t>
            </w:r>
          </w:p>
        </w:tc>
        <w:tc>
          <w:tcPr>
            <w:tcW w:w="5387" w:type="dxa"/>
          </w:tcPr>
          <w:p w14:paraId="29755B6A">
            <w:pPr>
              <w:rPr>
                <w:rFonts w:cs="Arial"/>
                <w:sz w:val="22"/>
                <w:szCs w:val="22"/>
              </w:rPr>
            </w:pPr>
            <w:r>
              <w:rPr>
                <w:rFonts w:cs="Arial"/>
                <w:sz w:val="22"/>
                <w:szCs w:val="22"/>
              </w:rPr>
              <w:t>Signature or Print Name:</w:t>
            </w:r>
          </w:p>
          <w:p w14:paraId="1640CD4C">
            <w:pPr>
              <w:rPr>
                <w:rFonts w:cs="Arial"/>
                <w:sz w:val="22"/>
                <w:szCs w:val="22"/>
              </w:rPr>
            </w:pPr>
          </w:p>
          <w:p w14:paraId="4F10A3A4">
            <w:pPr>
              <w:rPr>
                <w:rFonts w:cs="Arial"/>
                <w:sz w:val="22"/>
                <w:szCs w:val="22"/>
              </w:rPr>
            </w:pPr>
          </w:p>
          <w:p w14:paraId="4C62ABE9">
            <w:pPr>
              <w:rPr>
                <w:rFonts w:cs="Arial"/>
                <w:sz w:val="22"/>
                <w:szCs w:val="22"/>
              </w:rPr>
            </w:pPr>
          </w:p>
        </w:tc>
        <w:tc>
          <w:tcPr>
            <w:tcW w:w="1842" w:type="dxa"/>
          </w:tcPr>
          <w:p w14:paraId="0069E19D">
            <w:pPr>
              <w:rPr>
                <w:rFonts w:cs="Arial"/>
                <w:sz w:val="22"/>
                <w:szCs w:val="22"/>
              </w:rPr>
            </w:pPr>
            <w:r>
              <w:rPr>
                <w:rFonts w:cs="Arial"/>
                <w:sz w:val="22"/>
                <w:szCs w:val="22"/>
              </w:rPr>
              <w:t>Date:</w:t>
            </w:r>
          </w:p>
        </w:tc>
      </w:tr>
      <w:tr w14:paraId="0F512DF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52" w:type="dxa"/>
            <w:shd w:val="clear" w:color="auto" w:fill="F1F1F1" w:themeFill="background1" w:themeFillShade="F2"/>
          </w:tcPr>
          <w:p w14:paraId="368E5DF8">
            <w:pPr>
              <w:rPr>
                <w:rFonts w:cs="Arial"/>
                <w:sz w:val="22"/>
                <w:szCs w:val="22"/>
              </w:rPr>
            </w:pPr>
            <w:r>
              <w:rPr>
                <w:rFonts w:cs="Arial"/>
                <w:sz w:val="22"/>
                <w:szCs w:val="22"/>
              </w:rPr>
              <w:t>Institute Manager of Research Degrees</w:t>
            </w:r>
          </w:p>
          <w:p w14:paraId="0EB7C658">
            <w:pPr>
              <w:rPr>
                <w:rFonts w:cs="Arial"/>
                <w:sz w:val="22"/>
                <w:szCs w:val="22"/>
              </w:rPr>
            </w:pPr>
          </w:p>
        </w:tc>
        <w:tc>
          <w:tcPr>
            <w:tcW w:w="5387" w:type="dxa"/>
          </w:tcPr>
          <w:p w14:paraId="3B40C9E1">
            <w:pPr>
              <w:rPr>
                <w:rFonts w:cs="Arial"/>
                <w:sz w:val="22"/>
                <w:szCs w:val="22"/>
              </w:rPr>
            </w:pPr>
            <w:r>
              <w:rPr>
                <w:rFonts w:cs="Arial"/>
                <w:sz w:val="22"/>
                <w:szCs w:val="22"/>
              </w:rPr>
              <w:t>Signature or Print Name:</w:t>
            </w:r>
          </w:p>
          <w:p w14:paraId="3F8D8126">
            <w:pPr>
              <w:rPr>
                <w:rFonts w:cs="Arial"/>
                <w:sz w:val="22"/>
                <w:szCs w:val="22"/>
              </w:rPr>
            </w:pPr>
          </w:p>
          <w:p w14:paraId="32A0626D">
            <w:pPr>
              <w:rPr>
                <w:rFonts w:cs="Arial"/>
                <w:sz w:val="22"/>
                <w:szCs w:val="22"/>
              </w:rPr>
            </w:pPr>
          </w:p>
          <w:p w14:paraId="4DECBE59">
            <w:pPr>
              <w:rPr>
                <w:rFonts w:cs="Arial"/>
                <w:sz w:val="22"/>
                <w:szCs w:val="22"/>
              </w:rPr>
            </w:pPr>
          </w:p>
        </w:tc>
        <w:tc>
          <w:tcPr>
            <w:tcW w:w="1842" w:type="dxa"/>
          </w:tcPr>
          <w:p w14:paraId="0E4F3281">
            <w:pPr>
              <w:rPr>
                <w:rFonts w:cs="Arial"/>
                <w:sz w:val="22"/>
                <w:szCs w:val="22"/>
              </w:rPr>
            </w:pPr>
            <w:r>
              <w:rPr>
                <w:rFonts w:cs="Arial"/>
                <w:sz w:val="22"/>
                <w:szCs w:val="22"/>
              </w:rPr>
              <w:t>Date:</w:t>
            </w:r>
          </w:p>
        </w:tc>
      </w:tr>
    </w:tbl>
    <w:p w14:paraId="385E4CC7">
      <w:pPr>
        <w:rPr>
          <w:rFonts w:cs="Arial"/>
          <w:sz w:val="22"/>
          <w:szCs w:val="22"/>
        </w:rPr>
      </w:pPr>
    </w:p>
    <w:p w14:paraId="3C137521">
      <w:pPr>
        <w:rPr>
          <w:rFonts w:cs="Arial"/>
          <w:sz w:val="22"/>
          <w:szCs w:val="22"/>
        </w:rPr>
      </w:pPr>
    </w:p>
    <w:p w14:paraId="3B9ADF51">
      <w:pPr>
        <w:rPr>
          <w:rFonts w:cs="Arial"/>
          <w:sz w:val="22"/>
          <w:szCs w:val="22"/>
        </w:rPr>
      </w:pPr>
    </w:p>
    <w:p w14:paraId="15312C53">
      <w:pPr>
        <w:rPr>
          <w:rFonts w:cs="Arial"/>
          <w:sz w:val="22"/>
          <w:szCs w:val="22"/>
        </w:rPr>
      </w:pPr>
    </w:p>
    <w:sectPr>
      <w:headerReference r:id="rId3" w:type="default"/>
      <w:footerReference r:id="rId4" w:type="default"/>
      <w:pgSz w:w="11906" w:h="16838"/>
      <w:pgMar w:top="1440" w:right="1440" w:bottom="1440" w:left="1440" w:header="284" w:footer="709"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Tahoma">
    <w:panose1 w:val="020B0604030504040204"/>
    <w:charset w:val="00"/>
    <w:family w:val="auto"/>
    <w:pitch w:val="default"/>
    <w:sig w:usb0="E1002EFF" w:usb1="C000605B" w:usb2="00000029" w:usb3="00000000" w:csb0="200101FF" w:csb1="20280000"/>
  </w:font>
  <w:font w:name="MS Gothic">
    <w:panose1 w:val="020B0609070205080204"/>
    <w:charset w:val="80"/>
    <w:family w:val="modern"/>
    <w:pitch w:val="default"/>
    <w:sig w:usb0="E00002FF" w:usb1="6AC7FDFB" w:usb2="08000012" w:usb3="00000000" w:csb0="4002009F" w:csb1="DFD70000"/>
  </w:font>
  <w:font w:name="微软雅黑">
    <w:panose1 w:val="020B0503020204020204"/>
    <w:charset w:val="86"/>
    <w:family w:val="swiss"/>
    <w:pitch w:val="default"/>
    <w:sig w:usb0="80000287" w:usb1="2ACF3C50" w:usb2="00000016" w:usb3="00000000" w:csb0="0004001F" w:csb1="00000000"/>
  </w:font>
  <w:font w:name="Agency FB">
    <w:altName w:val="DejaVu Math TeX Gyre"/>
    <w:panose1 w:val="020B0503020202020204"/>
    <w:charset w:val="4D"/>
    <w:family w:val="swiss"/>
    <w:pitch w:val="default"/>
    <w:sig w:usb0="00000000" w:usb1="00000000" w:usb2="00000000" w:usb3="00000000" w:csb0="00000001" w:csb1="00000000"/>
  </w:font>
  <w:font w:name="DejaVu Math TeX Gyre">
    <w:panose1 w:val="02000503000000000000"/>
    <w:charset w:val="00"/>
    <w:family w:val="auto"/>
    <w:pitch w:val="default"/>
    <w:sig w:usb0="A10000EF" w:usb1="4201F9EE" w:usb2="02000000" w:usb3="00000000" w:csb0="60000193" w:csb1="0DD40000"/>
  </w:font>
  <w:font w:name="Arial">
    <w:panose1 w:val="020B0604020202020204"/>
    <w:charset w:val="00"/>
    <w:family w:val="auto"/>
    <w:pitch w:val="default"/>
    <w:sig w:usb0="E0002EFF" w:usb1="C000785B" w:usb2="00000009" w:usb3="00000000" w:csb0="400001FF" w:csb1="FFFF0000"/>
  </w:font>
  <w:font w:name="楷体">
    <w:panose1 w:val="02010609060101010101"/>
    <w:charset w:val="86"/>
    <w:family w:val="auto"/>
    <w:pitch w:val="default"/>
    <w:sig w:usb0="800002BF" w:usb1="38CF7CFA" w:usb2="00000016" w:usb3="00000000" w:csb0="00040001" w:csb1="00000000"/>
  </w:font>
  <w:font w:name="方正楷体_GB2312">
    <w:panose1 w:val="02000000000000000000"/>
    <w:charset w:val="86"/>
    <w:family w:val="auto"/>
    <w:pitch w:val="default"/>
    <w:sig w:usb0="A00002BF" w:usb1="184F6CFA" w:usb2="00000012"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691110303"/>
    </w:sdtPr>
    <w:sdtContent>
      <w:p w14:paraId="352D1556">
        <w:pPr>
          <w:pStyle w:val="8"/>
          <w:jc w:val="center"/>
        </w:pPr>
        <w:r>
          <w:fldChar w:fldCharType="begin"/>
        </w:r>
        <w:r>
          <w:instrText xml:space="preserve"> PAGE   \* MERGEFORMAT </w:instrText>
        </w:r>
        <w:r>
          <w:fldChar w:fldCharType="separate"/>
        </w:r>
        <w:r>
          <w:t>1</w:t>
        </w:r>
        <w:r>
          <w:fldChar w:fldCharType="end"/>
        </w:r>
      </w:p>
    </w:sdtContent>
  </w:sdt>
  <w:p w14:paraId="1D984B47">
    <w:pPr>
      <w:pStyle w:val="8"/>
      <w:tabs>
        <w:tab w:val="center" w:pos="4536"/>
        <w:tab w:val="left" w:pos="7371"/>
        <w:tab w:val="clear" w:pos="4320"/>
      </w:tabs>
      <w:ind w:right="-755"/>
    </w:pPr>
    <w:r>
      <w:t>November 2020                                                                                                  PG1 Full Research Proposal</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ABF5B29">
    <w:pPr>
      <w:pStyle w:val="9"/>
    </w:pPr>
    <w:r>
      <w:drawing>
        <wp:anchor distT="0" distB="0" distL="114300" distR="114300" simplePos="0" relativeHeight="251659264" behindDoc="0" locked="0" layoutInCell="1" allowOverlap="1">
          <wp:simplePos x="0" y="0"/>
          <wp:positionH relativeFrom="margin">
            <wp:posOffset>-66675</wp:posOffset>
          </wp:positionH>
          <wp:positionV relativeFrom="topMargin">
            <wp:align>bottom</wp:align>
          </wp:positionV>
          <wp:extent cx="1788795" cy="596265"/>
          <wp:effectExtent l="0" t="0" r="1905" b="0"/>
          <wp:wrapNone/>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88795" cy="596265"/>
                  </a:xfrm>
                  <a:prstGeom prst="rect">
                    <a:avLst/>
                  </a:prstGeom>
                  <a:noFill/>
                </pic:spPr>
              </pic:pic>
            </a:graphicData>
          </a:graphic>
        </wp:anchor>
      </w:drawing>
    </w:r>
    <w:r>
      <w:tab/>
    </w:r>
  </w:p>
  <w:p w14:paraId="4A193286">
    <w:pPr>
      <w:pStyle w:val="9"/>
      <w:jc w:val="right"/>
    </w:pPr>
    <w:r>
      <w:tab/>
    </w:r>
    <w:r>
      <w:tab/>
    </w:r>
    <w:r>
      <w:tab/>
    </w:r>
    <w:r>
      <w:tab/>
    </w:r>
    <w:r>
      <w:t>Appendix PG1</w:t>
    </w:r>
  </w:p>
  <w:p w14:paraId="43B41778">
    <w:pPr>
      <w:pStyle w:val="9"/>
    </w:pPr>
  </w:p>
  <w:p w14:paraId="6EF539CC">
    <w:pPr>
      <w:pStyle w:val="9"/>
    </w:pPr>
  </w:p>
  <w:p w14:paraId="50B733D4">
    <w:pPr>
      <w:pStyle w:val="9"/>
    </w:pPr>
  </w:p>
  <w:p w14:paraId="1F4C3B70">
    <w:pPr>
      <w:pStyle w:val="9"/>
    </w:pPr>
    <w:r>
      <w:tab/>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E41E1793"/>
    <w:multiLevelType w:val="multilevel"/>
    <w:tmpl w:val="E41E1793"/>
    <w:lvl w:ilvl="0" w:tentative="0">
      <w:start w:val="1"/>
      <w:numFmt w:val="decimal"/>
      <w:lvlText w:val="%1."/>
      <w:lvlJc w:val="left"/>
      <w:pPr>
        <w:tabs>
          <w:tab w:val="left" w:pos="720"/>
        </w:tabs>
        <w:ind w:left="720" w:hanging="360"/>
      </w:pPr>
      <w:rPr>
        <w:sz w:val="24"/>
        <w:szCs w:val="24"/>
      </w:rPr>
    </w:lvl>
    <w:lvl w:ilvl="1" w:tentative="0">
      <w:start w:val="1"/>
      <w:numFmt w:val="decimal"/>
      <w:lvlText w:val="%2."/>
      <w:lvlJc w:val="left"/>
      <w:pPr>
        <w:tabs>
          <w:tab w:val="left" w:pos="1440"/>
        </w:tabs>
        <w:ind w:left="1440" w:hanging="360"/>
      </w:pPr>
      <w:rPr>
        <w:sz w:val="24"/>
        <w:szCs w:val="24"/>
      </w:rPr>
    </w:lvl>
    <w:lvl w:ilvl="2" w:tentative="0">
      <w:start w:val="1"/>
      <w:numFmt w:val="decimal"/>
      <w:lvlText w:val="%3."/>
      <w:lvlJc w:val="left"/>
      <w:pPr>
        <w:tabs>
          <w:tab w:val="left" w:pos="2160"/>
        </w:tabs>
        <w:ind w:left="2160" w:hanging="360"/>
      </w:pPr>
      <w:rPr>
        <w:sz w:val="24"/>
        <w:szCs w:val="24"/>
      </w:rPr>
    </w:lvl>
    <w:lvl w:ilvl="3" w:tentative="0">
      <w:start w:val="1"/>
      <w:numFmt w:val="decimal"/>
      <w:lvlText w:val="%4."/>
      <w:lvlJc w:val="left"/>
      <w:pPr>
        <w:tabs>
          <w:tab w:val="left" w:pos="2517"/>
        </w:tabs>
        <w:ind w:left="2880" w:hanging="360"/>
      </w:pPr>
      <w:rPr>
        <w:sz w:val="24"/>
        <w:szCs w:val="24"/>
      </w:rPr>
    </w:lvl>
    <w:lvl w:ilvl="4" w:tentative="0">
      <w:start w:val="1"/>
      <w:numFmt w:val="decimal"/>
      <w:lvlText w:val="%5."/>
      <w:lvlJc w:val="left"/>
      <w:pPr>
        <w:tabs>
          <w:tab w:val="left" w:pos="3238"/>
        </w:tabs>
        <w:ind w:left="3600" w:hanging="360"/>
      </w:pPr>
      <w:rPr>
        <w:sz w:val="24"/>
        <w:szCs w:val="24"/>
      </w:rPr>
    </w:lvl>
    <w:lvl w:ilvl="5" w:tentative="0">
      <w:start w:val="1"/>
      <w:numFmt w:val="decimal"/>
      <w:lvlText w:val="%6."/>
      <w:lvlJc w:val="left"/>
      <w:pPr>
        <w:tabs>
          <w:tab w:val="left" w:pos="3958"/>
        </w:tabs>
        <w:ind w:left="4320" w:hanging="360"/>
      </w:pPr>
      <w:rPr>
        <w:sz w:val="24"/>
        <w:szCs w:val="24"/>
      </w:rPr>
    </w:lvl>
    <w:lvl w:ilvl="6" w:tentative="0">
      <w:start w:val="1"/>
      <w:numFmt w:val="decimal"/>
      <w:lvlText w:val="%7."/>
      <w:lvlJc w:val="left"/>
      <w:pPr>
        <w:tabs>
          <w:tab w:val="left" w:pos="4678"/>
        </w:tabs>
        <w:ind w:left="5040" w:hanging="360"/>
      </w:pPr>
      <w:rPr>
        <w:sz w:val="24"/>
        <w:szCs w:val="24"/>
      </w:rPr>
    </w:lvl>
    <w:lvl w:ilvl="7" w:tentative="0">
      <w:start w:val="1"/>
      <w:numFmt w:val="decimal"/>
      <w:lvlText w:val="%8."/>
      <w:lvlJc w:val="left"/>
      <w:pPr>
        <w:tabs>
          <w:tab w:val="left" w:pos="5398"/>
        </w:tabs>
        <w:ind w:left="5760" w:hanging="360"/>
      </w:pPr>
      <w:rPr>
        <w:sz w:val="24"/>
        <w:szCs w:val="24"/>
      </w:rPr>
    </w:lvl>
    <w:lvl w:ilvl="8" w:tentative="0">
      <w:start w:val="1"/>
      <w:numFmt w:val="decimal"/>
      <w:lvlText w:val="%9."/>
      <w:lvlJc w:val="left"/>
      <w:pPr>
        <w:tabs>
          <w:tab w:val="left" w:pos="6118"/>
        </w:tabs>
        <w:ind w:left="6480" w:hanging="360"/>
      </w:pPr>
      <w:rPr>
        <w:sz w:val="24"/>
        <w:szCs w:val="24"/>
      </w:rPr>
    </w:lvl>
  </w:abstractNum>
  <w:abstractNum w:abstractNumId="1">
    <w:nsid w:val="128B0ABE"/>
    <w:multiLevelType w:val="multilevel"/>
    <w:tmpl w:val="128B0ABE"/>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375F017F"/>
    <w:multiLevelType w:val="multilevel"/>
    <w:tmpl w:val="375F017F"/>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71731D98"/>
    <w:multiLevelType w:val="multilevel"/>
    <w:tmpl w:val="71731D98"/>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4">
    <w:nsid w:val="780352D0"/>
    <w:multiLevelType w:val="multilevel"/>
    <w:tmpl w:val="780352D0"/>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1"/>
  </w:num>
  <w:num w:numId="2">
    <w:abstractNumId w:val="2"/>
  </w:num>
  <w:num w:numId="3">
    <w:abstractNumId w:val="4"/>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2"/>
  <w:embedSystemFonts/>
  <w:bordersDoNotSurroundHeader w:val="0"/>
  <w:bordersDoNotSurroundFooter w:val="0"/>
  <w:documentProtection w:enforcement="0"/>
  <w:defaultTabStop w:val="720"/>
  <w:displayHorizontalDrawingGridEvery w:val="1"/>
  <w:displayVerticalDrawingGridEvery w:val="1"/>
  <w:doNotUseMarginsForDrawingGridOrigin w:val="1"/>
  <w:drawingGridHorizontalOrigin w:val="1800"/>
  <w:drawingGridVerticalOrigin w:val="1440"/>
  <w:noPunctuationKerning w:val="1"/>
  <w:characterSpacingControl w:val="doNotCompress"/>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MzYzNDJkZWNkNDhlZTBlMTA5ZjYwMjBhYjIwYjg0NjQifQ=="/>
  </w:docVars>
  <w:rsids>
    <w:rsidRoot w:val="009A654D"/>
    <w:rsid w:val="0000503B"/>
    <w:rsid w:val="00005E62"/>
    <w:rsid w:val="00013F62"/>
    <w:rsid w:val="00015367"/>
    <w:rsid w:val="00016D31"/>
    <w:rsid w:val="00027160"/>
    <w:rsid w:val="00030DDF"/>
    <w:rsid w:val="00041A6B"/>
    <w:rsid w:val="00047225"/>
    <w:rsid w:val="00054BFD"/>
    <w:rsid w:val="00055046"/>
    <w:rsid w:val="00056718"/>
    <w:rsid w:val="00095F33"/>
    <w:rsid w:val="000B43A7"/>
    <w:rsid w:val="000C1D53"/>
    <w:rsid w:val="000C4198"/>
    <w:rsid w:val="000C6D22"/>
    <w:rsid w:val="000D166A"/>
    <w:rsid w:val="000F5B56"/>
    <w:rsid w:val="0010084E"/>
    <w:rsid w:val="001217FD"/>
    <w:rsid w:val="00121AC3"/>
    <w:rsid w:val="001400B5"/>
    <w:rsid w:val="00141DF3"/>
    <w:rsid w:val="0015311B"/>
    <w:rsid w:val="00154D0F"/>
    <w:rsid w:val="00157905"/>
    <w:rsid w:val="00165D23"/>
    <w:rsid w:val="00166B83"/>
    <w:rsid w:val="00172F4C"/>
    <w:rsid w:val="00173CC3"/>
    <w:rsid w:val="00185554"/>
    <w:rsid w:val="001B1EEF"/>
    <w:rsid w:val="001C367F"/>
    <w:rsid w:val="001C6B27"/>
    <w:rsid w:val="001D074C"/>
    <w:rsid w:val="001D71EA"/>
    <w:rsid w:val="001F47B0"/>
    <w:rsid w:val="001F5E3E"/>
    <w:rsid w:val="002114E6"/>
    <w:rsid w:val="0022098F"/>
    <w:rsid w:val="00221A9E"/>
    <w:rsid w:val="00222D05"/>
    <w:rsid w:val="0022643E"/>
    <w:rsid w:val="002370BA"/>
    <w:rsid w:val="00246903"/>
    <w:rsid w:val="00261C5C"/>
    <w:rsid w:val="00280DF9"/>
    <w:rsid w:val="00284E60"/>
    <w:rsid w:val="00287BD7"/>
    <w:rsid w:val="00291900"/>
    <w:rsid w:val="00293B33"/>
    <w:rsid w:val="002B16CB"/>
    <w:rsid w:val="002B5804"/>
    <w:rsid w:val="002E0D27"/>
    <w:rsid w:val="002E240C"/>
    <w:rsid w:val="002F3407"/>
    <w:rsid w:val="002F62BD"/>
    <w:rsid w:val="00303F2E"/>
    <w:rsid w:val="003064A7"/>
    <w:rsid w:val="0031458B"/>
    <w:rsid w:val="003155A9"/>
    <w:rsid w:val="003239F3"/>
    <w:rsid w:val="00325CBE"/>
    <w:rsid w:val="003275B0"/>
    <w:rsid w:val="003317EE"/>
    <w:rsid w:val="00332B43"/>
    <w:rsid w:val="00335D74"/>
    <w:rsid w:val="0034191A"/>
    <w:rsid w:val="00353C75"/>
    <w:rsid w:val="00363F74"/>
    <w:rsid w:val="00370831"/>
    <w:rsid w:val="00376A02"/>
    <w:rsid w:val="00391D2C"/>
    <w:rsid w:val="003A11E9"/>
    <w:rsid w:val="003A748D"/>
    <w:rsid w:val="003B4AF0"/>
    <w:rsid w:val="003C062E"/>
    <w:rsid w:val="003C5892"/>
    <w:rsid w:val="003C7969"/>
    <w:rsid w:val="003D62AF"/>
    <w:rsid w:val="003E5663"/>
    <w:rsid w:val="003E7D6B"/>
    <w:rsid w:val="003F4C86"/>
    <w:rsid w:val="003F7948"/>
    <w:rsid w:val="003F7D77"/>
    <w:rsid w:val="00404C72"/>
    <w:rsid w:val="004262CD"/>
    <w:rsid w:val="00430E87"/>
    <w:rsid w:val="004310AE"/>
    <w:rsid w:val="004375FD"/>
    <w:rsid w:val="004448A0"/>
    <w:rsid w:val="0045240A"/>
    <w:rsid w:val="00452942"/>
    <w:rsid w:val="00474F13"/>
    <w:rsid w:val="00475B50"/>
    <w:rsid w:val="00476E74"/>
    <w:rsid w:val="004971D4"/>
    <w:rsid w:val="004B251B"/>
    <w:rsid w:val="004B2A69"/>
    <w:rsid w:val="004E363A"/>
    <w:rsid w:val="004F22A4"/>
    <w:rsid w:val="00512288"/>
    <w:rsid w:val="005140FB"/>
    <w:rsid w:val="005302A6"/>
    <w:rsid w:val="005363FE"/>
    <w:rsid w:val="005419D3"/>
    <w:rsid w:val="00541CFE"/>
    <w:rsid w:val="005513E3"/>
    <w:rsid w:val="0055230D"/>
    <w:rsid w:val="00556BFF"/>
    <w:rsid w:val="00557BD7"/>
    <w:rsid w:val="005608A4"/>
    <w:rsid w:val="00595F5B"/>
    <w:rsid w:val="00595FC4"/>
    <w:rsid w:val="005B0886"/>
    <w:rsid w:val="005C0918"/>
    <w:rsid w:val="005C59F8"/>
    <w:rsid w:val="005D3C0C"/>
    <w:rsid w:val="005E0345"/>
    <w:rsid w:val="005E3CF6"/>
    <w:rsid w:val="005E60A7"/>
    <w:rsid w:val="005E73D5"/>
    <w:rsid w:val="00605A69"/>
    <w:rsid w:val="006151C5"/>
    <w:rsid w:val="00616987"/>
    <w:rsid w:val="00623825"/>
    <w:rsid w:val="0063119B"/>
    <w:rsid w:val="0063456A"/>
    <w:rsid w:val="00635A88"/>
    <w:rsid w:val="00643766"/>
    <w:rsid w:val="00654638"/>
    <w:rsid w:val="00654D91"/>
    <w:rsid w:val="006551B2"/>
    <w:rsid w:val="00660727"/>
    <w:rsid w:val="006731F3"/>
    <w:rsid w:val="00677F77"/>
    <w:rsid w:val="00682636"/>
    <w:rsid w:val="0069594C"/>
    <w:rsid w:val="006B20A7"/>
    <w:rsid w:val="006B582D"/>
    <w:rsid w:val="006C0F0D"/>
    <w:rsid w:val="006C170C"/>
    <w:rsid w:val="006C45FB"/>
    <w:rsid w:val="006D04D5"/>
    <w:rsid w:val="006D05CF"/>
    <w:rsid w:val="006D503F"/>
    <w:rsid w:val="006D7C2A"/>
    <w:rsid w:val="006F1BDC"/>
    <w:rsid w:val="00702A7E"/>
    <w:rsid w:val="00703A24"/>
    <w:rsid w:val="0071332A"/>
    <w:rsid w:val="00717DFA"/>
    <w:rsid w:val="00753EDE"/>
    <w:rsid w:val="00763457"/>
    <w:rsid w:val="00795C79"/>
    <w:rsid w:val="007A0692"/>
    <w:rsid w:val="007A3641"/>
    <w:rsid w:val="007C2A63"/>
    <w:rsid w:val="007C4B01"/>
    <w:rsid w:val="007C755A"/>
    <w:rsid w:val="007E550E"/>
    <w:rsid w:val="007F6FC1"/>
    <w:rsid w:val="00802E0D"/>
    <w:rsid w:val="00816ED8"/>
    <w:rsid w:val="00820E04"/>
    <w:rsid w:val="00825E70"/>
    <w:rsid w:val="0083144B"/>
    <w:rsid w:val="00831EF8"/>
    <w:rsid w:val="00832FEA"/>
    <w:rsid w:val="008422EE"/>
    <w:rsid w:val="00855925"/>
    <w:rsid w:val="008571F8"/>
    <w:rsid w:val="00877A6B"/>
    <w:rsid w:val="008812C3"/>
    <w:rsid w:val="008859B3"/>
    <w:rsid w:val="0088683F"/>
    <w:rsid w:val="008876C0"/>
    <w:rsid w:val="008944DE"/>
    <w:rsid w:val="00896244"/>
    <w:rsid w:val="008A397A"/>
    <w:rsid w:val="008C0ACE"/>
    <w:rsid w:val="008C1EE6"/>
    <w:rsid w:val="008D2E5D"/>
    <w:rsid w:val="008D505E"/>
    <w:rsid w:val="008E7086"/>
    <w:rsid w:val="008F0225"/>
    <w:rsid w:val="008F150A"/>
    <w:rsid w:val="008F3C22"/>
    <w:rsid w:val="008F5522"/>
    <w:rsid w:val="0090452C"/>
    <w:rsid w:val="00910A1E"/>
    <w:rsid w:val="0091552C"/>
    <w:rsid w:val="00915EFA"/>
    <w:rsid w:val="009178C4"/>
    <w:rsid w:val="00930CC7"/>
    <w:rsid w:val="0093374F"/>
    <w:rsid w:val="009353AC"/>
    <w:rsid w:val="009363F3"/>
    <w:rsid w:val="009368DD"/>
    <w:rsid w:val="009435B2"/>
    <w:rsid w:val="00950A56"/>
    <w:rsid w:val="00961E02"/>
    <w:rsid w:val="00962D90"/>
    <w:rsid w:val="009803A2"/>
    <w:rsid w:val="009905BC"/>
    <w:rsid w:val="00994CF9"/>
    <w:rsid w:val="009A0D4E"/>
    <w:rsid w:val="009A2302"/>
    <w:rsid w:val="009A654D"/>
    <w:rsid w:val="009A7385"/>
    <w:rsid w:val="009C7898"/>
    <w:rsid w:val="009E1467"/>
    <w:rsid w:val="009F3BE4"/>
    <w:rsid w:val="00A048DE"/>
    <w:rsid w:val="00A15A7C"/>
    <w:rsid w:val="00A17E0A"/>
    <w:rsid w:val="00A26705"/>
    <w:rsid w:val="00A27F4D"/>
    <w:rsid w:val="00A4205A"/>
    <w:rsid w:val="00A45333"/>
    <w:rsid w:val="00A47731"/>
    <w:rsid w:val="00A62C1D"/>
    <w:rsid w:val="00A67160"/>
    <w:rsid w:val="00A80816"/>
    <w:rsid w:val="00A830D5"/>
    <w:rsid w:val="00AB0FB7"/>
    <w:rsid w:val="00AC147B"/>
    <w:rsid w:val="00AC4DCF"/>
    <w:rsid w:val="00AC6903"/>
    <w:rsid w:val="00AD4651"/>
    <w:rsid w:val="00AD516F"/>
    <w:rsid w:val="00AD5A94"/>
    <w:rsid w:val="00AF2941"/>
    <w:rsid w:val="00AF2AA3"/>
    <w:rsid w:val="00AF7BA9"/>
    <w:rsid w:val="00B12AB0"/>
    <w:rsid w:val="00B273A5"/>
    <w:rsid w:val="00B3408B"/>
    <w:rsid w:val="00B65D5E"/>
    <w:rsid w:val="00B70B7E"/>
    <w:rsid w:val="00B718D3"/>
    <w:rsid w:val="00B77573"/>
    <w:rsid w:val="00B84A54"/>
    <w:rsid w:val="00B95514"/>
    <w:rsid w:val="00BB2F10"/>
    <w:rsid w:val="00BD2727"/>
    <w:rsid w:val="00BD589F"/>
    <w:rsid w:val="00BD7EF3"/>
    <w:rsid w:val="00BE24D4"/>
    <w:rsid w:val="00BF0916"/>
    <w:rsid w:val="00C037ED"/>
    <w:rsid w:val="00C14717"/>
    <w:rsid w:val="00C31ED6"/>
    <w:rsid w:val="00C45CE3"/>
    <w:rsid w:val="00C477B6"/>
    <w:rsid w:val="00C525D4"/>
    <w:rsid w:val="00C66E9A"/>
    <w:rsid w:val="00C74109"/>
    <w:rsid w:val="00C75F44"/>
    <w:rsid w:val="00C75F7C"/>
    <w:rsid w:val="00C856A1"/>
    <w:rsid w:val="00C943DE"/>
    <w:rsid w:val="00CA1E71"/>
    <w:rsid w:val="00CA4FBE"/>
    <w:rsid w:val="00CA65FC"/>
    <w:rsid w:val="00CA796D"/>
    <w:rsid w:val="00CB3E7A"/>
    <w:rsid w:val="00CC4AC2"/>
    <w:rsid w:val="00CC5FEA"/>
    <w:rsid w:val="00CD0196"/>
    <w:rsid w:val="00CD2785"/>
    <w:rsid w:val="00CD5B6B"/>
    <w:rsid w:val="00D01434"/>
    <w:rsid w:val="00D03BB7"/>
    <w:rsid w:val="00D122D0"/>
    <w:rsid w:val="00D215F0"/>
    <w:rsid w:val="00D25A52"/>
    <w:rsid w:val="00D46D22"/>
    <w:rsid w:val="00D56242"/>
    <w:rsid w:val="00D60565"/>
    <w:rsid w:val="00D63189"/>
    <w:rsid w:val="00D70714"/>
    <w:rsid w:val="00D732FC"/>
    <w:rsid w:val="00D81082"/>
    <w:rsid w:val="00D83BB1"/>
    <w:rsid w:val="00DC2AE7"/>
    <w:rsid w:val="00DD1E66"/>
    <w:rsid w:val="00DE3885"/>
    <w:rsid w:val="00DE54F9"/>
    <w:rsid w:val="00DF2827"/>
    <w:rsid w:val="00DF3FF2"/>
    <w:rsid w:val="00DF7459"/>
    <w:rsid w:val="00E03A7C"/>
    <w:rsid w:val="00E17B09"/>
    <w:rsid w:val="00E26E40"/>
    <w:rsid w:val="00E60894"/>
    <w:rsid w:val="00E800B4"/>
    <w:rsid w:val="00E90E39"/>
    <w:rsid w:val="00E90FFB"/>
    <w:rsid w:val="00EA4DDB"/>
    <w:rsid w:val="00EB29E8"/>
    <w:rsid w:val="00EC2239"/>
    <w:rsid w:val="00ED34D1"/>
    <w:rsid w:val="00EE3F65"/>
    <w:rsid w:val="00EE4E91"/>
    <w:rsid w:val="00F02051"/>
    <w:rsid w:val="00F20553"/>
    <w:rsid w:val="00F26723"/>
    <w:rsid w:val="00F274DA"/>
    <w:rsid w:val="00F41F11"/>
    <w:rsid w:val="00F50670"/>
    <w:rsid w:val="00F6356A"/>
    <w:rsid w:val="00F65BA4"/>
    <w:rsid w:val="00F65ECA"/>
    <w:rsid w:val="00F678E5"/>
    <w:rsid w:val="00F7569E"/>
    <w:rsid w:val="00F77B80"/>
    <w:rsid w:val="00F8710D"/>
    <w:rsid w:val="00F901BB"/>
    <w:rsid w:val="00F9606E"/>
    <w:rsid w:val="00FD60D8"/>
    <w:rsid w:val="00FD70D5"/>
    <w:rsid w:val="00FE3258"/>
    <w:rsid w:val="00FF5FBE"/>
    <w:rsid w:val="01300358"/>
    <w:rsid w:val="01802C9E"/>
    <w:rsid w:val="01D34B7C"/>
    <w:rsid w:val="0232055A"/>
    <w:rsid w:val="034F72F8"/>
    <w:rsid w:val="03675EC4"/>
    <w:rsid w:val="037E06A0"/>
    <w:rsid w:val="07500A1D"/>
    <w:rsid w:val="075802F1"/>
    <w:rsid w:val="082A5052"/>
    <w:rsid w:val="09774987"/>
    <w:rsid w:val="0A595E3B"/>
    <w:rsid w:val="0A7C474C"/>
    <w:rsid w:val="0A954DD4"/>
    <w:rsid w:val="0B3D6662"/>
    <w:rsid w:val="0BAB0549"/>
    <w:rsid w:val="0CD21ED4"/>
    <w:rsid w:val="0D682AAC"/>
    <w:rsid w:val="0D6F2CDA"/>
    <w:rsid w:val="10861954"/>
    <w:rsid w:val="10DB57FB"/>
    <w:rsid w:val="11F0177A"/>
    <w:rsid w:val="12045226"/>
    <w:rsid w:val="123C676E"/>
    <w:rsid w:val="12AA1678"/>
    <w:rsid w:val="12AD1419"/>
    <w:rsid w:val="137A7F0B"/>
    <w:rsid w:val="14593607"/>
    <w:rsid w:val="14705EC4"/>
    <w:rsid w:val="149372DE"/>
    <w:rsid w:val="15C24C16"/>
    <w:rsid w:val="15D078F9"/>
    <w:rsid w:val="168D7598"/>
    <w:rsid w:val="16FC296F"/>
    <w:rsid w:val="17783106"/>
    <w:rsid w:val="1A0C111B"/>
    <w:rsid w:val="1A6749B9"/>
    <w:rsid w:val="1C3E1AC9"/>
    <w:rsid w:val="1E3E73CA"/>
    <w:rsid w:val="1EDA3596"/>
    <w:rsid w:val="1F460C2C"/>
    <w:rsid w:val="1FFA2198"/>
    <w:rsid w:val="20895625"/>
    <w:rsid w:val="22E569AE"/>
    <w:rsid w:val="243D56A4"/>
    <w:rsid w:val="249F6C3A"/>
    <w:rsid w:val="24B248D1"/>
    <w:rsid w:val="26E31456"/>
    <w:rsid w:val="27C743C9"/>
    <w:rsid w:val="28373807"/>
    <w:rsid w:val="29657A8D"/>
    <w:rsid w:val="29E91909"/>
    <w:rsid w:val="2A221ACD"/>
    <w:rsid w:val="2C532DFE"/>
    <w:rsid w:val="2C864D5D"/>
    <w:rsid w:val="2D3D7F2F"/>
    <w:rsid w:val="2DFD104F"/>
    <w:rsid w:val="31F6028F"/>
    <w:rsid w:val="3250175E"/>
    <w:rsid w:val="325944B8"/>
    <w:rsid w:val="335339F2"/>
    <w:rsid w:val="34C226AB"/>
    <w:rsid w:val="34F36D08"/>
    <w:rsid w:val="357327D3"/>
    <w:rsid w:val="36575075"/>
    <w:rsid w:val="36D61CD1"/>
    <w:rsid w:val="382873A2"/>
    <w:rsid w:val="389307DD"/>
    <w:rsid w:val="39D3572A"/>
    <w:rsid w:val="3AED4B99"/>
    <w:rsid w:val="3AFF2909"/>
    <w:rsid w:val="3BF20478"/>
    <w:rsid w:val="3CAC611A"/>
    <w:rsid w:val="3DBA6551"/>
    <w:rsid w:val="3E2A55B6"/>
    <w:rsid w:val="3EB25795"/>
    <w:rsid w:val="3EC55271"/>
    <w:rsid w:val="3FFF0FD4"/>
    <w:rsid w:val="403703F1"/>
    <w:rsid w:val="40EA70C1"/>
    <w:rsid w:val="41035373"/>
    <w:rsid w:val="425A3F23"/>
    <w:rsid w:val="448D4A83"/>
    <w:rsid w:val="453A1D1F"/>
    <w:rsid w:val="48224F84"/>
    <w:rsid w:val="489A39E6"/>
    <w:rsid w:val="4AA20B5D"/>
    <w:rsid w:val="4BBA3C84"/>
    <w:rsid w:val="4BDA4326"/>
    <w:rsid w:val="4CF423AE"/>
    <w:rsid w:val="4D4801E3"/>
    <w:rsid w:val="4E7A7286"/>
    <w:rsid w:val="50B30973"/>
    <w:rsid w:val="51E3529C"/>
    <w:rsid w:val="520E4D2A"/>
    <w:rsid w:val="521850C4"/>
    <w:rsid w:val="53202F66"/>
    <w:rsid w:val="535F11C7"/>
    <w:rsid w:val="536406D2"/>
    <w:rsid w:val="53C4669C"/>
    <w:rsid w:val="5497682B"/>
    <w:rsid w:val="576D67DD"/>
    <w:rsid w:val="58F96139"/>
    <w:rsid w:val="59096FCF"/>
    <w:rsid w:val="593875EF"/>
    <w:rsid w:val="5BBA5776"/>
    <w:rsid w:val="5BD3203C"/>
    <w:rsid w:val="5D3C274B"/>
    <w:rsid w:val="5D5E3845"/>
    <w:rsid w:val="5DDF1401"/>
    <w:rsid w:val="5DEA664B"/>
    <w:rsid w:val="5F7A755A"/>
    <w:rsid w:val="600A33B8"/>
    <w:rsid w:val="604F6C39"/>
    <w:rsid w:val="611D7D43"/>
    <w:rsid w:val="6138591F"/>
    <w:rsid w:val="615C2B67"/>
    <w:rsid w:val="61DE449A"/>
    <w:rsid w:val="646F60D4"/>
    <w:rsid w:val="65584345"/>
    <w:rsid w:val="6588095B"/>
    <w:rsid w:val="677A72E3"/>
    <w:rsid w:val="686B65DA"/>
    <w:rsid w:val="688635D9"/>
    <w:rsid w:val="6A5C4187"/>
    <w:rsid w:val="6B166CD1"/>
    <w:rsid w:val="6C494E84"/>
    <w:rsid w:val="6C8934D3"/>
    <w:rsid w:val="6D226162"/>
    <w:rsid w:val="6EAB78D0"/>
    <w:rsid w:val="71121CE9"/>
    <w:rsid w:val="717C77F4"/>
    <w:rsid w:val="72013114"/>
    <w:rsid w:val="72D73E7C"/>
    <w:rsid w:val="734D1FC6"/>
    <w:rsid w:val="73685BF0"/>
    <w:rsid w:val="73C51294"/>
    <w:rsid w:val="750E27C7"/>
    <w:rsid w:val="757F5473"/>
    <w:rsid w:val="77CE623E"/>
    <w:rsid w:val="7A933A9E"/>
    <w:rsid w:val="7AC3453F"/>
    <w:rsid w:val="7CB974BC"/>
    <w:rsid w:val="7D8003E7"/>
    <w:rsid w:val="7E7D1BC6"/>
    <w:rsid w:val="C9FE2857"/>
    <w:rsid w:val="F7F7F19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qFormat="1" w:unhideWhenUsed="0" w:uiPriority="0" w:name="footnote text"/>
    <w:lsdException w:qFormat="1" w:uiPriority="99" w:semiHidden="0" w:name="annotation text"/>
    <w:lsdException w:qFormat="1" w:unhideWhenUsed="0" w:uiPriority="0" w:semiHidden="0" w:name="header"/>
    <w:lsdException w:qFormat="1"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qFormat="1" w:unhideWhenUsed="0" w:uiPriority="0" w:name="footnote reference"/>
    <w:lsdException w:qFormat="1" w:uiPriority="99" w:semiHidden="0"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qFormat="1" w:unhideWhenUsed="0" w:uiPriority="0" w:semiHidden="0"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qFormat="1" w:unhideWhenUsed="0" w:uiPriority="0" w:semiHidden="0" w:name="Block Text"/>
    <w:lsdException w:qFormat="1" w:unhideWhenUsed="0" w:uiPriority="0" w:semiHidden="0" w:name="Hyperlink"/>
    <w:lsdException w:qFormat="1" w:unhideWhenUsed="0" w:uiPriority="0" w:semiHidden="0"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semiHidden="0"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nhideWhenUsed="0" w:uiPriority="0" w:name="Balloon Text"/>
    <w:lsdException w:qFormat="1" w:unhideWhenUsed="0" w:uiPriority="0"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Arial" w:hAnsi="Arial" w:eastAsia="Times New Roman" w:cs="Times New Roman"/>
      <w:lang w:val="en-GB" w:eastAsia="en-GB" w:bidi="ar-SA"/>
    </w:rPr>
  </w:style>
  <w:style w:type="paragraph" w:styleId="2">
    <w:name w:val="heading 1"/>
    <w:basedOn w:val="1"/>
    <w:next w:val="1"/>
    <w:qFormat/>
    <w:uiPriority w:val="0"/>
    <w:pPr>
      <w:keepNext/>
      <w:outlineLvl w:val="0"/>
    </w:pPr>
    <w:rPr>
      <w:b/>
    </w:rPr>
  </w:style>
  <w:style w:type="paragraph" w:styleId="3">
    <w:name w:val="heading 2"/>
    <w:basedOn w:val="1"/>
    <w:next w:val="1"/>
    <w:qFormat/>
    <w:uiPriority w:val="0"/>
    <w:pPr>
      <w:keepNext/>
      <w:spacing w:before="240" w:after="60"/>
      <w:outlineLvl w:val="1"/>
    </w:pPr>
    <w:rPr>
      <w:b/>
      <w:i/>
      <w:sz w:val="24"/>
    </w:rPr>
  </w:style>
  <w:style w:type="character" w:default="1" w:styleId="15">
    <w:name w:val="Default Paragraph Font"/>
    <w:semiHidden/>
    <w:unhideWhenUsed/>
    <w:qFormat/>
    <w:uiPriority w:val="1"/>
  </w:style>
  <w:style w:type="table" w:default="1" w:styleId="13">
    <w:name w:val="Normal Table"/>
    <w:semiHidden/>
    <w:unhideWhenUsed/>
    <w:qFormat/>
    <w:uiPriority w:val="99"/>
    <w:tblPr>
      <w:tblCellMar>
        <w:top w:w="0" w:type="dxa"/>
        <w:left w:w="108" w:type="dxa"/>
        <w:bottom w:w="0" w:type="dxa"/>
        <w:right w:w="108" w:type="dxa"/>
      </w:tblCellMar>
    </w:tblPr>
  </w:style>
  <w:style w:type="paragraph" w:styleId="4">
    <w:name w:val="annotation text"/>
    <w:basedOn w:val="1"/>
    <w:link w:val="24"/>
    <w:unhideWhenUsed/>
    <w:qFormat/>
    <w:uiPriority w:val="99"/>
    <w:rPr>
      <w:lang w:val="zh-CN" w:eastAsia="zh-CN"/>
    </w:rPr>
  </w:style>
  <w:style w:type="paragraph" w:styleId="5">
    <w:name w:val="Body Text"/>
    <w:basedOn w:val="1"/>
    <w:qFormat/>
    <w:uiPriority w:val="0"/>
    <w:pPr>
      <w:jc w:val="both"/>
    </w:pPr>
    <w:rPr>
      <w:b/>
    </w:rPr>
  </w:style>
  <w:style w:type="paragraph" w:styleId="6">
    <w:name w:val="Block Text"/>
    <w:basedOn w:val="1"/>
    <w:qFormat/>
    <w:uiPriority w:val="0"/>
    <w:pPr>
      <w:tabs>
        <w:tab w:val="left" w:pos="-720"/>
        <w:tab w:val="left" w:pos="0"/>
        <w:tab w:val="left" w:pos="709"/>
      </w:tabs>
      <w:suppressAutoHyphens/>
      <w:ind w:left="709" w:right="720" w:hanging="709"/>
      <w:jc w:val="both"/>
    </w:pPr>
    <w:rPr>
      <w:rFonts w:ascii="Times New Roman" w:hAnsi="Times New Roman"/>
      <w:spacing w:val="-2"/>
      <w:lang w:eastAsia="en-US"/>
    </w:rPr>
  </w:style>
  <w:style w:type="paragraph" w:styleId="7">
    <w:name w:val="Balloon Text"/>
    <w:basedOn w:val="1"/>
    <w:semiHidden/>
    <w:qFormat/>
    <w:uiPriority w:val="0"/>
    <w:rPr>
      <w:rFonts w:ascii="Tahoma" w:hAnsi="Tahoma" w:cs="Tahoma"/>
      <w:sz w:val="16"/>
      <w:szCs w:val="16"/>
    </w:rPr>
  </w:style>
  <w:style w:type="paragraph" w:styleId="8">
    <w:name w:val="footer"/>
    <w:basedOn w:val="1"/>
    <w:link w:val="26"/>
    <w:qFormat/>
    <w:uiPriority w:val="99"/>
    <w:pPr>
      <w:tabs>
        <w:tab w:val="center" w:pos="4320"/>
        <w:tab w:val="right" w:pos="8640"/>
      </w:tabs>
    </w:pPr>
  </w:style>
  <w:style w:type="paragraph" w:styleId="9">
    <w:name w:val="header"/>
    <w:basedOn w:val="1"/>
    <w:qFormat/>
    <w:uiPriority w:val="0"/>
    <w:pPr>
      <w:tabs>
        <w:tab w:val="center" w:pos="4320"/>
        <w:tab w:val="right" w:pos="8640"/>
      </w:tabs>
    </w:pPr>
  </w:style>
  <w:style w:type="paragraph" w:styleId="10">
    <w:name w:val="footnote text"/>
    <w:basedOn w:val="1"/>
    <w:semiHidden/>
    <w:qFormat/>
    <w:uiPriority w:val="0"/>
  </w:style>
  <w:style w:type="paragraph" w:styleId="11">
    <w:name w:val="Normal (Web)"/>
    <w:basedOn w:val="1"/>
    <w:unhideWhenUsed/>
    <w:qFormat/>
    <w:uiPriority w:val="99"/>
    <w:pPr>
      <w:spacing w:before="100" w:beforeAutospacing="1" w:after="100" w:afterAutospacing="1"/>
    </w:pPr>
    <w:rPr>
      <w:rFonts w:ascii="Times New Roman" w:hAnsi="Times New Roman"/>
      <w:sz w:val="24"/>
      <w:szCs w:val="24"/>
    </w:rPr>
  </w:style>
  <w:style w:type="paragraph" w:styleId="12">
    <w:name w:val="annotation subject"/>
    <w:basedOn w:val="4"/>
    <w:next w:val="4"/>
    <w:link w:val="25"/>
    <w:unhideWhenUsed/>
    <w:qFormat/>
    <w:uiPriority w:val="99"/>
    <w:rPr>
      <w:b/>
      <w:bCs/>
    </w:rPr>
  </w:style>
  <w:style w:type="table" w:styleId="14">
    <w:name w:val="Table Grid"/>
    <w:basedOn w:val="13"/>
    <w:qFormat/>
    <w:uiPriority w:val="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6">
    <w:name w:val="Strong"/>
    <w:qFormat/>
    <w:uiPriority w:val="22"/>
    <w:rPr>
      <w:b/>
      <w:bCs/>
    </w:rPr>
  </w:style>
  <w:style w:type="character" w:styleId="17">
    <w:name w:val="FollowedHyperlink"/>
    <w:qFormat/>
    <w:uiPriority w:val="0"/>
    <w:rPr>
      <w:color w:val="800080"/>
      <w:u w:val="single"/>
    </w:rPr>
  </w:style>
  <w:style w:type="character" w:styleId="18">
    <w:name w:val="Emphasis"/>
    <w:basedOn w:val="15"/>
    <w:qFormat/>
    <w:uiPriority w:val="20"/>
    <w:rPr>
      <w:i/>
    </w:rPr>
  </w:style>
  <w:style w:type="character" w:styleId="19">
    <w:name w:val="Hyperlink"/>
    <w:qFormat/>
    <w:uiPriority w:val="0"/>
    <w:rPr>
      <w:color w:val="0000FF"/>
      <w:u w:val="single"/>
    </w:rPr>
  </w:style>
  <w:style w:type="character" w:styleId="20">
    <w:name w:val="annotation reference"/>
    <w:unhideWhenUsed/>
    <w:qFormat/>
    <w:uiPriority w:val="99"/>
    <w:rPr>
      <w:sz w:val="16"/>
      <w:szCs w:val="16"/>
    </w:rPr>
  </w:style>
  <w:style w:type="character" w:styleId="21">
    <w:name w:val="footnote reference"/>
    <w:semiHidden/>
    <w:qFormat/>
    <w:uiPriority w:val="0"/>
    <w:rPr>
      <w:vertAlign w:val="superscript"/>
    </w:rPr>
  </w:style>
  <w:style w:type="paragraph" w:customStyle="1" w:styleId="22">
    <w:name w:val="Heading Erasmod"/>
    <w:basedOn w:val="3"/>
    <w:qFormat/>
    <w:uiPriority w:val="0"/>
    <w:pPr>
      <w:pBdr>
        <w:top w:val="single" w:color="auto" w:sz="6" w:space="1"/>
        <w:left w:val="single" w:color="auto" w:sz="6" w:space="1"/>
        <w:bottom w:val="single" w:color="auto" w:sz="6" w:space="1"/>
        <w:right w:val="single" w:color="auto" w:sz="6" w:space="1"/>
      </w:pBdr>
      <w:spacing w:before="0" w:after="120"/>
    </w:pPr>
    <w:rPr>
      <w:i w:val="0"/>
      <w:caps/>
      <w:sz w:val="28"/>
    </w:rPr>
  </w:style>
  <w:style w:type="paragraph" w:customStyle="1" w:styleId="23">
    <w:name w:val="Medium List 2 - Accent 21"/>
    <w:hidden/>
    <w:semiHidden/>
    <w:qFormat/>
    <w:uiPriority w:val="99"/>
    <w:rPr>
      <w:rFonts w:ascii="Arial" w:hAnsi="Arial" w:eastAsia="Times New Roman" w:cs="Times New Roman"/>
      <w:lang w:val="en-GB" w:eastAsia="en-GB" w:bidi="ar-SA"/>
    </w:rPr>
  </w:style>
  <w:style w:type="character" w:customStyle="1" w:styleId="24">
    <w:name w:val="Comment Text Char"/>
    <w:link w:val="4"/>
    <w:semiHidden/>
    <w:qFormat/>
    <w:uiPriority w:val="99"/>
    <w:rPr>
      <w:rFonts w:ascii="Arial" w:hAnsi="Arial"/>
    </w:rPr>
  </w:style>
  <w:style w:type="character" w:customStyle="1" w:styleId="25">
    <w:name w:val="Comment Subject Char"/>
    <w:link w:val="12"/>
    <w:semiHidden/>
    <w:qFormat/>
    <w:uiPriority w:val="99"/>
    <w:rPr>
      <w:rFonts w:ascii="Arial" w:hAnsi="Arial"/>
      <w:b/>
      <w:bCs/>
    </w:rPr>
  </w:style>
  <w:style w:type="character" w:customStyle="1" w:styleId="26">
    <w:name w:val="Footer Char"/>
    <w:link w:val="8"/>
    <w:qFormat/>
    <w:uiPriority w:val="99"/>
    <w:rPr>
      <w:rFonts w:ascii="Arial" w:hAnsi="Arial"/>
    </w:rPr>
  </w:style>
  <w:style w:type="paragraph" w:customStyle="1" w:styleId="27">
    <w:name w:val="List Paragraph1"/>
    <w:basedOn w:val="1"/>
    <w:qFormat/>
    <w:uiPriority w:val="99"/>
    <w:pPr>
      <w:ind w:left="720"/>
    </w:pPr>
  </w:style>
  <w:style w:type="paragraph" w:customStyle="1" w:styleId="28">
    <w:name w:val="Revision1"/>
    <w:hidden/>
    <w:semiHidden/>
    <w:qFormat/>
    <w:uiPriority w:val="99"/>
    <w:rPr>
      <w:rFonts w:ascii="Arial" w:hAnsi="Arial" w:eastAsia="Times New Roman" w:cs="Times New Roman"/>
      <w:lang w:val="en-GB" w:eastAsia="en-GB" w:bidi="ar-SA"/>
    </w:rPr>
  </w:style>
  <w:style w:type="paragraph" w:customStyle="1" w:styleId="29">
    <w:name w:val="No Spacing1"/>
    <w:qFormat/>
    <w:uiPriority w:val="99"/>
    <w:pPr>
      <w:overflowPunct w:val="0"/>
      <w:autoSpaceDE w:val="0"/>
      <w:autoSpaceDN w:val="0"/>
      <w:adjustRightInd w:val="0"/>
    </w:pPr>
    <w:rPr>
      <w:rFonts w:ascii="Calibri" w:hAnsi="Calibri" w:eastAsia="Times New Roman" w:cs="Times New Roman"/>
      <w:sz w:val="22"/>
      <w:lang w:val="en-GB" w:eastAsia="en-US" w:bidi="ar-SA"/>
    </w:rPr>
  </w:style>
  <w:style w:type="character" w:customStyle="1" w:styleId="30">
    <w:name w:val="Unresolved Mention1"/>
    <w:basedOn w:val="15"/>
    <w:unhideWhenUsed/>
    <w:qFormat/>
    <w:uiPriority w:val="99"/>
    <w:rPr>
      <w:color w:val="605E5C"/>
      <w:shd w:val="clear" w:color="auto" w:fill="E1DFDD"/>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Company>UWTSD</Company>
  <Pages>13</Pages>
  <Words>4290</Words>
  <Characters>22538</Characters>
  <Lines>35</Lines>
  <Paragraphs>9</Paragraphs>
  <TotalTime>92</TotalTime>
  <ScaleCrop>false</ScaleCrop>
  <LinksUpToDate>false</LinksUpToDate>
  <CharactersWithSpaces>25870</CharactersWithSpaces>
  <Application>WPS Office_12.1.0.19770_F1E327BC-269C-435d-A152-05C5408002CA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2020-11-24T17:17:00Z</dcterms:created>
  <dc:creator>Academic Office</dc:creator>
  <cp:lastModifiedBy>叉烧包</cp:lastModifiedBy>
  <cp:lastPrinted>2016-11-02T17:01:00Z</cp:lastPrinted>
  <dcterms:modified xsi:type="dcterms:W3CDTF">2025-01-05T12:32:49Z</dcterms:modified>
  <dc:title>PG1</dc:title>
  <cp:revision>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y fmtid="{D5CDD505-2E9C-101B-9397-08002B2CF9AE}" pid="5" name="ContentTypeId">
    <vt:lpwstr>0x0101002070451B93B7834FA3DA78769DB3FA41</vt:lpwstr>
  </property>
  <property fmtid="{D5CDD505-2E9C-101B-9397-08002B2CF9AE}" pid="6" name="KSOProductBuildVer">
    <vt:lpwstr>2052-12.1.0.19770</vt:lpwstr>
  </property>
  <property fmtid="{D5CDD505-2E9C-101B-9397-08002B2CF9AE}" pid="7" name="ICV">
    <vt:lpwstr>7C18A100C1974179A2339F932BD4799F_13</vt:lpwstr>
  </property>
  <property fmtid="{D5CDD505-2E9C-101B-9397-08002B2CF9AE}" pid="8" name="KSOTemplateDocerSaveRecord">
    <vt:lpwstr>eyJoZGlkIjoiMzYzNDJkZWNkNDhlZTBlMTA5ZjYwMjBhYjIwYjg0NjQiLCJ1c2VySWQiOiIzMTIxOTYwMTIifQ==</vt:lpwstr>
  </property>
</Properties>
</file>