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374F9" w14:textId="77777777" w:rsidR="00603918" w:rsidRDefault="00603918" w:rsidP="00460C55">
      <w:pPr>
        <w:spacing w:before="100" w:beforeAutospacing="1" w:after="100" w:afterAutospacing="1" w:line="240" w:lineRule="auto"/>
        <w:rPr>
          <w:rFonts w:ascii="Arial" w:eastAsia="Times New Roman" w:hAnsi="Arial" w:cs="Arial"/>
          <w:kern w:val="0"/>
          <w:lang w:eastAsia="en-GB"/>
          <w14:ligatures w14:val="none"/>
        </w:rPr>
      </w:pPr>
    </w:p>
    <w:p w14:paraId="2D1976CC" w14:textId="77777777" w:rsidR="00603918" w:rsidRDefault="00603918" w:rsidP="00460C55">
      <w:pPr>
        <w:spacing w:before="100" w:beforeAutospacing="1" w:after="100" w:afterAutospacing="1" w:line="240" w:lineRule="auto"/>
        <w:rPr>
          <w:rFonts w:ascii="Arial" w:eastAsia="Times New Roman" w:hAnsi="Arial" w:cs="Arial"/>
          <w:kern w:val="0"/>
          <w:lang w:eastAsia="en-GB"/>
          <w14:ligatures w14:val="none"/>
        </w:rPr>
      </w:pPr>
    </w:p>
    <w:p w14:paraId="54C76DE6" w14:textId="40B7130A" w:rsidR="007A3DB6" w:rsidRDefault="008966BC" w:rsidP="00460C55">
      <w:pPr>
        <w:spacing w:before="100" w:beforeAutospacing="1" w:after="100" w:afterAutospacing="1" w:line="240" w:lineRule="auto"/>
        <w:rPr>
          <w:rFonts w:ascii="Arial" w:eastAsia="Times New Roman" w:hAnsi="Arial" w:cs="Arial"/>
          <w:kern w:val="0"/>
          <w:lang w:eastAsia="en-GB"/>
          <w14:ligatures w14:val="none"/>
        </w:rPr>
      </w:pPr>
      <w:r>
        <w:rPr>
          <w:noProof/>
        </w:rPr>
        <w:drawing>
          <wp:inline distT="0" distB="0" distL="0" distR="0" wp14:anchorId="4A6249EA" wp14:editId="37BA6356">
            <wp:extent cx="1809750" cy="723900"/>
            <wp:effectExtent l="0" t="0" r="0" b="0"/>
            <wp:docPr id="707106727" name="Picture 233"/>
            <wp:cNvGraphicFramePr/>
            <a:graphic xmlns:a="http://schemas.openxmlformats.org/drawingml/2006/main">
              <a:graphicData uri="http://schemas.openxmlformats.org/drawingml/2006/picture">
                <pic:pic xmlns:pic="http://schemas.openxmlformats.org/drawingml/2006/picture">
                  <pic:nvPicPr>
                    <pic:cNvPr id="233" name="Picture 233"/>
                    <pic:cNvPicPr/>
                  </pic:nvPicPr>
                  <pic:blipFill>
                    <a:blip r:embed="rId6"/>
                    <a:stretch>
                      <a:fillRect/>
                    </a:stretch>
                  </pic:blipFill>
                  <pic:spPr>
                    <a:xfrm>
                      <a:off x="0" y="0"/>
                      <a:ext cx="1809750" cy="723900"/>
                    </a:xfrm>
                    <a:prstGeom prst="rect">
                      <a:avLst/>
                    </a:prstGeom>
                  </pic:spPr>
                </pic:pic>
              </a:graphicData>
            </a:graphic>
          </wp:inline>
        </w:drawing>
      </w:r>
    </w:p>
    <w:p w14:paraId="2F1D1CA5" w14:textId="77777777" w:rsidR="008966BC" w:rsidRDefault="008966BC" w:rsidP="008966BC">
      <w:pPr>
        <w:pStyle w:val="NormalWeb"/>
        <w:spacing w:before="0" w:beforeAutospacing="0" w:after="120" w:afterAutospacing="0" w:line="360" w:lineRule="auto"/>
        <w:rPr>
          <w:rFonts w:ascii="Arial" w:eastAsiaTheme="majorEastAsia" w:hAnsi="Arial" w:cs="Arial"/>
          <w:color w:val="000000" w:themeColor="text1"/>
          <w:kern w:val="24"/>
          <w:sz w:val="22"/>
          <w:szCs w:val="22"/>
        </w:rPr>
      </w:pPr>
    </w:p>
    <w:p w14:paraId="6B0D6E9E" w14:textId="77777777" w:rsidR="008966BC" w:rsidRDefault="008966BC" w:rsidP="008966BC">
      <w:pPr>
        <w:pStyle w:val="NormalWeb"/>
        <w:spacing w:before="0" w:beforeAutospacing="0" w:after="120" w:afterAutospacing="0" w:line="360" w:lineRule="auto"/>
        <w:rPr>
          <w:rFonts w:ascii="Arial" w:eastAsiaTheme="minorEastAsia" w:hAnsi="Arial" w:cs="Arial"/>
          <w:color w:val="000000" w:themeColor="text1"/>
          <w:kern w:val="24"/>
          <w:sz w:val="22"/>
          <w:szCs w:val="22"/>
        </w:rPr>
      </w:pPr>
    </w:p>
    <w:p w14:paraId="04174F76" w14:textId="77777777" w:rsidR="00603918" w:rsidRPr="008966BC" w:rsidRDefault="00603918" w:rsidP="00603918">
      <w:pPr>
        <w:pStyle w:val="NormalWeb"/>
        <w:spacing w:before="0" w:beforeAutospacing="0" w:after="120" w:afterAutospacing="0"/>
        <w:rPr>
          <w:sz w:val="22"/>
          <w:szCs w:val="22"/>
        </w:rPr>
      </w:pPr>
      <w:r w:rsidRPr="008966BC">
        <w:rPr>
          <w:rFonts w:ascii="Arial" w:eastAsiaTheme="minorEastAsia" w:hAnsi="Arial" w:cs="Arial"/>
          <w:color w:val="000000" w:themeColor="text1"/>
          <w:kern w:val="24"/>
          <w:sz w:val="22"/>
          <w:szCs w:val="22"/>
        </w:rPr>
        <w:t>LCHS4010</w:t>
      </w:r>
    </w:p>
    <w:p w14:paraId="0D500876" w14:textId="77777777" w:rsidR="00603918" w:rsidRDefault="00603918" w:rsidP="00603918">
      <w:pPr>
        <w:pStyle w:val="NormalWeb"/>
        <w:spacing w:before="0" w:beforeAutospacing="0" w:after="120" w:afterAutospacing="0"/>
        <w:rPr>
          <w:rFonts w:ascii="Arial" w:eastAsiaTheme="minorEastAsia" w:hAnsi="Arial" w:cs="Arial"/>
          <w:color w:val="000000" w:themeColor="text1"/>
          <w:kern w:val="24"/>
          <w:sz w:val="22"/>
          <w:szCs w:val="22"/>
        </w:rPr>
      </w:pPr>
      <w:r w:rsidRPr="008966BC">
        <w:rPr>
          <w:rFonts w:ascii="Arial" w:eastAsiaTheme="minorEastAsia" w:hAnsi="Arial" w:cs="Arial"/>
          <w:color w:val="000000" w:themeColor="text1"/>
          <w:kern w:val="24"/>
          <w:sz w:val="22"/>
          <w:szCs w:val="22"/>
        </w:rPr>
        <w:t>Psychology in Health and Social Care</w:t>
      </w:r>
    </w:p>
    <w:p w14:paraId="52614461" w14:textId="77777777" w:rsidR="00603918" w:rsidRDefault="00603918" w:rsidP="00603918">
      <w:pPr>
        <w:pStyle w:val="NormalWeb"/>
        <w:spacing w:before="0" w:beforeAutospacing="0" w:after="120" w:afterAutospacing="0"/>
        <w:rPr>
          <w:rFonts w:ascii="Arial" w:eastAsiaTheme="minorEastAsia" w:hAnsi="Arial" w:cs="Arial"/>
          <w:color w:val="000000" w:themeColor="text1"/>
          <w:kern w:val="24"/>
          <w:sz w:val="22"/>
          <w:szCs w:val="22"/>
        </w:rPr>
      </w:pPr>
    </w:p>
    <w:p w14:paraId="78892FEE" w14:textId="77777777" w:rsidR="00603918" w:rsidRDefault="00603918" w:rsidP="00603918">
      <w:pPr>
        <w:pStyle w:val="NormalWeb"/>
        <w:spacing w:before="0" w:beforeAutospacing="0" w:after="120" w:afterAutospacing="0"/>
        <w:rPr>
          <w:rFonts w:ascii="Arial" w:eastAsiaTheme="minorEastAsia" w:hAnsi="Arial" w:cs="Arial"/>
          <w:color w:val="000000" w:themeColor="text1"/>
          <w:kern w:val="24"/>
          <w:sz w:val="22"/>
          <w:szCs w:val="22"/>
        </w:rPr>
      </w:pPr>
    </w:p>
    <w:p w14:paraId="4200C90D" w14:textId="77777777" w:rsidR="00603918" w:rsidRDefault="00603918" w:rsidP="00603918">
      <w:pPr>
        <w:pStyle w:val="NormalWeb"/>
        <w:spacing w:before="0" w:beforeAutospacing="0" w:after="120" w:afterAutospacing="0" w:line="360" w:lineRule="auto"/>
        <w:rPr>
          <w:rFonts w:ascii="Arial" w:eastAsiaTheme="majorEastAsia" w:hAnsi="Arial" w:cs="Arial"/>
          <w:color w:val="000000" w:themeColor="text1"/>
          <w:kern w:val="24"/>
          <w:sz w:val="22"/>
          <w:szCs w:val="22"/>
        </w:rPr>
      </w:pPr>
      <w:r w:rsidRPr="008966BC">
        <w:rPr>
          <w:rFonts w:ascii="Arial" w:eastAsiaTheme="majorEastAsia" w:hAnsi="Arial" w:cs="Arial"/>
          <w:color w:val="000000" w:themeColor="text1"/>
          <w:kern w:val="24"/>
          <w:sz w:val="22"/>
          <w:szCs w:val="22"/>
        </w:rPr>
        <w:t xml:space="preserve">Angela Maria Gonzalez Caro </w:t>
      </w:r>
      <w:r w:rsidRPr="008966BC">
        <w:rPr>
          <w:rFonts w:ascii="Arial" w:eastAsiaTheme="majorEastAsia" w:hAnsi="Arial" w:cs="Arial"/>
          <w:color w:val="000000" w:themeColor="text1"/>
          <w:kern w:val="24"/>
          <w:sz w:val="22"/>
          <w:szCs w:val="22"/>
        </w:rPr>
        <w:br/>
        <w:t>Student ID: 2442780</w:t>
      </w:r>
      <w:r w:rsidRPr="008966BC">
        <w:rPr>
          <w:rFonts w:ascii="Arial" w:eastAsiaTheme="majorEastAsia" w:hAnsi="Arial" w:cs="Arial"/>
          <w:color w:val="000000" w:themeColor="text1"/>
          <w:kern w:val="24"/>
          <w:sz w:val="22"/>
          <w:szCs w:val="22"/>
        </w:rPr>
        <w:br/>
        <w:t>Lecturer’s name: Peace Ukachukwu</w:t>
      </w:r>
    </w:p>
    <w:p w14:paraId="332DE0D9" w14:textId="77777777" w:rsidR="00603918" w:rsidRDefault="00603918" w:rsidP="00603918">
      <w:pPr>
        <w:pStyle w:val="NormalWeb"/>
        <w:spacing w:before="0" w:beforeAutospacing="0" w:after="120" w:afterAutospacing="0" w:line="360" w:lineRule="auto"/>
        <w:rPr>
          <w:rFonts w:ascii="Arial" w:eastAsiaTheme="majorEastAsia" w:hAnsi="Arial" w:cs="Arial"/>
          <w:color w:val="000000" w:themeColor="text1"/>
          <w:kern w:val="24"/>
          <w:sz w:val="22"/>
          <w:szCs w:val="22"/>
        </w:rPr>
      </w:pPr>
    </w:p>
    <w:p w14:paraId="0217B89B" w14:textId="77777777" w:rsidR="00603918" w:rsidRDefault="00603918" w:rsidP="00603918">
      <w:pPr>
        <w:pStyle w:val="NormalWeb"/>
        <w:spacing w:before="0" w:beforeAutospacing="0" w:after="120" w:afterAutospacing="0" w:line="360" w:lineRule="auto"/>
        <w:rPr>
          <w:rFonts w:ascii="Arial" w:eastAsiaTheme="majorEastAsia" w:hAnsi="Arial" w:cs="Arial"/>
          <w:color w:val="000000" w:themeColor="text1"/>
          <w:kern w:val="24"/>
          <w:sz w:val="22"/>
          <w:szCs w:val="22"/>
        </w:rPr>
      </w:pPr>
    </w:p>
    <w:p w14:paraId="6311C8A1" w14:textId="13273F95" w:rsidR="00603918" w:rsidRPr="008966BC" w:rsidRDefault="00603918" w:rsidP="00603918">
      <w:pPr>
        <w:pStyle w:val="NormalWeb"/>
        <w:spacing w:before="200" w:beforeAutospacing="0" w:after="0" w:afterAutospacing="0" w:line="360" w:lineRule="auto"/>
        <w:jc w:val="both"/>
        <w:rPr>
          <w:sz w:val="22"/>
          <w:szCs w:val="22"/>
        </w:rPr>
      </w:pPr>
      <w:r w:rsidRPr="008966BC">
        <w:rPr>
          <w:rFonts w:ascii="Arial" w:eastAsiaTheme="minorEastAsia" w:hAnsi="Arial" w:cs="Arial"/>
          <w:color w:val="000000" w:themeColor="text1"/>
          <w:kern w:val="24"/>
          <w:sz w:val="22"/>
          <w:szCs w:val="22"/>
        </w:rPr>
        <w:t xml:space="preserve">I confirm that I have used AI tools (ChatGPT, OpenAI) to support the planning, structuring and proofreading of this </w:t>
      </w:r>
      <w:r w:rsidR="00D44E00">
        <w:rPr>
          <w:rFonts w:ascii="Arial" w:eastAsiaTheme="minorEastAsia" w:hAnsi="Arial" w:cs="Arial"/>
          <w:color w:val="000000" w:themeColor="text1"/>
          <w:kern w:val="24"/>
          <w:sz w:val="22"/>
          <w:szCs w:val="22"/>
        </w:rPr>
        <w:t xml:space="preserve">assignment </w:t>
      </w:r>
      <w:r w:rsidR="00D44E00" w:rsidRPr="008966BC">
        <w:rPr>
          <w:rFonts w:ascii="Arial" w:eastAsiaTheme="minorEastAsia" w:hAnsi="Arial" w:cs="Arial"/>
          <w:color w:val="000000" w:themeColor="text1"/>
          <w:kern w:val="24"/>
          <w:sz w:val="22"/>
          <w:szCs w:val="22"/>
        </w:rPr>
        <w:t>on</w:t>
      </w:r>
      <w:r>
        <w:rPr>
          <w:rFonts w:ascii="Arial" w:eastAsiaTheme="minorEastAsia" w:hAnsi="Arial" w:cs="Arial"/>
          <w:color w:val="000000" w:themeColor="text1"/>
          <w:kern w:val="24"/>
          <w:sz w:val="22"/>
          <w:szCs w:val="22"/>
        </w:rPr>
        <w:t xml:space="preserve"> April 4, </w:t>
      </w:r>
      <w:r w:rsidRPr="008966BC">
        <w:rPr>
          <w:rFonts w:ascii="Arial" w:eastAsiaTheme="minorEastAsia" w:hAnsi="Arial" w:cs="Arial"/>
          <w:color w:val="000000" w:themeColor="text1"/>
          <w:kern w:val="24"/>
          <w:sz w:val="22"/>
          <w:szCs w:val="22"/>
        </w:rPr>
        <w:t xml:space="preserve">2026. I confirm that I have reviewed, edited and understood all content included in this work and have not presented AI-generated material as my own without </w:t>
      </w:r>
      <w:r w:rsidR="00CF37D9">
        <w:rPr>
          <w:rFonts w:ascii="Arial" w:eastAsiaTheme="minorEastAsia" w:hAnsi="Arial" w:cs="Arial"/>
          <w:color w:val="000000" w:themeColor="text1"/>
          <w:kern w:val="24"/>
          <w:sz w:val="22"/>
          <w:szCs w:val="22"/>
        </w:rPr>
        <w:t xml:space="preserve">critical engagement and having made many changes </w:t>
      </w:r>
      <w:r w:rsidR="005D39B2">
        <w:rPr>
          <w:rFonts w:ascii="Arial" w:eastAsiaTheme="minorEastAsia" w:hAnsi="Arial" w:cs="Arial"/>
          <w:color w:val="000000" w:themeColor="text1"/>
          <w:kern w:val="24"/>
          <w:sz w:val="22"/>
          <w:szCs w:val="22"/>
        </w:rPr>
        <w:t>generated by my own ideas.</w:t>
      </w:r>
    </w:p>
    <w:p w14:paraId="3C4ABCC8" w14:textId="77777777" w:rsidR="00603918" w:rsidRDefault="00603918" w:rsidP="00603918">
      <w:pPr>
        <w:pStyle w:val="NormalWeb"/>
        <w:spacing w:before="200" w:beforeAutospacing="0" w:after="0" w:afterAutospacing="0" w:line="360" w:lineRule="auto"/>
        <w:jc w:val="both"/>
        <w:rPr>
          <w:rFonts w:ascii="Arial" w:eastAsiaTheme="minorEastAsia" w:hAnsi="Arial" w:cs="Arial"/>
          <w:color w:val="000000" w:themeColor="text1"/>
          <w:kern w:val="24"/>
          <w:sz w:val="22"/>
          <w:szCs w:val="22"/>
        </w:rPr>
      </w:pPr>
      <w:r w:rsidRPr="008966BC">
        <w:rPr>
          <w:rFonts w:ascii="Arial" w:eastAsiaTheme="minorEastAsia" w:hAnsi="Arial" w:cs="Arial"/>
          <w:color w:val="000000" w:themeColor="text1"/>
          <w:kern w:val="24"/>
          <w:sz w:val="22"/>
          <w:szCs w:val="22"/>
        </w:rPr>
        <w:t>I confirm that I have copies of my drafts, notes and other resources used in the preparation of this assignment, which I may be asked to provide as evidence.</w:t>
      </w:r>
    </w:p>
    <w:p w14:paraId="1F165372" w14:textId="77777777" w:rsidR="000433C5" w:rsidRDefault="000433C5" w:rsidP="00603918">
      <w:pPr>
        <w:pStyle w:val="NormalWeb"/>
        <w:spacing w:before="200" w:beforeAutospacing="0" w:after="0" w:afterAutospacing="0" w:line="360" w:lineRule="auto"/>
        <w:jc w:val="both"/>
        <w:rPr>
          <w:rFonts w:ascii="Arial" w:eastAsiaTheme="minorEastAsia" w:hAnsi="Arial" w:cs="Arial"/>
          <w:color w:val="000000" w:themeColor="text1"/>
          <w:kern w:val="24"/>
          <w:sz w:val="22"/>
          <w:szCs w:val="22"/>
        </w:rPr>
      </w:pPr>
    </w:p>
    <w:p w14:paraId="326A84E5" w14:textId="77777777" w:rsidR="000433C5" w:rsidRDefault="000433C5" w:rsidP="00603918">
      <w:pPr>
        <w:pStyle w:val="NormalWeb"/>
        <w:spacing w:before="200" w:beforeAutospacing="0" w:after="0" w:afterAutospacing="0" w:line="360" w:lineRule="auto"/>
        <w:jc w:val="both"/>
        <w:rPr>
          <w:rFonts w:ascii="Arial" w:eastAsiaTheme="minorEastAsia" w:hAnsi="Arial" w:cs="Arial"/>
          <w:color w:val="000000" w:themeColor="text1"/>
          <w:kern w:val="24"/>
          <w:sz w:val="22"/>
          <w:szCs w:val="22"/>
        </w:rPr>
      </w:pPr>
    </w:p>
    <w:p w14:paraId="31B0BBAE" w14:textId="77777777" w:rsidR="000433C5" w:rsidRDefault="000433C5" w:rsidP="00603918">
      <w:pPr>
        <w:pStyle w:val="NormalWeb"/>
        <w:spacing w:before="200" w:beforeAutospacing="0" w:after="0" w:afterAutospacing="0" w:line="360" w:lineRule="auto"/>
        <w:jc w:val="both"/>
        <w:rPr>
          <w:rFonts w:ascii="Arial" w:eastAsiaTheme="minorEastAsia" w:hAnsi="Arial" w:cs="Arial"/>
          <w:color w:val="000000" w:themeColor="text1"/>
          <w:kern w:val="24"/>
          <w:sz w:val="22"/>
          <w:szCs w:val="22"/>
        </w:rPr>
      </w:pPr>
    </w:p>
    <w:p w14:paraId="42CDE969" w14:textId="77777777" w:rsidR="000433C5" w:rsidRDefault="000433C5" w:rsidP="00603918">
      <w:pPr>
        <w:pStyle w:val="NormalWeb"/>
        <w:spacing w:before="200" w:beforeAutospacing="0" w:after="0" w:afterAutospacing="0" w:line="360" w:lineRule="auto"/>
        <w:jc w:val="both"/>
        <w:rPr>
          <w:rFonts w:ascii="Arial" w:eastAsiaTheme="minorEastAsia" w:hAnsi="Arial" w:cs="Arial"/>
          <w:color w:val="000000" w:themeColor="text1"/>
          <w:kern w:val="24"/>
          <w:sz w:val="22"/>
          <w:szCs w:val="22"/>
        </w:rPr>
      </w:pPr>
    </w:p>
    <w:p w14:paraId="03779ACF" w14:textId="77777777" w:rsidR="000433C5" w:rsidRDefault="000433C5" w:rsidP="00603918">
      <w:pPr>
        <w:pStyle w:val="NormalWeb"/>
        <w:spacing w:before="200" w:beforeAutospacing="0" w:after="0" w:afterAutospacing="0" w:line="360" w:lineRule="auto"/>
        <w:jc w:val="both"/>
        <w:rPr>
          <w:rFonts w:ascii="Arial" w:eastAsiaTheme="minorEastAsia" w:hAnsi="Arial" w:cs="Arial"/>
          <w:color w:val="000000" w:themeColor="text1"/>
          <w:kern w:val="24"/>
          <w:sz w:val="22"/>
          <w:szCs w:val="22"/>
        </w:rPr>
      </w:pPr>
    </w:p>
    <w:p w14:paraId="611B15BA" w14:textId="77777777" w:rsidR="000433C5" w:rsidRPr="008966BC" w:rsidRDefault="000433C5" w:rsidP="00603918">
      <w:pPr>
        <w:pStyle w:val="NormalWeb"/>
        <w:spacing w:before="200" w:beforeAutospacing="0" w:after="0" w:afterAutospacing="0" w:line="360" w:lineRule="auto"/>
        <w:jc w:val="both"/>
        <w:rPr>
          <w:sz w:val="22"/>
          <w:szCs w:val="22"/>
        </w:rPr>
      </w:pPr>
    </w:p>
    <w:p w14:paraId="29F13D68" w14:textId="77777777" w:rsidR="004D5F96" w:rsidRPr="004D5F96" w:rsidRDefault="004D5F96" w:rsidP="00A627EA">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sidRPr="004D5F96">
        <w:rPr>
          <w:rFonts w:ascii="Arial" w:eastAsia="Times New Roman" w:hAnsi="Arial" w:cs="Arial"/>
          <w:b/>
          <w:bCs/>
          <w:kern w:val="36"/>
          <w:sz w:val="22"/>
          <w:szCs w:val="22"/>
          <w:lang w:eastAsia="en-GB"/>
          <w14:ligatures w14:val="none"/>
        </w:rPr>
        <w:lastRenderedPageBreak/>
        <w:t>Part A: Annotated Bibliography</w:t>
      </w:r>
    </w:p>
    <w:p w14:paraId="3506843B" w14:textId="5EB61165" w:rsidR="004D5F96" w:rsidRDefault="004D5F96" w:rsidP="008E798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4D5F96">
        <w:rPr>
          <w:rFonts w:ascii="Arial" w:eastAsia="Times New Roman" w:hAnsi="Arial" w:cs="Arial"/>
          <w:b/>
          <w:bCs/>
          <w:kern w:val="0"/>
          <w:sz w:val="22"/>
          <w:szCs w:val="22"/>
          <w:lang w:eastAsia="en-GB"/>
          <w14:ligatures w14:val="none"/>
        </w:rPr>
        <w:t>Bowlby’s Attachment Theory</w:t>
      </w:r>
    </w:p>
    <w:p w14:paraId="1932A418" w14:textId="77777777" w:rsidR="009916D7" w:rsidRDefault="00C16A91" w:rsidP="007A41F6">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16A91">
        <w:rPr>
          <w:rFonts w:ascii="Arial" w:eastAsia="Times New Roman" w:hAnsi="Arial" w:cs="Arial"/>
          <w:b/>
          <w:bCs/>
          <w:kern w:val="0"/>
          <w:sz w:val="22"/>
          <w:szCs w:val="22"/>
          <w:lang w:eastAsia="en-GB"/>
          <w14:ligatures w14:val="none"/>
        </w:rPr>
        <w:t>Annotated Reference</w:t>
      </w:r>
    </w:p>
    <w:p w14:paraId="491264C8" w14:textId="4927EEFA" w:rsidR="007A41F6" w:rsidRPr="00382713" w:rsidRDefault="00C16A91" w:rsidP="007A41F6">
      <w:pPr>
        <w:spacing w:before="100" w:beforeAutospacing="1" w:after="100" w:afterAutospacing="1" w:line="360" w:lineRule="auto"/>
        <w:rPr>
          <w:rFonts w:ascii="Arial" w:eastAsia="Times New Roman" w:hAnsi="Arial" w:cs="Arial"/>
          <w:kern w:val="0"/>
          <w:sz w:val="22"/>
          <w:szCs w:val="22"/>
          <w:lang w:eastAsia="en-GB"/>
          <w14:ligatures w14:val="none"/>
        </w:rPr>
      </w:pPr>
      <w:r w:rsidRPr="00C16A91">
        <w:rPr>
          <w:rFonts w:ascii="Arial" w:eastAsia="Times New Roman" w:hAnsi="Arial" w:cs="Arial"/>
          <w:kern w:val="0"/>
          <w:sz w:val="22"/>
          <w:szCs w:val="22"/>
          <w:lang w:eastAsia="en-GB"/>
          <w14:ligatures w14:val="none"/>
        </w:rPr>
        <w:t xml:space="preserve">Bowlby, J. (1988) </w:t>
      </w:r>
      <w:r w:rsidRPr="00C16A91">
        <w:rPr>
          <w:rFonts w:ascii="Arial" w:eastAsia="Times New Roman" w:hAnsi="Arial" w:cs="Arial"/>
          <w:i/>
          <w:iCs/>
          <w:kern w:val="0"/>
          <w:sz w:val="22"/>
          <w:szCs w:val="22"/>
          <w:lang w:eastAsia="en-GB"/>
          <w14:ligatures w14:val="none"/>
        </w:rPr>
        <w:t>A secure base: Parent-child attachment and healthy human development</w:t>
      </w:r>
      <w:r w:rsidRPr="00C16A91">
        <w:rPr>
          <w:rFonts w:ascii="Arial" w:eastAsia="Times New Roman" w:hAnsi="Arial" w:cs="Arial"/>
          <w:kern w:val="0"/>
          <w:sz w:val="22"/>
          <w:szCs w:val="22"/>
          <w:lang w:eastAsia="en-GB"/>
          <w14:ligatures w14:val="none"/>
        </w:rPr>
        <w:t>. London: Routledge.</w:t>
      </w:r>
      <w:r w:rsidR="007A41F6" w:rsidRPr="00382713">
        <w:rPr>
          <w:rFonts w:ascii="Arial" w:eastAsia="Times New Roman" w:hAnsi="Arial" w:cs="Arial"/>
          <w:kern w:val="0"/>
          <w:sz w:val="22"/>
          <w:szCs w:val="22"/>
          <w:lang w:eastAsia="en-GB"/>
          <w14:ligatures w14:val="none"/>
        </w:rPr>
        <w:t xml:space="preserve"> </w:t>
      </w:r>
    </w:p>
    <w:p w14:paraId="7C16238F" w14:textId="15B8652A" w:rsidR="00C16A91" w:rsidRPr="00C16A91" w:rsidRDefault="00382713" w:rsidP="00382713">
      <w:pPr>
        <w:spacing w:before="100" w:beforeAutospacing="1" w:after="100" w:afterAutospacing="1" w:line="360" w:lineRule="auto"/>
        <w:rPr>
          <w:rFonts w:ascii="Arial" w:eastAsia="Times New Roman" w:hAnsi="Arial" w:cs="Arial"/>
          <w:kern w:val="0"/>
          <w:sz w:val="22"/>
          <w:szCs w:val="22"/>
          <w:lang w:eastAsia="en-GB"/>
          <w14:ligatures w14:val="none"/>
        </w:rPr>
      </w:pPr>
      <w:r w:rsidRPr="00382713">
        <w:rPr>
          <w:sz w:val="22"/>
          <w:szCs w:val="22"/>
        </w:rPr>
        <w:t xml:space="preserve">Bowlby, J. (1977) ‘The making and breaking of affectional bonds’, </w:t>
      </w:r>
      <w:r w:rsidRPr="00382713">
        <w:rPr>
          <w:rStyle w:val="nfasis"/>
          <w:sz w:val="22"/>
          <w:szCs w:val="22"/>
        </w:rPr>
        <w:t>British Journal of Psychiatry</w:t>
      </w:r>
      <w:r w:rsidRPr="00382713">
        <w:rPr>
          <w:sz w:val="22"/>
          <w:szCs w:val="22"/>
        </w:rPr>
        <w:t>, 130(3), pp. 201–210.</w:t>
      </w:r>
    </w:p>
    <w:p w14:paraId="249B1557" w14:textId="77777777" w:rsidR="00ED21D6" w:rsidRDefault="004D5F96" w:rsidP="00ED21D6">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4D5F96">
        <w:rPr>
          <w:rFonts w:ascii="Arial" w:eastAsia="Times New Roman" w:hAnsi="Arial" w:cs="Arial"/>
          <w:b/>
          <w:bCs/>
          <w:kern w:val="0"/>
          <w:sz w:val="22"/>
          <w:szCs w:val="22"/>
          <w:lang w:eastAsia="en-GB"/>
          <w14:ligatures w14:val="none"/>
        </w:rPr>
        <w:t>Concise Summary of Key Arguments or Findings</w:t>
      </w:r>
    </w:p>
    <w:p w14:paraId="190C71E1" w14:textId="0250591E" w:rsidR="004D5F96" w:rsidRPr="006E4E0F" w:rsidRDefault="004D5F96" w:rsidP="00F1355B">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4D5F96">
        <w:rPr>
          <w:rFonts w:ascii="Arial" w:eastAsia="Times New Roman" w:hAnsi="Arial" w:cs="Arial"/>
          <w:kern w:val="0"/>
          <w:sz w:val="22"/>
          <w:szCs w:val="22"/>
          <w:lang w:eastAsia="en-GB"/>
          <w14:ligatures w14:val="none"/>
        </w:rPr>
        <w:t xml:space="preserve">Bowlby explains that attachment </w:t>
      </w:r>
      <w:r w:rsidR="006E2AE0">
        <w:rPr>
          <w:rFonts w:ascii="Arial" w:eastAsia="Times New Roman" w:hAnsi="Arial" w:cs="Arial"/>
          <w:kern w:val="0"/>
          <w:sz w:val="22"/>
          <w:szCs w:val="22"/>
          <w:lang w:eastAsia="en-GB"/>
          <w14:ligatures w14:val="none"/>
        </w:rPr>
        <w:t>is the emotional bond</w:t>
      </w:r>
      <w:r w:rsidRPr="004D5F96">
        <w:rPr>
          <w:rFonts w:ascii="Arial" w:eastAsia="Times New Roman" w:hAnsi="Arial" w:cs="Arial"/>
          <w:kern w:val="0"/>
          <w:sz w:val="22"/>
          <w:szCs w:val="22"/>
          <w:lang w:eastAsia="en-GB"/>
          <w14:ligatures w14:val="none"/>
        </w:rPr>
        <w:t xml:space="preserve"> formed between </w:t>
      </w:r>
      <w:r w:rsidR="005D36CF">
        <w:rPr>
          <w:rFonts w:ascii="Arial" w:eastAsia="Times New Roman" w:hAnsi="Arial" w:cs="Arial"/>
          <w:kern w:val="0"/>
          <w:sz w:val="22"/>
          <w:szCs w:val="22"/>
          <w:lang w:eastAsia="en-GB"/>
          <w14:ligatures w14:val="none"/>
        </w:rPr>
        <w:t>and individual</w:t>
      </w:r>
      <w:r w:rsidRPr="004D5F96">
        <w:rPr>
          <w:rFonts w:ascii="Arial" w:eastAsia="Times New Roman" w:hAnsi="Arial" w:cs="Arial"/>
          <w:kern w:val="0"/>
          <w:sz w:val="22"/>
          <w:szCs w:val="22"/>
          <w:lang w:eastAsia="en-GB"/>
          <w14:ligatures w14:val="none"/>
        </w:rPr>
        <w:t xml:space="preserve"> and </w:t>
      </w:r>
      <w:r w:rsidR="005D36CF">
        <w:rPr>
          <w:rFonts w:ascii="Arial" w:eastAsia="Times New Roman" w:hAnsi="Arial" w:cs="Arial"/>
          <w:kern w:val="0"/>
          <w:sz w:val="22"/>
          <w:szCs w:val="22"/>
          <w:lang w:eastAsia="en-GB"/>
          <w14:ligatures w14:val="none"/>
        </w:rPr>
        <w:t>an</w:t>
      </w:r>
      <w:r w:rsidRPr="004D5F96">
        <w:rPr>
          <w:rFonts w:ascii="Arial" w:eastAsia="Times New Roman" w:hAnsi="Arial" w:cs="Arial"/>
          <w:kern w:val="0"/>
          <w:sz w:val="22"/>
          <w:szCs w:val="22"/>
          <w:lang w:eastAsia="en-GB"/>
          <w14:ligatures w14:val="none"/>
        </w:rPr>
        <w:t xml:space="preserve"> important caregiver. He argues that secure attachment supports healthy psychological development by creating feelings of safety, trust, and confidence. Individuals who experience secure attachment are more likely to develop resilience, positive relationships, and effective coping skills. In contrast, insecure attachment may lead to anxiety, dependency, fear of abandonment, and difficulty managing stress. Bowlby also states that attachment patterns formed in early life can continue into adulthood and influence responses to relationships, separation, change, and loss. Emotional security remains important throughout the lifespan and can affect how people cope with later challenges.</w:t>
      </w:r>
    </w:p>
    <w:p w14:paraId="0B042F31" w14:textId="57974B4A" w:rsidR="00702259" w:rsidRDefault="00702259" w:rsidP="00A627EA">
      <w:pPr>
        <w:spacing w:before="100" w:beforeAutospacing="1" w:after="100" w:afterAutospacing="1" w:line="360" w:lineRule="auto"/>
        <w:jc w:val="both"/>
        <w:rPr>
          <w:rFonts w:ascii="Arial" w:hAnsi="Arial" w:cs="Arial"/>
          <w:sz w:val="22"/>
          <w:szCs w:val="22"/>
        </w:rPr>
      </w:pPr>
      <w:r w:rsidRPr="008F7FDD">
        <w:rPr>
          <w:rStyle w:val="Fuerte"/>
          <w:rFonts w:ascii="Arial" w:hAnsi="Arial" w:cs="Arial"/>
          <w:sz w:val="22"/>
          <w:szCs w:val="22"/>
        </w:rPr>
        <w:t>Crit</w:t>
      </w:r>
      <w:r w:rsidR="00605C53">
        <w:rPr>
          <w:rStyle w:val="Fuerte"/>
          <w:rFonts w:ascii="Arial" w:hAnsi="Arial" w:cs="Arial"/>
          <w:sz w:val="22"/>
          <w:szCs w:val="22"/>
        </w:rPr>
        <w:t>ical</w:t>
      </w:r>
      <w:r w:rsidR="00BD5A45">
        <w:rPr>
          <w:rStyle w:val="Fuerte"/>
          <w:rFonts w:ascii="Arial" w:hAnsi="Arial" w:cs="Arial"/>
          <w:sz w:val="22"/>
          <w:szCs w:val="22"/>
        </w:rPr>
        <w:t xml:space="preserve"> Comment on Relevance to Supporting Older Adults</w:t>
      </w:r>
      <w:r w:rsidRPr="008F7FDD">
        <w:rPr>
          <w:rStyle w:val="Fuerte"/>
          <w:rFonts w:ascii="Arial" w:hAnsi="Arial" w:cs="Arial"/>
          <w:sz w:val="22"/>
          <w:szCs w:val="22"/>
        </w:rPr>
        <w:t xml:space="preserve"> in Health and Social Care Settings</w:t>
      </w:r>
      <w:r w:rsidRPr="008F7FDD">
        <w:rPr>
          <w:rFonts w:ascii="Arial" w:hAnsi="Arial" w:cs="Arial"/>
          <w:sz w:val="22"/>
          <w:szCs w:val="22"/>
        </w:rPr>
        <w:br/>
        <w:t xml:space="preserve">This source is highly relevant because older adults often face bereavement, illness, disability, reduced independence, and relocation into residential care. These life changes may create emotional insecurity and distress. Bowlby’s theory helps professionals understand why trust, reassurance, and supportive relationships are essential in care settings. Consistent staff members, familiar routines, and compassionate communication can reduce anxiety and improve wellbeing. Staff who understand attachment needs may respond more effectively to behaviours such as fear, anger, confusion, or withdrawal. The theory also supports person-centred care because it recognises emotional history and individual needs. A limitation is that Bowlby focuses strongly on childhood experiences and may not fully recognise resilience, learning, and adaptation in later life. However, it remains valuable for relationship-based and emotionally supportive practice. In addition, strong therapeutic relationships can encourage cooperation with care plans, improve communication, and reduce feelings of loneliness. This </w:t>
      </w:r>
      <w:r w:rsidRPr="008F7FDD">
        <w:rPr>
          <w:rFonts w:ascii="Arial" w:hAnsi="Arial" w:cs="Arial"/>
          <w:sz w:val="22"/>
          <w:szCs w:val="22"/>
        </w:rPr>
        <w:lastRenderedPageBreak/>
        <w:t>may lead to better mental health outcomes, greater confidence, and a stronger sense of security for residents adjusting to new care environments and unfamiliar daily routines.</w:t>
      </w:r>
    </w:p>
    <w:p w14:paraId="3010A33C" w14:textId="77777777" w:rsidR="006E4E0F" w:rsidRPr="004D5F96" w:rsidRDefault="006E4E0F" w:rsidP="00A627EA">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CF40DB8" w14:textId="77777777" w:rsidR="00D9207C" w:rsidRPr="00D9207C" w:rsidRDefault="00D9207C" w:rsidP="00A627EA">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D9207C">
        <w:rPr>
          <w:rFonts w:ascii="Arial" w:eastAsia="Times New Roman" w:hAnsi="Arial" w:cs="Arial"/>
          <w:b/>
          <w:bCs/>
          <w:kern w:val="0"/>
          <w:sz w:val="22"/>
          <w:szCs w:val="22"/>
          <w:lang w:eastAsia="en-GB"/>
          <w14:ligatures w14:val="none"/>
        </w:rPr>
        <w:t>Maslow’s Hierarchy of Needs</w:t>
      </w:r>
    </w:p>
    <w:p w14:paraId="187FB1B8" w14:textId="77777777" w:rsidR="00857FA1" w:rsidRDefault="00B80B2F" w:rsidP="00B80B2F">
      <w:pPr>
        <w:spacing w:before="100" w:beforeAutospacing="1" w:after="100" w:afterAutospacing="1" w:line="360" w:lineRule="auto"/>
        <w:outlineLvl w:val="2"/>
      </w:pPr>
      <w:r>
        <w:rPr>
          <w:rStyle w:val="Fuerte"/>
        </w:rPr>
        <w:t>Annotated Reference</w:t>
      </w:r>
      <w:r>
        <w:br/>
        <w:t xml:space="preserve">Maslow, A.H. (1954) </w:t>
      </w:r>
      <w:r>
        <w:rPr>
          <w:rStyle w:val="nfasis"/>
        </w:rPr>
        <w:t>Motivation and personality</w:t>
      </w:r>
      <w:r>
        <w:t xml:space="preserve">. New York: Harper &amp; Row. </w:t>
      </w:r>
    </w:p>
    <w:p w14:paraId="60F7AAF6" w14:textId="023B486D" w:rsidR="006E4E0F" w:rsidRPr="000433C5" w:rsidRDefault="00857FA1" w:rsidP="00B80B2F">
      <w:pPr>
        <w:spacing w:before="100" w:beforeAutospacing="1" w:after="100" w:afterAutospacing="1" w:line="360" w:lineRule="auto"/>
        <w:outlineLvl w:val="2"/>
      </w:pPr>
      <w:r>
        <w:t xml:space="preserve">Maslow, A.H. (1943) ‘A theory of human motivation’, </w:t>
      </w:r>
      <w:r>
        <w:rPr>
          <w:rStyle w:val="nfasis"/>
        </w:rPr>
        <w:t>Psychological Review</w:t>
      </w:r>
      <w:r>
        <w:t>, 50(4), pp. 370–396.</w:t>
      </w:r>
    </w:p>
    <w:p w14:paraId="6BC8EF1E" w14:textId="77777777" w:rsidR="00BB4681" w:rsidRDefault="00AA29C0" w:rsidP="00BB4681">
      <w:pPr>
        <w:pStyle w:val="NormalWeb"/>
        <w:spacing w:line="360" w:lineRule="auto"/>
        <w:rPr>
          <w:rStyle w:val="Fuerte"/>
          <w:rFonts w:ascii="Arial" w:eastAsiaTheme="majorEastAsia" w:hAnsi="Arial" w:cs="Arial"/>
          <w:sz w:val="22"/>
          <w:szCs w:val="22"/>
        </w:rPr>
      </w:pPr>
      <w:r w:rsidRPr="008F7FDD">
        <w:rPr>
          <w:rStyle w:val="Fuerte"/>
          <w:rFonts w:ascii="Arial" w:eastAsiaTheme="majorEastAsia" w:hAnsi="Arial" w:cs="Arial"/>
          <w:sz w:val="22"/>
          <w:szCs w:val="22"/>
        </w:rPr>
        <w:t>Concise Summary of Key Arguments or Findings</w:t>
      </w:r>
    </w:p>
    <w:p w14:paraId="4B390CB3" w14:textId="1F324865" w:rsidR="00AA29C0" w:rsidRPr="00BB4681" w:rsidRDefault="00AA29C0" w:rsidP="000433C5">
      <w:pPr>
        <w:pStyle w:val="NormalWeb"/>
        <w:spacing w:line="360" w:lineRule="auto"/>
        <w:jc w:val="both"/>
        <w:rPr>
          <w:rStyle w:val="Fuerte"/>
          <w:rFonts w:ascii="Arial" w:eastAsiaTheme="majorEastAsia" w:hAnsi="Arial" w:cs="Arial"/>
          <w:sz w:val="22"/>
          <w:szCs w:val="22"/>
        </w:rPr>
      </w:pPr>
      <w:r w:rsidRPr="008F7FDD">
        <w:rPr>
          <w:rFonts w:ascii="Arial" w:hAnsi="Arial" w:cs="Arial"/>
          <w:sz w:val="22"/>
          <w:szCs w:val="22"/>
        </w:rPr>
        <w:t>Maslow proposes that h</w:t>
      </w:r>
      <w:r w:rsidR="00A84845">
        <w:rPr>
          <w:rFonts w:ascii="Arial" w:hAnsi="Arial" w:cs="Arial"/>
          <w:sz w:val="22"/>
          <w:szCs w:val="22"/>
        </w:rPr>
        <w:t>uman needs are</w:t>
      </w:r>
      <w:r w:rsidRPr="008F7FDD">
        <w:rPr>
          <w:rFonts w:ascii="Arial" w:hAnsi="Arial" w:cs="Arial"/>
          <w:sz w:val="22"/>
          <w:szCs w:val="22"/>
        </w:rPr>
        <w:t xml:space="preserve"> organised </w:t>
      </w:r>
      <w:r w:rsidR="00BF27C5">
        <w:rPr>
          <w:rFonts w:ascii="Arial" w:hAnsi="Arial" w:cs="Arial"/>
          <w:sz w:val="22"/>
          <w:szCs w:val="22"/>
        </w:rPr>
        <w:t>in a</w:t>
      </w:r>
      <w:r w:rsidRPr="008F7FDD">
        <w:rPr>
          <w:rFonts w:ascii="Arial" w:hAnsi="Arial" w:cs="Arial"/>
          <w:sz w:val="22"/>
          <w:szCs w:val="22"/>
        </w:rPr>
        <w:t xml:space="preserve"> hierarchy that includes physiological needs, safety, love and belonging, </w:t>
      </w:r>
      <w:r w:rsidR="005E6BD9">
        <w:rPr>
          <w:rFonts w:ascii="Arial" w:hAnsi="Arial" w:cs="Arial"/>
          <w:sz w:val="22"/>
          <w:szCs w:val="22"/>
        </w:rPr>
        <w:t>esteem, and self-actualisation</w:t>
      </w:r>
      <w:r w:rsidRPr="008F7FDD">
        <w:rPr>
          <w:rFonts w:ascii="Arial" w:hAnsi="Arial" w:cs="Arial"/>
          <w:sz w:val="22"/>
          <w:szCs w:val="22"/>
        </w:rPr>
        <w:t xml:space="preserve">. He argues </w:t>
      </w:r>
      <w:r w:rsidR="005E6BD9">
        <w:rPr>
          <w:rFonts w:ascii="Arial" w:hAnsi="Arial" w:cs="Arial"/>
          <w:sz w:val="22"/>
          <w:szCs w:val="22"/>
        </w:rPr>
        <w:t>that individuals</w:t>
      </w:r>
      <w:r w:rsidRPr="008F7FDD">
        <w:rPr>
          <w:rFonts w:ascii="Arial" w:hAnsi="Arial" w:cs="Arial"/>
          <w:sz w:val="22"/>
          <w:szCs w:val="22"/>
        </w:rPr>
        <w:t xml:space="preserve"> are </w:t>
      </w:r>
      <w:r w:rsidR="008E7D57">
        <w:rPr>
          <w:rFonts w:ascii="Arial" w:hAnsi="Arial" w:cs="Arial"/>
          <w:sz w:val="22"/>
          <w:szCs w:val="22"/>
        </w:rPr>
        <w:t>motivated to</w:t>
      </w:r>
      <w:r w:rsidRPr="008F7FDD">
        <w:rPr>
          <w:rFonts w:ascii="Arial" w:hAnsi="Arial" w:cs="Arial"/>
          <w:sz w:val="22"/>
          <w:szCs w:val="22"/>
        </w:rPr>
        <w:t xml:space="preserve"> satisfy basic</w:t>
      </w:r>
      <w:r w:rsidR="009D3D35">
        <w:rPr>
          <w:rFonts w:ascii="Arial" w:hAnsi="Arial" w:cs="Arial"/>
          <w:sz w:val="22"/>
          <w:szCs w:val="22"/>
        </w:rPr>
        <w:t xml:space="preserve"> needs before progressing</w:t>
      </w:r>
      <w:r w:rsidRPr="008F7FDD">
        <w:rPr>
          <w:rFonts w:ascii="Arial" w:hAnsi="Arial" w:cs="Arial"/>
          <w:sz w:val="22"/>
          <w:szCs w:val="22"/>
        </w:rPr>
        <w:t xml:space="preserve"> towards </w:t>
      </w:r>
      <w:r w:rsidR="0000017C">
        <w:rPr>
          <w:rFonts w:ascii="Arial" w:hAnsi="Arial" w:cs="Arial"/>
          <w:sz w:val="22"/>
          <w:szCs w:val="22"/>
        </w:rPr>
        <w:t>higher psychological</w:t>
      </w:r>
      <w:r w:rsidRPr="008F7FDD">
        <w:rPr>
          <w:rFonts w:ascii="Arial" w:hAnsi="Arial" w:cs="Arial"/>
          <w:sz w:val="22"/>
          <w:szCs w:val="22"/>
        </w:rPr>
        <w:t xml:space="preserve"> needs. Physiological needs include food, rest, warmth, and health. </w:t>
      </w:r>
      <w:r w:rsidR="0075671F">
        <w:rPr>
          <w:rFonts w:ascii="Arial" w:hAnsi="Arial" w:cs="Arial"/>
          <w:sz w:val="22"/>
          <w:szCs w:val="22"/>
        </w:rPr>
        <w:t>Safety needs involve protection</w:t>
      </w:r>
      <w:r w:rsidRPr="008F7FDD">
        <w:rPr>
          <w:rFonts w:ascii="Arial" w:hAnsi="Arial" w:cs="Arial"/>
          <w:sz w:val="22"/>
          <w:szCs w:val="22"/>
        </w:rPr>
        <w:t xml:space="preserve">, security, </w:t>
      </w:r>
      <w:r w:rsidR="001C0F82">
        <w:rPr>
          <w:rFonts w:ascii="Arial" w:hAnsi="Arial" w:cs="Arial"/>
          <w:sz w:val="22"/>
          <w:szCs w:val="22"/>
        </w:rPr>
        <w:t>and</w:t>
      </w:r>
      <w:r w:rsidRPr="008F7FDD">
        <w:rPr>
          <w:rFonts w:ascii="Arial" w:hAnsi="Arial" w:cs="Arial"/>
          <w:sz w:val="22"/>
          <w:szCs w:val="22"/>
        </w:rPr>
        <w:t xml:space="preserve"> stability. </w:t>
      </w:r>
      <w:r w:rsidR="001C0F82">
        <w:rPr>
          <w:rFonts w:ascii="Arial" w:hAnsi="Arial" w:cs="Arial"/>
          <w:sz w:val="22"/>
          <w:szCs w:val="22"/>
        </w:rPr>
        <w:t>Belonging</w:t>
      </w:r>
      <w:r w:rsidRPr="008F7FDD">
        <w:rPr>
          <w:rFonts w:ascii="Arial" w:hAnsi="Arial" w:cs="Arial"/>
          <w:sz w:val="22"/>
          <w:szCs w:val="22"/>
        </w:rPr>
        <w:t xml:space="preserve"> includes friendship, family connection, and acceptance. Esteem relates to confidence, achievement, independence, and respect from others. Self-actualisation refers to fulfilment, meaning, creativity, and reaching personal potential. Maslow further explains that development continues throughout adulthood and that people seek purpose, dignity, and value across the lifespan. He also suggests that unmet needs can affect motivation, behaviour, emotional wellbeing, and personal satisfaction. The model aims to explain how individuals grow, adapt, and pursue meaningful goals during different life stages and experiences.</w:t>
      </w:r>
    </w:p>
    <w:p w14:paraId="42620E79" w14:textId="4EDEE6E5" w:rsidR="005675F2" w:rsidRDefault="00361DD2" w:rsidP="00741096">
      <w:pPr>
        <w:pStyle w:val="NormalWeb"/>
        <w:spacing w:line="360" w:lineRule="auto"/>
        <w:jc w:val="both"/>
        <w:rPr>
          <w:rFonts w:ascii="Arial" w:hAnsi="Arial" w:cs="Arial"/>
          <w:sz w:val="22"/>
          <w:szCs w:val="22"/>
        </w:rPr>
      </w:pPr>
      <w:r w:rsidRPr="008F7FDD">
        <w:rPr>
          <w:rStyle w:val="Fuerte"/>
          <w:rFonts w:ascii="Arial" w:eastAsiaTheme="majorEastAsia" w:hAnsi="Arial" w:cs="Arial"/>
          <w:sz w:val="22"/>
          <w:szCs w:val="22"/>
        </w:rPr>
        <w:t xml:space="preserve">Critical </w:t>
      </w:r>
      <w:r w:rsidR="00296082">
        <w:rPr>
          <w:rStyle w:val="Fuerte"/>
          <w:rFonts w:ascii="Arial" w:eastAsiaTheme="majorEastAsia" w:hAnsi="Arial" w:cs="Arial"/>
          <w:sz w:val="22"/>
          <w:szCs w:val="22"/>
        </w:rPr>
        <w:t>Comment on Relevance</w:t>
      </w:r>
      <w:r w:rsidRPr="008F7FDD">
        <w:rPr>
          <w:rStyle w:val="Fuerte"/>
          <w:rFonts w:ascii="Arial" w:eastAsiaTheme="majorEastAsia" w:hAnsi="Arial" w:cs="Arial"/>
          <w:sz w:val="22"/>
          <w:szCs w:val="22"/>
        </w:rPr>
        <w:t xml:space="preserve"> to Supporting Older Adults in Health and </w:t>
      </w:r>
      <w:r w:rsidR="00AB6C4C">
        <w:rPr>
          <w:rStyle w:val="Fuerte"/>
          <w:rFonts w:ascii="Arial" w:eastAsiaTheme="majorEastAsia" w:hAnsi="Arial" w:cs="Arial"/>
          <w:sz w:val="22"/>
          <w:szCs w:val="22"/>
        </w:rPr>
        <w:t>Social Care</w:t>
      </w:r>
      <w:r w:rsidRPr="008F7FDD">
        <w:rPr>
          <w:rStyle w:val="Fuerte"/>
          <w:rFonts w:ascii="Arial" w:eastAsiaTheme="majorEastAsia" w:hAnsi="Arial" w:cs="Arial"/>
          <w:sz w:val="22"/>
          <w:szCs w:val="22"/>
        </w:rPr>
        <w:t xml:space="preserve"> Settings</w:t>
      </w:r>
      <w:r w:rsidRPr="008F7FDD">
        <w:rPr>
          <w:rFonts w:ascii="Arial" w:hAnsi="Arial" w:cs="Arial"/>
          <w:sz w:val="22"/>
          <w:szCs w:val="22"/>
        </w:rPr>
        <w:br/>
        <w:t xml:space="preserve">This source is highly relevant because it supports a holistic approach to care for older adults. In residential settings, professionals must meet physical needs such as nutrition, hygiene, comfort, medication, and safety, but also emotional and social needs. Encouraging friendships, respecting personal choices, supporting hobbies, and promoting independence can improve confidence and wellbeing. Meaningful activities such as gardening, music, reading, faith practice, or community involvement may help residents maintain identity and purpose. Maslow’s theory reminds staff to see the whole person rather than only medical needs or physical limitations. It can guide care planning by helping workers identify unmet </w:t>
      </w:r>
      <w:r w:rsidRPr="008F7FDD">
        <w:rPr>
          <w:rFonts w:ascii="Arial" w:hAnsi="Arial" w:cs="Arial"/>
          <w:sz w:val="22"/>
          <w:szCs w:val="22"/>
        </w:rPr>
        <w:lastRenderedPageBreak/>
        <w:t>needs that may affect behaviour, motivation, or mood. A limitation is that people do not always meet needs in a fixed order, and priorities may differ between individuals or cultures. Despite this, the model remains practical, clear, and widely useful for person-centred care planning and promoting positive ageing. Furthermore, the theory can help staff review whether residents feel respected, included, and able to make choices about daily life. When these higher needs are supported, older adults may experience greater satisfaction, stronger self-esteem, reduced loneliness, and better emotional resilience. This can also improve cooperation with care, participation in activities, and overall quality of life within residential environments that value dignity and independence daily.</w:t>
      </w:r>
    </w:p>
    <w:p w14:paraId="31F82A8F" w14:textId="77777777" w:rsidR="00741096" w:rsidRPr="00741096" w:rsidRDefault="00741096" w:rsidP="00741096">
      <w:pPr>
        <w:pStyle w:val="NormalWeb"/>
        <w:spacing w:line="360" w:lineRule="auto"/>
        <w:jc w:val="both"/>
        <w:rPr>
          <w:rFonts w:ascii="Arial" w:hAnsi="Arial" w:cs="Arial"/>
          <w:sz w:val="22"/>
          <w:szCs w:val="22"/>
        </w:rPr>
      </w:pPr>
    </w:p>
    <w:p w14:paraId="7F6CA94A" w14:textId="240A8376" w:rsidR="000D7201" w:rsidRPr="000D7201" w:rsidRDefault="000D7201" w:rsidP="00FE5937">
      <w:pPr>
        <w:spacing w:before="100" w:beforeAutospacing="1" w:after="100" w:afterAutospacing="1" w:line="360" w:lineRule="auto"/>
        <w:jc w:val="both"/>
        <w:outlineLvl w:val="0"/>
        <w:rPr>
          <w:rFonts w:ascii="Arial" w:eastAsia="Times New Roman" w:hAnsi="Arial" w:cs="Arial"/>
          <w:b/>
          <w:bCs/>
          <w:kern w:val="36"/>
          <w:sz w:val="22"/>
          <w:szCs w:val="22"/>
          <w:lang w:eastAsia="en-GB"/>
          <w14:ligatures w14:val="none"/>
        </w:rPr>
      </w:pPr>
      <w:r w:rsidRPr="000D7201">
        <w:rPr>
          <w:rFonts w:ascii="Arial" w:eastAsia="Times New Roman" w:hAnsi="Arial" w:cs="Arial"/>
          <w:b/>
          <w:bCs/>
          <w:kern w:val="36"/>
          <w:sz w:val="22"/>
          <w:szCs w:val="22"/>
          <w:lang w:eastAsia="en-GB"/>
          <w14:ligatures w14:val="none"/>
        </w:rPr>
        <w:t>Part B: Short Report</w:t>
      </w:r>
    </w:p>
    <w:p w14:paraId="06A775A5" w14:textId="755DB3CD" w:rsidR="000D7201" w:rsidRPr="000D7201" w:rsidRDefault="000D7201" w:rsidP="00FE593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0D7201">
        <w:rPr>
          <w:rFonts w:ascii="Arial" w:eastAsia="Times New Roman" w:hAnsi="Arial" w:cs="Arial"/>
          <w:b/>
          <w:bCs/>
          <w:kern w:val="0"/>
          <w:sz w:val="22"/>
          <w:szCs w:val="22"/>
          <w:lang w:eastAsia="en-GB"/>
          <w14:ligatures w14:val="none"/>
        </w:rPr>
        <w:t xml:space="preserve">Improving Psychological Wellbeing in Older Adults Using Maslow’s </w:t>
      </w:r>
      <w:r w:rsidR="00FA7D22">
        <w:rPr>
          <w:rFonts w:ascii="Arial" w:eastAsia="Times New Roman" w:hAnsi="Arial" w:cs="Arial"/>
          <w:b/>
          <w:bCs/>
          <w:kern w:val="0"/>
          <w:sz w:val="22"/>
          <w:szCs w:val="22"/>
          <w:lang w:eastAsia="en-GB"/>
          <w14:ligatures w14:val="none"/>
        </w:rPr>
        <w:t>Hierarchy of Needs</w:t>
      </w:r>
    </w:p>
    <w:p w14:paraId="2CB6856C" w14:textId="77777777" w:rsidR="000D7201" w:rsidRPr="000D7201" w:rsidRDefault="000D7201" w:rsidP="00FE593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0D7201">
        <w:rPr>
          <w:rFonts w:ascii="Arial" w:eastAsia="Times New Roman" w:hAnsi="Arial" w:cs="Arial"/>
          <w:b/>
          <w:bCs/>
          <w:kern w:val="0"/>
          <w:sz w:val="22"/>
          <w:szCs w:val="22"/>
          <w:lang w:eastAsia="en-GB"/>
          <w14:ligatures w14:val="none"/>
        </w:rPr>
        <w:t>Introduction</w:t>
      </w:r>
    </w:p>
    <w:p w14:paraId="7129507B" w14:textId="0EEECBE2"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Psychological wellbeing is an essential aspect of care for older adults living in residential care homes. While physical health needs are often prioritised, emotional and social wellbeing are equally important for maintaining quali</w:t>
      </w:r>
      <w:r w:rsidR="00A03C24">
        <w:rPr>
          <w:rFonts w:ascii="Arial" w:eastAsia="Times New Roman" w:hAnsi="Arial" w:cs="Arial"/>
          <w:kern w:val="0"/>
          <w:sz w:val="22"/>
          <w:szCs w:val="22"/>
          <w:lang w:eastAsia="en-GB"/>
          <w14:ligatures w14:val="none"/>
        </w:rPr>
        <w:t>ty of life</w:t>
      </w:r>
      <w:r w:rsidRPr="000D7201">
        <w:rPr>
          <w:rFonts w:ascii="Arial" w:eastAsia="Times New Roman" w:hAnsi="Arial" w:cs="Arial"/>
          <w:kern w:val="0"/>
          <w:sz w:val="22"/>
          <w:szCs w:val="22"/>
          <w:lang w:eastAsia="en-GB"/>
          <w14:ligatures w14:val="none"/>
        </w:rPr>
        <w:t>. Maslow’s hi</w:t>
      </w:r>
      <w:r w:rsidR="00CF6233">
        <w:rPr>
          <w:rFonts w:ascii="Arial" w:eastAsia="Times New Roman" w:hAnsi="Arial" w:cs="Arial"/>
          <w:kern w:val="0"/>
          <w:sz w:val="22"/>
          <w:szCs w:val="22"/>
          <w:lang w:eastAsia="en-GB"/>
          <w14:ligatures w14:val="none"/>
        </w:rPr>
        <w:t>erarchy</w:t>
      </w:r>
      <w:r w:rsidRPr="000D7201">
        <w:rPr>
          <w:rFonts w:ascii="Arial" w:eastAsia="Times New Roman" w:hAnsi="Arial" w:cs="Arial"/>
          <w:kern w:val="0"/>
          <w:sz w:val="22"/>
          <w:szCs w:val="22"/>
          <w:lang w:eastAsia="en-GB"/>
          <w14:ligatures w14:val="none"/>
        </w:rPr>
        <w:t xml:space="preserve"> of needs provides a useful framework for </w:t>
      </w:r>
      <w:r w:rsidR="00F75720">
        <w:rPr>
          <w:rFonts w:ascii="Arial" w:eastAsia="Times New Roman" w:hAnsi="Arial" w:cs="Arial"/>
          <w:kern w:val="0"/>
          <w:sz w:val="22"/>
          <w:szCs w:val="22"/>
          <w:lang w:eastAsia="en-GB"/>
          <w14:ligatures w14:val="none"/>
        </w:rPr>
        <w:t>understanding</w:t>
      </w:r>
      <w:r w:rsidRPr="000D7201">
        <w:rPr>
          <w:rFonts w:ascii="Arial" w:eastAsia="Times New Roman" w:hAnsi="Arial" w:cs="Arial"/>
          <w:kern w:val="0"/>
          <w:sz w:val="22"/>
          <w:szCs w:val="22"/>
          <w:lang w:eastAsia="en-GB"/>
          <w14:ligatures w14:val="none"/>
        </w:rPr>
        <w:t xml:space="preserve"> </w:t>
      </w:r>
      <w:r w:rsidR="00CF05BD">
        <w:rPr>
          <w:rFonts w:ascii="Arial" w:eastAsia="Times New Roman" w:hAnsi="Arial" w:cs="Arial"/>
          <w:kern w:val="0"/>
          <w:sz w:val="22"/>
          <w:szCs w:val="22"/>
          <w:lang w:eastAsia="en-GB"/>
          <w14:ligatures w14:val="none"/>
        </w:rPr>
        <w:t>how different</w:t>
      </w:r>
      <w:r w:rsidRPr="000D7201">
        <w:rPr>
          <w:rFonts w:ascii="Arial" w:eastAsia="Times New Roman" w:hAnsi="Arial" w:cs="Arial"/>
          <w:kern w:val="0"/>
          <w:sz w:val="22"/>
          <w:szCs w:val="22"/>
          <w:lang w:eastAsia="en-GB"/>
          <w14:ligatures w14:val="none"/>
        </w:rPr>
        <w:t xml:space="preserve"> levels of need influence wellbeing. Maslow (1943) explains that individuals have five levels of needs: physiological, safety, love and belonging, esteem, and self-actualisation. This report explains how Maslow’s theory can be applied to improve psychological wellbeing in older adults living in residential care. It includes a case example and discusses a challenge faced by professionals alongside a practical strategy to address it effectively in everyday care practice.</w:t>
      </w:r>
    </w:p>
    <w:p w14:paraId="26C45AF0" w14:textId="77777777" w:rsidR="000D7201" w:rsidRPr="000D7201" w:rsidRDefault="000D7201" w:rsidP="00FE593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0D7201">
        <w:rPr>
          <w:rFonts w:ascii="Arial" w:eastAsia="Times New Roman" w:hAnsi="Arial" w:cs="Arial"/>
          <w:b/>
          <w:bCs/>
          <w:kern w:val="0"/>
          <w:sz w:val="22"/>
          <w:szCs w:val="22"/>
          <w:lang w:eastAsia="en-GB"/>
          <w14:ligatures w14:val="none"/>
        </w:rPr>
        <w:t>Main Body</w:t>
      </w:r>
    </w:p>
    <w:p w14:paraId="55E17BC2" w14:textId="77777777"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Maslow’s theory supports a holistic approach to care by encouraging professionals to consider the whole person rather than focusing only on physical health. In residential care, physiological needs include food, hydration, hygiene, medication, and comfort. Safety needs involve protection, predictable routines, and feeling secure within the environment. However, psychological wellbeing depends on meeting higher-level needs such as belonging, esteem, and personal fulfilment (Maslow, 1954).</w:t>
      </w:r>
    </w:p>
    <w:p w14:paraId="4655A1C2" w14:textId="77777777"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 xml:space="preserve">Belonging is particularly important for older adults, as many experience loneliness due to bereavement, reduced independence, or separation from family members. Care staff can </w:t>
      </w:r>
      <w:r w:rsidRPr="000D7201">
        <w:rPr>
          <w:rFonts w:ascii="Arial" w:eastAsia="Times New Roman" w:hAnsi="Arial" w:cs="Arial"/>
          <w:kern w:val="0"/>
          <w:sz w:val="22"/>
          <w:szCs w:val="22"/>
          <w:lang w:eastAsia="en-GB"/>
          <w14:ligatures w14:val="none"/>
        </w:rPr>
        <w:lastRenderedPageBreak/>
        <w:t>support this need by encouraging social interaction, group activities, and meaningful relationships with other residents and staff. Esteem needs can be met by promoting independence, respecting personal choices, and recognising individual preferences. For example, allowing residents to choose their daily routine, clothing, or activities can help maintain dignity and confidence. Self-actualisation can be supported through hobbies, interests, and activities that provide a sense of purpose and identity.</w:t>
      </w:r>
    </w:p>
    <w:p w14:paraId="5E2B78F9" w14:textId="77777777"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This approach aligns with person-centred care principles. Kitwood (1997) highlights the importance of dignity, identity, and emotional support when working with older adults, particularly those experiencing cognitive decline. Nolan et al. (2004) also emphasise the importance of relationships and positive interactions in improving wellbeing. Therefore, applying Maslow’s theory means integrating emotional and social support into everyday care practices rather than treating them as separate from physical care tasks.</w:t>
      </w:r>
    </w:p>
    <w:p w14:paraId="44CCDF12" w14:textId="77777777"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A practical example is Mrs Evans, an 84-year-old resident who moved into a care home following a fall and a period in hospital. Although her physical needs were met, she became withdrawn, showed low mood, and avoided social interaction. Using Maslow’s framework, staff identified that her belonging and esteem needs were not being met. They encouraged her to join small group activities and reintroduced her interest in gardening. Staff also involved her in decisions about her daily routine to promote independence and personal choice.</w:t>
      </w:r>
    </w:p>
    <w:p w14:paraId="02967DA0" w14:textId="77777777"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Over time, Mrs Evans became more engaged, developed friendships, and showed improved mood and confidence. This demonstrates how meeting higher-level needs can improve psychological wellbeing. It also shows that small changes, such as social interaction and choice, can have a meaningful and lasting positive impact on residents.</w:t>
      </w:r>
    </w:p>
    <w:p w14:paraId="625E0C8F" w14:textId="77777777" w:rsidR="000D7201" w:rsidRP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One challenge when applying Maslow’s theory is limited time and staffing within care settings. Care workers may prioritise physical care tasks due to workload pressures, leaving less time for emotional support and social interaction. Wahba and Bridwell (1976) argue that Maslow’s hierarchy should not be applied rigidly, as individuals may prioritise needs differently depending on personal circumstances.</w:t>
      </w:r>
    </w:p>
    <w:p w14:paraId="4D14B4F3" w14:textId="77777777" w:rsidR="000D7201" w:rsidRDefault="000D7201" w:rsidP="00FE593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0D7201">
        <w:rPr>
          <w:rFonts w:ascii="Arial" w:eastAsia="Times New Roman" w:hAnsi="Arial" w:cs="Arial"/>
          <w:kern w:val="0"/>
          <w:sz w:val="22"/>
          <w:szCs w:val="22"/>
          <w:lang w:eastAsia="en-GB"/>
          <w14:ligatures w14:val="none"/>
        </w:rPr>
        <w:t>A practical strategy to overcome this challenge is to integrate emotional support into daily routines. For example, staff can engage residents in meaningful conversation during personal care or encourage interaction during meals. Training staff to understand the importance of holistic care can also improve practice. This ensures that psychological wellbeing is supported alongside physical health without requiring significant additional time or resources.</w:t>
      </w:r>
    </w:p>
    <w:p w14:paraId="02CB5A5B" w14:textId="77777777" w:rsidR="00603918" w:rsidRDefault="00603918" w:rsidP="00FE5937">
      <w:p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p>
    <w:p w14:paraId="661A79BB" w14:textId="480BABD1" w:rsidR="000D7201" w:rsidRPr="000D7201" w:rsidRDefault="000D7201" w:rsidP="00FE593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0D7201">
        <w:rPr>
          <w:rFonts w:ascii="Arial" w:eastAsia="Times New Roman" w:hAnsi="Arial" w:cs="Arial"/>
          <w:b/>
          <w:bCs/>
          <w:kern w:val="0"/>
          <w:sz w:val="22"/>
          <w:szCs w:val="22"/>
          <w:lang w:eastAsia="en-GB"/>
          <w14:ligatures w14:val="none"/>
        </w:rPr>
        <w:t>Conclusion</w:t>
      </w:r>
    </w:p>
    <w:p w14:paraId="586B5BCC" w14:textId="77777777" w:rsidR="00FE5937" w:rsidRPr="00FE5937" w:rsidRDefault="00FE5937" w:rsidP="00FE5937">
      <w:pPr>
        <w:pStyle w:val="NormalWeb"/>
        <w:spacing w:line="360" w:lineRule="auto"/>
        <w:jc w:val="both"/>
        <w:rPr>
          <w:rFonts w:ascii="Arial" w:hAnsi="Arial" w:cs="Arial"/>
          <w:sz w:val="22"/>
          <w:szCs w:val="22"/>
        </w:rPr>
      </w:pPr>
      <w:r w:rsidRPr="00FE5937">
        <w:rPr>
          <w:rFonts w:ascii="Arial" w:hAnsi="Arial" w:cs="Arial"/>
          <w:sz w:val="22"/>
          <w:szCs w:val="22"/>
        </w:rPr>
        <w:t>Maslow’s hierarchy of needs provides a valuable framework for improving psychological wellbeing in older adults living in residential care. By addressing both basic and higher-level needs, care professionals can support emotional wellbeing, dignity, and independence. Although challenges such as limited time and staffing exist, practical strategies can help integrate this approach into everyday care. Overall, applying Maslow’s theory supports holistic, person-centred care and improves the quality of life for older adults.</w:t>
      </w:r>
    </w:p>
    <w:p w14:paraId="713AFA9D" w14:textId="618573C2" w:rsidR="00741096" w:rsidRDefault="00FE5937" w:rsidP="00FE5937">
      <w:pPr>
        <w:pStyle w:val="NormalWeb"/>
        <w:spacing w:line="360" w:lineRule="auto"/>
        <w:jc w:val="both"/>
        <w:rPr>
          <w:rFonts w:ascii="Arial" w:hAnsi="Arial" w:cs="Arial"/>
          <w:sz w:val="22"/>
          <w:szCs w:val="22"/>
        </w:rPr>
      </w:pPr>
      <w:r w:rsidRPr="00FE5937">
        <w:rPr>
          <w:rFonts w:ascii="Arial" w:hAnsi="Arial" w:cs="Arial"/>
          <w:sz w:val="22"/>
          <w:szCs w:val="22"/>
        </w:rPr>
        <w:t>Furthermore, applying this theory encourages professionals to recognise the individuality of each resident and adapt care accordingly. By focusing on emotional connection, meaningful activity, and respect for personal identity, care environments can become more supportive and positive. This not only benefits residents but also improves staff relationships and overall care quality. In the long term, such approaches can contribute to better mental health outcomes, increased satisfaction, and a more dignified ageing experience for individuals living in residential care settings.</w:t>
      </w:r>
    </w:p>
    <w:p w14:paraId="64E60C43" w14:textId="77777777" w:rsidR="00D811DD" w:rsidRDefault="00D811DD" w:rsidP="00FE5937">
      <w:pPr>
        <w:pStyle w:val="NormalWeb"/>
        <w:spacing w:line="360" w:lineRule="auto"/>
        <w:jc w:val="both"/>
        <w:rPr>
          <w:rFonts w:ascii="Arial" w:hAnsi="Arial" w:cs="Arial"/>
          <w:sz w:val="22"/>
          <w:szCs w:val="22"/>
        </w:rPr>
      </w:pPr>
    </w:p>
    <w:p w14:paraId="7B4A5F1B" w14:textId="77777777" w:rsidR="00FE5937" w:rsidRPr="00FE5937" w:rsidRDefault="00FE5937" w:rsidP="00FE5937">
      <w:pPr>
        <w:spacing w:before="100" w:beforeAutospacing="1" w:after="100" w:afterAutospacing="1" w:line="240" w:lineRule="auto"/>
        <w:jc w:val="both"/>
        <w:outlineLvl w:val="0"/>
        <w:rPr>
          <w:rFonts w:ascii="Arial" w:eastAsia="Times New Roman" w:hAnsi="Arial" w:cs="Arial"/>
          <w:b/>
          <w:bCs/>
          <w:kern w:val="36"/>
          <w:sz w:val="22"/>
          <w:szCs w:val="22"/>
          <w:lang w:eastAsia="en-GB"/>
          <w14:ligatures w14:val="none"/>
        </w:rPr>
      </w:pPr>
      <w:r w:rsidRPr="00FE5937">
        <w:rPr>
          <w:rFonts w:ascii="Arial" w:eastAsia="Times New Roman" w:hAnsi="Arial" w:cs="Arial"/>
          <w:b/>
          <w:bCs/>
          <w:kern w:val="36"/>
          <w:sz w:val="22"/>
          <w:szCs w:val="22"/>
          <w:lang w:eastAsia="en-GB"/>
          <w14:ligatures w14:val="none"/>
        </w:rPr>
        <w:t>Reference List</w:t>
      </w:r>
    </w:p>
    <w:p w14:paraId="6F2F7DC6" w14:textId="77777777" w:rsidR="00FE5937" w:rsidRPr="00FE5937" w:rsidRDefault="00FE5937" w:rsidP="00FE5937">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E5937">
        <w:rPr>
          <w:rFonts w:ascii="Arial" w:eastAsia="Times New Roman" w:hAnsi="Arial" w:cs="Arial"/>
          <w:kern w:val="0"/>
          <w:sz w:val="22"/>
          <w:szCs w:val="22"/>
          <w:lang w:eastAsia="en-GB"/>
          <w14:ligatures w14:val="none"/>
        </w:rPr>
        <w:t xml:space="preserve">Kitwood, T. (1997) </w:t>
      </w:r>
      <w:r w:rsidRPr="00FE5937">
        <w:rPr>
          <w:rFonts w:ascii="Arial" w:eastAsia="Times New Roman" w:hAnsi="Arial" w:cs="Arial"/>
          <w:i/>
          <w:iCs/>
          <w:kern w:val="0"/>
          <w:sz w:val="22"/>
          <w:szCs w:val="22"/>
          <w:lang w:eastAsia="en-GB"/>
          <w14:ligatures w14:val="none"/>
        </w:rPr>
        <w:t>Dementia reconsidered: The person comes first</w:t>
      </w:r>
      <w:r w:rsidRPr="00FE5937">
        <w:rPr>
          <w:rFonts w:ascii="Arial" w:eastAsia="Times New Roman" w:hAnsi="Arial" w:cs="Arial"/>
          <w:kern w:val="0"/>
          <w:sz w:val="22"/>
          <w:szCs w:val="22"/>
          <w:lang w:eastAsia="en-GB"/>
          <w14:ligatures w14:val="none"/>
        </w:rPr>
        <w:t>. Buckingham: Open University Press.</w:t>
      </w:r>
    </w:p>
    <w:p w14:paraId="0BF91596" w14:textId="77777777" w:rsidR="00FE5937" w:rsidRPr="00FE5937" w:rsidRDefault="00FE5937" w:rsidP="00FE5937">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E5937">
        <w:rPr>
          <w:rFonts w:ascii="Arial" w:eastAsia="Times New Roman" w:hAnsi="Arial" w:cs="Arial"/>
          <w:kern w:val="0"/>
          <w:sz w:val="22"/>
          <w:szCs w:val="22"/>
          <w:lang w:eastAsia="en-GB"/>
          <w14:ligatures w14:val="none"/>
        </w:rPr>
        <w:t xml:space="preserve">Maslow, A.H. (1943) ‘A theory of human motivation’, </w:t>
      </w:r>
      <w:r w:rsidRPr="00FE5937">
        <w:rPr>
          <w:rFonts w:ascii="Arial" w:eastAsia="Times New Roman" w:hAnsi="Arial" w:cs="Arial"/>
          <w:i/>
          <w:iCs/>
          <w:kern w:val="0"/>
          <w:sz w:val="22"/>
          <w:szCs w:val="22"/>
          <w:lang w:eastAsia="en-GB"/>
          <w14:ligatures w14:val="none"/>
        </w:rPr>
        <w:t>Psychological Review</w:t>
      </w:r>
      <w:r w:rsidRPr="00FE5937">
        <w:rPr>
          <w:rFonts w:ascii="Arial" w:eastAsia="Times New Roman" w:hAnsi="Arial" w:cs="Arial"/>
          <w:kern w:val="0"/>
          <w:sz w:val="22"/>
          <w:szCs w:val="22"/>
          <w:lang w:eastAsia="en-GB"/>
          <w14:ligatures w14:val="none"/>
        </w:rPr>
        <w:t>, 50(4), pp. 370–396.</w:t>
      </w:r>
    </w:p>
    <w:p w14:paraId="6DBDCA52" w14:textId="77777777" w:rsidR="00FE5937" w:rsidRPr="00FE5937" w:rsidRDefault="00FE5937" w:rsidP="00FE5937">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E5937">
        <w:rPr>
          <w:rFonts w:ascii="Arial" w:eastAsia="Times New Roman" w:hAnsi="Arial" w:cs="Arial"/>
          <w:kern w:val="0"/>
          <w:sz w:val="22"/>
          <w:szCs w:val="22"/>
          <w:lang w:eastAsia="en-GB"/>
          <w14:ligatures w14:val="none"/>
        </w:rPr>
        <w:t xml:space="preserve">Maslow, A.H. (1954) </w:t>
      </w:r>
      <w:r w:rsidRPr="00FE5937">
        <w:rPr>
          <w:rFonts w:ascii="Arial" w:eastAsia="Times New Roman" w:hAnsi="Arial" w:cs="Arial"/>
          <w:i/>
          <w:iCs/>
          <w:kern w:val="0"/>
          <w:sz w:val="22"/>
          <w:szCs w:val="22"/>
          <w:lang w:eastAsia="en-GB"/>
          <w14:ligatures w14:val="none"/>
        </w:rPr>
        <w:t>Motivation and personality</w:t>
      </w:r>
      <w:r w:rsidRPr="00FE5937">
        <w:rPr>
          <w:rFonts w:ascii="Arial" w:eastAsia="Times New Roman" w:hAnsi="Arial" w:cs="Arial"/>
          <w:kern w:val="0"/>
          <w:sz w:val="22"/>
          <w:szCs w:val="22"/>
          <w:lang w:eastAsia="en-GB"/>
          <w14:ligatures w14:val="none"/>
        </w:rPr>
        <w:t>. New York: Harper &amp; Row.</w:t>
      </w:r>
    </w:p>
    <w:p w14:paraId="250799C9" w14:textId="77777777" w:rsidR="00FE5937" w:rsidRPr="00FE5937" w:rsidRDefault="00FE5937" w:rsidP="00FE5937">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E5937">
        <w:rPr>
          <w:rFonts w:ascii="Arial" w:eastAsia="Times New Roman" w:hAnsi="Arial" w:cs="Arial"/>
          <w:kern w:val="0"/>
          <w:sz w:val="22"/>
          <w:szCs w:val="22"/>
          <w:lang w:eastAsia="en-GB"/>
          <w14:ligatures w14:val="none"/>
        </w:rPr>
        <w:t xml:space="preserve">Nolan, M., Davies, S., Brown, J., Keady, J. and Nolan, J. (2004) ‘Beyond “person-centred” care: A new vision for gerontological nursing’, </w:t>
      </w:r>
      <w:r w:rsidRPr="00FE5937">
        <w:rPr>
          <w:rFonts w:ascii="Arial" w:eastAsia="Times New Roman" w:hAnsi="Arial" w:cs="Arial"/>
          <w:i/>
          <w:iCs/>
          <w:kern w:val="0"/>
          <w:sz w:val="22"/>
          <w:szCs w:val="22"/>
          <w:lang w:eastAsia="en-GB"/>
          <w14:ligatures w14:val="none"/>
        </w:rPr>
        <w:t>Journal of Clinical Nursing</w:t>
      </w:r>
      <w:r w:rsidRPr="00FE5937">
        <w:rPr>
          <w:rFonts w:ascii="Arial" w:eastAsia="Times New Roman" w:hAnsi="Arial" w:cs="Arial"/>
          <w:kern w:val="0"/>
          <w:sz w:val="22"/>
          <w:szCs w:val="22"/>
          <w:lang w:eastAsia="en-GB"/>
          <w14:ligatures w14:val="none"/>
        </w:rPr>
        <w:t>, 13(s1), pp. 45–53.</w:t>
      </w:r>
    </w:p>
    <w:p w14:paraId="2FA3805F" w14:textId="247DBABF" w:rsidR="00FE5937" w:rsidRPr="00FE5937" w:rsidRDefault="00FE5937" w:rsidP="00FE5937">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E5937">
        <w:rPr>
          <w:rFonts w:ascii="Arial" w:eastAsia="Times New Roman" w:hAnsi="Arial" w:cs="Arial"/>
          <w:kern w:val="0"/>
          <w:sz w:val="22"/>
          <w:szCs w:val="22"/>
          <w:lang w:eastAsia="en-GB"/>
          <w14:ligatures w14:val="none"/>
        </w:rPr>
        <w:t xml:space="preserve">Wahba, M.A. and Bridwell, L.G. (1976) ‘Maslow reconsidered: A review of research on the need hierarchy theory’, </w:t>
      </w:r>
      <w:r w:rsidRPr="00FE5937">
        <w:rPr>
          <w:rFonts w:ascii="Arial" w:eastAsia="Times New Roman" w:hAnsi="Arial" w:cs="Arial"/>
          <w:i/>
          <w:iCs/>
          <w:kern w:val="0"/>
          <w:sz w:val="22"/>
          <w:szCs w:val="22"/>
          <w:lang w:eastAsia="en-GB"/>
          <w14:ligatures w14:val="none"/>
        </w:rPr>
        <w:t>Organizational Behaviour and Human Performance</w:t>
      </w:r>
      <w:r w:rsidRPr="00FE5937">
        <w:rPr>
          <w:rFonts w:ascii="Arial" w:eastAsia="Times New Roman" w:hAnsi="Arial" w:cs="Arial"/>
          <w:kern w:val="0"/>
          <w:sz w:val="22"/>
          <w:szCs w:val="22"/>
          <w:lang w:eastAsia="en-GB"/>
          <w14:ligatures w14:val="none"/>
        </w:rPr>
        <w:t>, 15(2), pp. 212–240.</w:t>
      </w:r>
    </w:p>
    <w:p w14:paraId="3F220E19" w14:textId="77777777" w:rsidR="00FE5937" w:rsidRPr="00FE5937" w:rsidRDefault="00FE5937" w:rsidP="00FE5937">
      <w:pPr>
        <w:pStyle w:val="NormalWeb"/>
        <w:spacing w:line="360" w:lineRule="auto"/>
        <w:jc w:val="both"/>
        <w:rPr>
          <w:rFonts w:ascii="Arial" w:hAnsi="Arial" w:cs="Arial"/>
          <w:sz w:val="22"/>
          <w:szCs w:val="22"/>
        </w:rPr>
      </w:pPr>
    </w:p>
    <w:p w14:paraId="1AEEBF6D" w14:textId="77777777" w:rsidR="007A3DB6" w:rsidRDefault="007A3DB6" w:rsidP="00460C55">
      <w:pPr>
        <w:spacing w:before="100" w:beforeAutospacing="1" w:after="100" w:afterAutospacing="1" w:line="240" w:lineRule="auto"/>
        <w:rPr>
          <w:rFonts w:ascii="Arial" w:eastAsia="Times New Roman" w:hAnsi="Arial" w:cs="Arial"/>
          <w:kern w:val="0"/>
          <w:lang w:eastAsia="en-GB"/>
          <w14:ligatures w14:val="none"/>
        </w:rPr>
      </w:pPr>
    </w:p>
    <w:p w14:paraId="57E167E1" w14:textId="77777777" w:rsidR="007A3DB6" w:rsidRDefault="007A3DB6" w:rsidP="00460C55">
      <w:pPr>
        <w:spacing w:before="100" w:beforeAutospacing="1" w:after="100" w:afterAutospacing="1" w:line="240" w:lineRule="auto"/>
        <w:rPr>
          <w:rFonts w:ascii="Arial" w:eastAsia="Times New Roman" w:hAnsi="Arial" w:cs="Arial"/>
          <w:kern w:val="0"/>
          <w:lang w:eastAsia="en-GB"/>
          <w14:ligatures w14:val="none"/>
        </w:rPr>
      </w:pPr>
    </w:p>
    <w:p w14:paraId="6E746BCE" w14:textId="77777777" w:rsidR="007A3DB6" w:rsidRPr="008270D6" w:rsidRDefault="007A3DB6" w:rsidP="00460C55">
      <w:pPr>
        <w:spacing w:before="100" w:beforeAutospacing="1" w:after="100" w:afterAutospacing="1" w:line="240" w:lineRule="auto"/>
        <w:rPr>
          <w:rFonts w:ascii="Arial" w:eastAsia="Times New Roman" w:hAnsi="Arial" w:cs="Arial"/>
          <w:kern w:val="0"/>
          <w:u w:val="single"/>
          <w:lang w:eastAsia="en-GB"/>
          <w14:ligatures w14:val="none"/>
        </w:rPr>
      </w:pPr>
    </w:p>
    <w:p w14:paraId="5A2CEF45" w14:textId="5DB1EBC1" w:rsidR="007A3DB6" w:rsidRPr="00460C55" w:rsidRDefault="007A3DB6" w:rsidP="00460C55">
      <w:pPr>
        <w:spacing w:before="100" w:beforeAutospacing="1" w:after="100" w:afterAutospacing="1" w:line="240" w:lineRule="auto"/>
        <w:rPr>
          <w:rFonts w:ascii="Arial" w:eastAsia="Times New Roman" w:hAnsi="Arial" w:cs="Arial"/>
          <w:kern w:val="0"/>
          <w:lang w:eastAsia="en-GB"/>
          <w14:ligatures w14:val="none"/>
        </w:rPr>
      </w:pPr>
    </w:p>
    <w:p w14:paraId="428A18C8" w14:textId="77777777" w:rsidR="00460C55" w:rsidRPr="00460C55" w:rsidRDefault="00460C55" w:rsidP="00460C5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60C55">
        <w:rPr>
          <w:rFonts w:ascii="Arial" w:eastAsia="Times New Roman" w:hAnsi="Arial" w:cs="Arial"/>
          <w:vanish/>
          <w:kern w:val="0"/>
          <w:sz w:val="16"/>
          <w:szCs w:val="16"/>
          <w:lang w:eastAsia="en-GB"/>
          <w14:ligatures w14:val="none"/>
        </w:rPr>
        <w:t>Principio del formulario</w:t>
      </w:r>
    </w:p>
    <w:p w14:paraId="46E590F0" w14:textId="77777777" w:rsidR="00460C55" w:rsidRPr="00460C55" w:rsidRDefault="00460C55" w:rsidP="00460C5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FF630AF" w14:textId="77777777" w:rsidR="00460C55" w:rsidRPr="00460C55" w:rsidRDefault="00460C55" w:rsidP="00460C55">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460C55">
        <w:rPr>
          <w:rFonts w:ascii="Arial" w:eastAsia="Times New Roman" w:hAnsi="Arial" w:cs="Arial"/>
          <w:vanish/>
          <w:kern w:val="0"/>
          <w:sz w:val="16"/>
          <w:szCs w:val="16"/>
          <w:lang w:eastAsia="en-GB"/>
          <w14:ligatures w14:val="none"/>
        </w:rPr>
        <w:t>Final del formulario</w:t>
      </w:r>
    </w:p>
    <w:p w14:paraId="6D647D95" w14:textId="77777777" w:rsidR="007A53CC" w:rsidRDefault="007A53CC"/>
    <w:sectPr w:rsidR="007A53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A1031" w14:textId="77777777" w:rsidR="00C90DDF" w:rsidRDefault="00C90DDF" w:rsidP="003C4213">
      <w:pPr>
        <w:spacing w:after="0" w:line="240" w:lineRule="auto"/>
      </w:pPr>
      <w:r>
        <w:separator/>
      </w:r>
    </w:p>
  </w:endnote>
  <w:endnote w:type="continuationSeparator" w:id="0">
    <w:p w14:paraId="48856F50" w14:textId="77777777" w:rsidR="00C90DDF" w:rsidRDefault="00C90DDF" w:rsidP="003C4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7726F" w14:textId="77777777" w:rsidR="00C90DDF" w:rsidRDefault="00C90DDF" w:rsidP="003C4213">
      <w:pPr>
        <w:spacing w:after="0" w:line="240" w:lineRule="auto"/>
      </w:pPr>
      <w:r>
        <w:separator/>
      </w:r>
    </w:p>
  </w:footnote>
  <w:footnote w:type="continuationSeparator" w:id="0">
    <w:p w14:paraId="76C39439" w14:textId="77777777" w:rsidR="00C90DDF" w:rsidRDefault="00C90DDF" w:rsidP="003C42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3CC"/>
    <w:rsid w:val="0000017C"/>
    <w:rsid w:val="000261D3"/>
    <w:rsid w:val="0002693D"/>
    <w:rsid w:val="000433C5"/>
    <w:rsid w:val="00076BF8"/>
    <w:rsid w:val="0009543C"/>
    <w:rsid w:val="000D7201"/>
    <w:rsid w:val="000F24E8"/>
    <w:rsid w:val="00136C0F"/>
    <w:rsid w:val="00176089"/>
    <w:rsid w:val="001814A9"/>
    <w:rsid w:val="001C0F82"/>
    <w:rsid w:val="002639BB"/>
    <w:rsid w:val="00275E9B"/>
    <w:rsid w:val="00296082"/>
    <w:rsid w:val="002C28AD"/>
    <w:rsid w:val="002E048C"/>
    <w:rsid w:val="002E5817"/>
    <w:rsid w:val="00306AA0"/>
    <w:rsid w:val="00361DD2"/>
    <w:rsid w:val="00382713"/>
    <w:rsid w:val="00396377"/>
    <w:rsid w:val="003C4213"/>
    <w:rsid w:val="00460C55"/>
    <w:rsid w:val="004D386F"/>
    <w:rsid w:val="004D5F96"/>
    <w:rsid w:val="005675F2"/>
    <w:rsid w:val="00572E96"/>
    <w:rsid w:val="005B460C"/>
    <w:rsid w:val="005D36CF"/>
    <w:rsid w:val="005D39B2"/>
    <w:rsid w:val="005E0E13"/>
    <w:rsid w:val="005E6BD9"/>
    <w:rsid w:val="00603918"/>
    <w:rsid w:val="00605C53"/>
    <w:rsid w:val="00627B81"/>
    <w:rsid w:val="00663AA4"/>
    <w:rsid w:val="00686DFA"/>
    <w:rsid w:val="006E2AE0"/>
    <w:rsid w:val="006E4E0F"/>
    <w:rsid w:val="006F025C"/>
    <w:rsid w:val="00702259"/>
    <w:rsid w:val="00741096"/>
    <w:rsid w:val="00750944"/>
    <w:rsid w:val="0075671F"/>
    <w:rsid w:val="007A3DB6"/>
    <w:rsid w:val="007A41F6"/>
    <w:rsid w:val="007A53CC"/>
    <w:rsid w:val="007C71F5"/>
    <w:rsid w:val="00813582"/>
    <w:rsid w:val="008270D6"/>
    <w:rsid w:val="0083056C"/>
    <w:rsid w:val="00857FA1"/>
    <w:rsid w:val="00892D64"/>
    <w:rsid w:val="008966BC"/>
    <w:rsid w:val="008E798D"/>
    <w:rsid w:val="008E7D57"/>
    <w:rsid w:val="008F7FDD"/>
    <w:rsid w:val="009107CA"/>
    <w:rsid w:val="009916D7"/>
    <w:rsid w:val="009B4E8C"/>
    <w:rsid w:val="009D3D35"/>
    <w:rsid w:val="00A03C24"/>
    <w:rsid w:val="00A627EA"/>
    <w:rsid w:val="00A6548F"/>
    <w:rsid w:val="00A84845"/>
    <w:rsid w:val="00A90DA7"/>
    <w:rsid w:val="00AA29C0"/>
    <w:rsid w:val="00AB6C4C"/>
    <w:rsid w:val="00AB7EB3"/>
    <w:rsid w:val="00AE245E"/>
    <w:rsid w:val="00B24092"/>
    <w:rsid w:val="00B65937"/>
    <w:rsid w:val="00B71A0A"/>
    <w:rsid w:val="00B80B2F"/>
    <w:rsid w:val="00B94282"/>
    <w:rsid w:val="00BB4681"/>
    <w:rsid w:val="00BD5A45"/>
    <w:rsid w:val="00BF27C5"/>
    <w:rsid w:val="00C16A91"/>
    <w:rsid w:val="00C31AA1"/>
    <w:rsid w:val="00C90DDF"/>
    <w:rsid w:val="00CF05BD"/>
    <w:rsid w:val="00CF37D9"/>
    <w:rsid w:val="00CF6233"/>
    <w:rsid w:val="00D44BE4"/>
    <w:rsid w:val="00D44E00"/>
    <w:rsid w:val="00D811DD"/>
    <w:rsid w:val="00D9207C"/>
    <w:rsid w:val="00E065A3"/>
    <w:rsid w:val="00E1074E"/>
    <w:rsid w:val="00EA3EBD"/>
    <w:rsid w:val="00EA5922"/>
    <w:rsid w:val="00ED21D6"/>
    <w:rsid w:val="00EF320B"/>
    <w:rsid w:val="00F1355B"/>
    <w:rsid w:val="00F4542A"/>
    <w:rsid w:val="00F75720"/>
    <w:rsid w:val="00FA7D22"/>
    <w:rsid w:val="00FE5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AFC0E"/>
  <w15:chartTrackingRefBased/>
  <w15:docId w15:val="{1E3ACD53-FA99-479A-BAC1-924D4540D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7A5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7A5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7A53C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7A53C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7A53C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7A53C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7A53C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7A53C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7A53CC"/>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A53CC"/>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7A53CC"/>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7A53CC"/>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7A53CC"/>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7A53CC"/>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7A53CC"/>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7A53CC"/>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7A53CC"/>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7A53CC"/>
    <w:rPr>
      <w:rFonts w:eastAsiaTheme="majorEastAsia" w:cstheme="majorBidi"/>
      <w:color w:val="272727" w:themeColor="text1" w:themeTint="D8"/>
    </w:rPr>
  </w:style>
  <w:style w:type="paragraph" w:styleId="Ttulo">
    <w:name w:val="Title"/>
    <w:basedOn w:val="Normal"/>
    <w:next w:val="Normal"/>
    <w:link w:val="TtuloCar"/>
    <w:uiPriority w:val="10"/>
    <w:qFormat/>
    <w:rsid w:val="007A5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7A53C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7A53CC"/>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7A53CC"/>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7A53CC"/>
    <w:pPr>
      <w:spacing w:before="160"/>
      <w:jc w:val="center"/>
    </w:pPr>
    <w:rPr>
      <w:i/>
      <w:iCs/>
      <w:color w:val="404040" w:themeColor="text1" w:themeTint="BF"/>
    </w:rPr>
  </w:style>
  <w:style w:type="character" w:customStyle="1" w:styleId="CitaCar">
    <w:name w:val="Cita Car"/>
    <w:basedOn w:val="Fuentedeprrafopredeter"/>
    <w:link w:val="Cita"/>
    <w:uiPriority w:val="29"/>
    <w:rsid w:val="007A53CC"/>
    <w:rPr>
      <w:i/>
      <w:iCs/>
      <w:color w:val="404040" w:themeColor="text1" w:themeTint="BF"/>
    </w:rPr>
  </w:style>
  <w:style w:type="paragraph" w:styleId="Prrafodelista">
    <w:name w:val="List Paragraph"/>
    <w:basedOn w:val="Normal"/>
    <w:uiPriority w:val="34"/>
    <w:qFormat/>
    <w:rsid w:val="007A53CC"/>
    <w:pPr>
      <w:ind w:left="720"/>
      <w:contextualSpacing/>
    </w:pPr>
  </w:style>
  <w:style w:type="character" w:styleId="nfasisintenso">
    <w:name w:val="Intense Emphasis"/>
    <w:basedOn w:val="Fuentedeprrafopredeter"/>
    <w:uiPriority w:val="21"/>
    <w:qFormat/>
    <w:rsid w:val="007A53CC"/>
    <w:rPr>
      <w:i/>
      <w:iCs/>
      <w:color w:val="0F4761" w:themeColor="accent1" w:themeShade="BF"/>
    </w:rPr>
  </w:style>
  <w:style w:type="paragraph" w:styleId="Citadestacada">
    <w:name w:val="Intense Quote"/>
    <w:basedOn w:val="Normal"/>
    <w:next w:val="Normal"/>
    <w:link w:val="CitadestacadaCar"/>
    <w:uiPriority w:val="30"/>
    <w:qFormat/>
    <w:rsid w:val="007A53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7A53CC"/>
    <w:rPr>
      <w:i/>
      <w:iCs/>
      <w:color w:val="0F4761" w:themeColor="accent1" w:themeShade="BF"/>
    </w:rPr>
  </w:style>
  <w:style w:type="character" w:styleId="Referenciaintensa">
    <w:name w:val="Intense Reference"/>
    <w:basedOn w:val="Fuentedeprrafopredeter"/>
    <w:uiPriority w:val="32"/>
    <w:qFormat/>
    <w:rsid w:val="007A53CC"/>
    <w:rPr>
      <w:b/>
      <w:bCs/>
      <w:smallCaps/>
      <w:color w:val="0F4761" w:themeColor="accent1" w:themeShade="BF"/>
      <w:spacing w:val="5"/>
    </w:rPr>
  </w:style>
  <w:style w:type="paragraph" w:styleId="NormalWeb">
    <w:name w:val="Normal (Web)"/>
    <w:basedOn w:val="Normal"/>
    <w:uiPriority w:val="99"/>
    <w:unhideWhenUsed/>
    <w:rsid w:val="00FE593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uerte">
    <w:name w:val="Strong"/>
    <w:basedOn w:val="Fuentedeprrafopredeter"/>
    <w:uiPriority w:val="22"/>
    <w:qFormat/>
    <w:rsid w:val="000261D3"/>
    <w:rPr>
      <w:b/>
      <w:bCs/>
    </w:rPr>
  </w:style>
  <w:style w:type="character" w:styleId="nfasis">
    <w:name w:val="Emphasis"/>
    <w:basedOn w:val="Fuentedeprrafopredeter"/>
    <w:uiPriority w:val="20"/>
    <w:qFormat/>
    <w:rsid w:val="009916D7"/>
    <w:rPr>
      <w:i/>
      <w:iCs/>
    </w:rPr>
  </w:style>
  <w:style w:type="paragraph" w:styleId="Encabezado">
    <w:name w:val="header"/>
    <w:basedOn w:val="Normal"/>
    <w:link w:val="EncabezadoCar"/>
    <w:uiPriority w:val="99"/>
    <w:unhideWhenUsed/>
    <w:rsid w:val="003C4213"/>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C4213"/>
  </w:style>
  <w:style w:type="paragraph" w:styleId="Piedepgina">
    <w:name w:val="footer"/>
    <w:basedOn w:val="Normal"/>
    <w:link w:val="PiedepginaCar"/>
    <w:uiPriority w:val="99"/>
    <w:unhideWhenUsed/>
    <w:rsid w:val="003C4213"/>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C4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TotalTime>
  <Pages>7</Pages>
  <Words>1825</Words>
  <Characters>10409</Characters>
  <Application>Microsoft Office Word</Application>
  <DocSecurity>0</DocSecurity>
  <Lines>86</Lines>
  <Paragraphs>24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Maria Gonzalez Caro (2442780)</dc:creator>
  <cp:keywords/>
  <dc:description/>
  <cp:lastModifiedBy>Angela Maria Gonzalez Caro (2442780)</cp:lastModifiedBy>
  <cp:revision>84</cp:revision>
  <dcterms:created xsi:type="dcterms:W3CDTF">2026-03-29T10:50:00Z</dcterms:created>
  <dcterms:modified xsi:type="dcterms:W3CDTF">2026-04-11T11:39:00Z</dcterms:modified>
</cp:coreProperties>
</file>