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37E95D1" w:rsidR="00763CB3" w:rsidRPr="00876921" w:rsidRDefault="0090542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Christopher Price - Webb</w:t>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E66D20B" w:rsidR="00763CB3" w:rsidRPr="00876921" w:rsidRDefault="0090542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1910634</w:t>
            </w: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76E6EAB9" w:rsidR="00763CB3" w:rsidRPr="00876921" w:rsidRDefault="0090542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PCDA </w:t>
            </w:r>
            <w:r w:rsidR="00C9011A">
              <w:rPr>
                <w:rFonts w:ascii="Arial" w:eastAsia="Times New Roman" w:hAnsi="Arial" w:cs="Arial"/>
                <w:b/>
                <w:lang w:eastAsia="en-GB"/>
              </w:rPr>
              <w:t>C</w:t>
            </w:r>
            <w:r>
              <w:rPr>
                <w:rFonts w:ascii="Arial" w:eastAsia="Times New Roman" w:hAnsi="Arial" w:cs="Arial"/>
                <w:b/>
                <w:lang w:eastAsia="en-GB"/>
              </w:rPr>
              <w:t>02-2019</w:t>
            </w: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245EA4E"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lastRenderedPageBreak/>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lastRenderedPageBreak/>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30B2C522" w:rsidR="00FF774E" w:rsidRPr="00905424" w:rsidRDefault="00905424" w:rsidP="00FF774E">
      <w:pPr>
        <w:spacing w:after="0" w:line="240" w:lineRule="auto"/>
        <w:ind w:left="426"/>
        <w:rPr>
          <w:rFonts w:ascii="Arial" w:eastAsia="Times New Roman" w:hAnsi="Arial" w:cs="Arial"/>
          <w:u w:val="single"/>
          <w:lang w:eastAsia="en-GB"/>
        </w:rPr>
      </w:pPr>
      <w:r w:rsidRPr="00905424">
        <w:rPr>
          <w:rFonts w:ascii="Arial" w:eastAsia="Times New Roman" w:hAnsi="Arial" w:cs="Arial"/>
          <w:u w:val="single"/>
          <w:lang w:eastAsia="en-GB"/>
        </w:rPr>
        <w:t xml:space="preserve">Task 1 </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905424"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u w:val="single"/>
          <w:lang w:eastAsia="en-GB"/>
        </w:rPr>
      </w:pPr>
      <w:r w:rsidRPr="00905424">
        <w:rPr>
          <w:rFonts w:ascii="Arial" w:eastAsia="Times New Roman" w:hAnsi="Arial" w:cs="Arial"/>
          <w:u w:val="single"/>
          <w:lang w:eastAsia="en-GB"/>
        </w:rPr>
        <w:t>Analyse why key incidents/events have had a damaging effect on the willingness of communities to engage with the police</w:t>
      </w:r>
    </w:p>
    <w:p w14:paraId="0D98B32A" w14:textId="42831CBE" w:rsidR="00FF774E" w:rsidRPr="00905424"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u w:val="single"/>
          <w:lang w:eastAsia="en-GB"/>
        </w:rPr>
      </w:pPr>
      <w:r w:rsidRPr="00905424">
        <w:rPr>
          <w:rFonts w:ascii="Arial" w:eastAsia="Times New Roman" w:hAnsi="Arial" w:cs="Arial"/>
          <w:u w:val="single"/>
          <w:lang w:eastAsia="en-GB"/>
        </w:rPr>
        <w:t>Evaluate the role of community policing in fostering and maintaining community cohesion and understand and apply key principles of effective community engagement</w:t>
      </w:r>
    </w:p>
    <w:p w14:paraId="0DF155B6" w14:textId="77777777" w:rsidR="00905424"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r w:rsidRPr="001F20A8">
        <w:rPr>
          <w:rFonts w:ascii="Arial" w:eastAsia="Times New Roman" w:hAnsi="Arial" w:cs="Arial"/>
          <w:lang w:eastAsia="en-GB"/>
        </w:rPr>
        <w:t>There are several key incidents and events that have had a damaging effect of the way in which communities engage with the Police. The principle of ‘Policing by consent’ will be damaged if people and communities more generally perceive the actions of the Police in particular cases to be unfair, less than transparent, or that particular people are being targeted.</w:t>
      </w:r>
      <w:r>
        <w:rPr>
          <w:rFonts w:ascii="Arial" w:eastAsia="Times New Roman" w:hAnsi="Arial" w:cs="Arial"/>
          <w:lang w:eastAsia="en-GB"/>
        </w:rPr>
        <w:t xml:space="preserve"> </w:t>
      </w:r>
    </w:p>
    <w:p w14:paraId="7E71F1F8" w14:textId="77777777" w:rsidR="00905424"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bookmarkStart w:id="0" w:name="_Hlk76834281"/>
      <w:r w:rsidRPr="001F20A8">
        <w:rPr>
          <w:rFonts w:ascii="Arial" w:eastAsia="Times New Roman" w:hAnsi="Arial" w:cs="Arial"/>
          <w:lang w:eastAsia="en-GB"/>
        </w:rPr>
        <w:t xml:space="preserve">Significant incidents and events that have damaged the willingness of communities to engage </w:t>
      </w:r>
      <w:bookmarkEnd w:id="0"/>
      <w:r w:rsidRPr="001F20A8">
        <w:rPr>
          <w:rFonts w:ascii="Arial" w:eastAsia="Times New Roman" w:hAnsi="Arial" w:cs="Arial"/>
          <w:lang w:eastAsia="en-GB"/>
        </w:rPr>
        <w:t>with the police include the killing of Stephen Lawrence and the subsequent MacPherson report, national riots in 2011 following the Police shooting of Mark Duggan in Tottenham and the Brixton riots in 1980s. I shall analyse and consider each case briefly and summarise why each case has influenced community policing since they occurred.</w:t>
      </w:r>
      <w:r w:rsidRPr="001F20A8">
        <w:t xml:space="preserve"> </w:t>
      </w:r>
      <w:r>
        <w:t>(</w:t>
      </w:r>
      <w:r w:rsidRPr="001F20A8">
        <w:rPr>
          <w:rFonts w:ascii="Arial" w:eastAsia="Times New Roman" w:hAnsi="Arial" w:cs="Arial"/>
          <w:lang w:eastAsia="en-GB"/>
        </w:rPr>
        <w:t>Posick</w:t>
      </w:r>
      <w:r>
        <w:rPr>
          <w:rFonts w:ascii="Arial" w:eastAsia="Times New Roman" w:hAnsi="Arial" w:cs="Arial"/>
          <w:lang w:eastAsia="en-GB"/>
        </w:rPr>
        <w:t xml:space="preserve">. </w:t>
      </w:r>
      <w:r w:rsidRPr="001F20A8">
        <w:rPr>
          <w:rFonts w:ascii="Arial" w:eastAsia="Times New Roman" w:hAnsi="Arial" w:cs="Arial"/>
          <w:lang w:eastAsia="en-GB"/>
        </w:rPr>
        <w:t>and Hatfield</w:t>
      </w:r>
      <w:r>
        <w:rPr>
          <w:rFonts w:ascii="Arial" w:eastAsia="Times New Roman" w:hAnsi="Arial" w:cs="Arial"/>
          <w:lang w:eastAsia="en-GB"/>
        </w:rPr>
        <w:t>.</w:t>
      </w:r>
      <w:r w:rsidRPr="001F20A8">
        <w:rPr>
          <w:rFonts w:ascii="Arial" w:eastAsia="Times New Roman" w:hAnsi="Arial" w:cs="Arial"/>
          <w:lang w:eastAsia="en-GB"/>
        </w:rPr>
        <w:t xml:space="preserve"> 2017</w:t>
      </w:r>
      <w:r>
        <w:rPr>
          <w:rFonts w:ascii="Arial" w:eastAsia="Times New Roman" w:hAnsi="Arial" w:cs="Arial"/>
          <w:lang w:eastAsia="en-GB"/>
        </w:rPr>
        <w:t>)</w:t>
      </w:r>
    </w:p>
    <w:p w14:paraId="745CA28A" w14:textId="77777777" w:rsidR="00905424"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r>
        <w:rPr>
          <w:rFonts w:ascii="Arial" w:eastAsia="Times New Roman" w:hAnsi="Arial" w:cs="Arial"/>
          <w:lang w:eastAsia="en-GB"/>
        </w:rPr>
        <w:t>The murder of Stephen Lawrence in 1993 shone a light on the way in which black communities considered how Police responded to crimes within them. The way in which the crime was investigated was subsequently concluded to have been incompetent and that fundamental errors were made.  The Macpherson Report – the public inquiry into the case – concluded in 1999 that the Metropolitan Police were institutionally racist and had also failed to implement the findings of the earlier Scarman report into the Brixton Riots in the 1980s. The Macpherson report was a watershed in British Policing and has required action, change and improvement in policing since. (Macphearson,1999).</w:t>
      </w:r>
    </w:p>
    <w:p w14:paraId="20D47442" w14:textId="77777777" w:rsidR="00905424"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r>
        <w:rPr>
          <w:rFonts w:ascii="Arial" w:eastAsia="Times New Roman" w:hAnsi="Arial" w:cs="Arial"/>
          <w:lang w:eastAsia="en-GB"/>
        </w:rPr>
        <w:t>The Brixton Riots in the early 1980s also damaged the reputation and of the Police and highlighted failings in the confidence of communities to engage with the Police. Whilst there were factors around inner-city deprivation and socio-economic issues. There was a perception that Policing was not happening in a fair and equitable way in black and minority ethnic communities. The Scarman Report of 1981 found evidence of disproportionate use of stop and search powers used on Black People, and that the liaison arrangement with black communities had broken down. (Home Office, 2003)</w:t>
      </w:r>
    </w:p>
    <w:p w14:paraId="117CBFA7" w14:textId="77777777" w:rsidR="00905424"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r>
        <w:rPr>
          <w:rFonts w:ascii="Arial" w:eastAsia="Times New Roman" w:hAnsi="Arial" w:cs="Arial"/>
          <w:lang w:eastAsia="en-GB"/>
        </w:rPr>
        <w:t>Moving forward in time, the national riots that occurred in 2011 following the police shooting of Mark Duggan. This was a complex case, but riots spread from London to other parts of the UK during the days after the shooting, businesses and property was damaged, and various court cases and inquiries followed. A perception at the time was that Police stop and search powers being targeted on the black community were a contributory factor. (</w:t>
      </w:r>
      <w:r w:rsidRPr="0087668B">
        <w:rPr>
          <w:rFonts w:ascii="Arial" w:eastAsia="Times New Roman" w:hAnsi="Arial" w:cs="Arial"/>
          <w:lang w:eastAsia="en-GB"/>
        </w:rPr>
        <w:t>I</w:t>
      </w:r>
      <w:r>
        <w:rPr>
          <w:rFonts w:ascii="Arial" w:eastAsia="Times New Roman" w:hAnsi="Arial" w:cs="Arial"/>
          <w:lang w:eastAsia="en-GB"/>
        </w:rPr>
        <w:t>ndependent office of police conduct, 2018)</w:t>
      </w:r>
    </w:p>
    <w:p w14:paraId="79D11B91" w14:textId="77777777" w:rsidR="00905424" w:rsidRPr="004D2C0A" w:rsidRDefault="00905424" w:rsidP="00905424">
      <w:pPr>
        <w:overflowPunct w:val="0"/>
        <w:autoSpaceDE w:val="0"/>
        <w:autoSpaceDN w:val="0"/>
        <w:adjustRightInd w:val="0"/>
        <w:spacing w:before="240" w:after="0" w:line="276" w:lineRule="auto"/>
        <w:jc w:val="both"/>
        <w:textAlignment w:val="baseline"/>
        <w:rPr>
          <w:rFonts w:ascii="Arial" w:eastAsia="Times New Roman" w:hAnsi="Arial" w:cs="Arial"/>
          <w:lang w:eastAsia="en-GB"/>
        </w:rPr>
      </w:pPr>
    </w:p>
    <w:p w14:paraId="661B88D4" w14:textId="77777777" w:rsidR="00905424" w:rsidRDefault="00905424" w:rsidP="00905424">
      <w:pPr>
        <w:spacing w:line="276" w:lineRule="auto"/>
        <w:rPr>
          <w:rFonts w:ascii="Arial" w:hAnsi="Arial" w:cs="Arial"/>
        </w:rPr>
      </w:pPr>
      <w:r w:rsidRPr="00250F0E">
        <w:rPr>
          <w:rFonts w:ascii="Arial" w:hAnsi="Arial" w:cs="Arial"/>
        </w:rPr>
        <w:t xml:space="preserve">These cases have undermined </w:t>
      </w:r>
      <w:r>
        <w:rPr>
          <w:rFonts w:ascii="Arial" w:hAnsi="Arial" w:cs="Arial"/>
        </w:rPr>
        <w:t xml:space="preserve">confidence in the in the Police. Lessons that could have been learned from public inquiries have not always been implemented quickly and this can cause resentment in </w:t>
      </w:r>
      <w:r w:rsidRPr="007306D0">
        <w:rPr>
          <w:rFonts w:ascii="Arial" w:hAnsi="Arial" w:cs="Arial"/>
        </w:rPr>
        <w:t>communities (Staubli, 2017</w:t>
      </w:r>
      <w:r>
        <w:rPr>
          <w:rFonts w:cstheme="minorHAnsi"/>
        </w:rPr>
        <w:t>)</w:t>
      </w:r>
      <w:r>
        <w:rPr>
          <w:rFonts w:ascii="Arial" w:hAnsi="Arial" w:cs="Arial"/>
        </w:rPr>
        <w:t>.</w:t>
      </w:r>
    </w:p>
    <w:p w14:paraId="495D104C" w14:textId="77777777" w:rsidR="00905424" w:rsidRDefault="00905424" w:rsidP="00905424">
      <w:pPr>
        <w:spacing w:line="276" w:lineRule="auto"/>
        <w:rPr>
          <w:rFonts w:ascii="Arial" w:hAnsi="Arial" w:cs="Arial"/>
        </w:rPr>
      </w:pPr>
      <w:r>
        <w:rPr>
          <w:rFonts w:ascii="Arial" w:hAnsi="Arial" w:cs="Arial"/>
        </w:rPr>
        <w:t xml:space="preserve">Neighbourhood policing could be seen as the softer side of policing, but it provides crucial opportunity to discover trends and intelligence on the ground. It has many links to other public services and is a collaborative approach to keeping people and communities safe. Key features in defining community policing involve access with defined contact and named police officers, communication and the development of trust, working with others to identify joint issues and priorities and collaboration with public and private organisations and the third </w:t>
      </w:r>
      <w:r w:rsidRPr="007E2600">
        <w:rPr>
          <w:rFonts w:ascii="Arial" w:hAnsi="Arial" w:cs="Arial"/>
        </w:rPr>
        <w:t>sector (</w:t>
      </w:r>
      <w:r w:rsidRPr="00EE21A1">
        <w:rPr>
          <w:rFonts w:ascii="Arial" w:hAnsi="Arial" w:cs="Arial"/>
        </w:rPr>
        <w:t>F</w:t>
      </w:r>
      <w:r w:rsidRPr="007E2600">
        <w:rPr>
          <w:rFonts w:ascii="Arial" w:hAnsi="Arial" w:cs="Arial"/>
        </w:rPr>
        <w:t>ielding,</w:t>
      </w:r>
      <w:r w:rsidRPr="00EE21A1">
        <w:rPr>
          <w:rFonts w:ascii="Arial" w:hAnsi="Arial" w:cs="Arial"/>
        </w:rPr>
        <w:t xml:space="preserve"> 1995</w:t>
      </w:r>
      <w:r w:rsidRPr="007E2600">
        <w:rPr>
          <w:rFonts w:ascii="Arial" w:hAnsi="Arial" w:cs="Arial"/>
        </w:rPr>
        <w:t>).</w:t>
      </w:r>
    </w:p>
    <w:p w14:paraId="124700F0" w14:textId="77777777" w:rsidR="00905424" w:rsidRDefault="00905424" w:rsidP="00905424">
      <w:pPr>
        <w:spacing w:line="276" w:lineRule="auto"/>
        <w:rPr>
          <w:rFonts w:ascii="Arial" w:hAnsi="Arial" w:cs="Arial"/>
        </w:rPr>
      </w:pPr>
      <w:r>
        <w:rPr>
          <w:rFonts w:ascii="Arial" w:hAnsi="Arial" w:cs="Arial"/>
        </w:rPr>
        <w:t>Balancing the right level of resources to enable effective community policing is a challenge, attempting to have the right level of presence in areas, and equally not having sufficient resources to respond effectively to every operational issue. This requirement to have the right level of resources needs to be based on a clear understanding of the established community relationship.</w:t>
      </w:r>
    </w:p>
    <w:p w14:paraId="48FBBC0C" w14:textId="77777777" w:rsidR="00905424" w:rsidRDefault="00905424" w:rsidP="00905424">
      <w:pPr>
        <w:spacing w:line="276" w:lineRule="auto"/>
        <w:rPr>
          <w:rFonts w:ascii="Arial" w:hAnsi="Arial" w:cs="Arial"/>
        </w:rPr>
      </w:pPr>
      <w:r>
        <w:rPr>
          <w:rFonts w:ascii="Arial" w:hAnsi="Arial" w:cs="Arial"/>
        </w:rPr>
        <w:t>Where major incidents of civil unrest occur, the public inevitably say, ‘where were the police?’, but having a situation where lots of resources are sitting idle waiting for something to happen is equally unsustainable. Confidence in policing has to be by consent and good, effective intelligence is vital in balancing resource deployment to risk. (Jackson and Bradford, 2009).</w:t>
      </w:r>
    </w:p>
    <w:p w14:paraId="7C69EF6C" w14:textId="77777777" w:rsidR="00905424" w:rsidRDefault="00905424" w:rsidP="00905424">
      <w:pPr>
        <w:spacing w:line="276" w:lineRule="auto"/>
        <w:rPr>
          <w:rFonts w:ascii="Arial" w:hAnsi="Arial" w:cs="Arial"/>
        </w:rPr>
      </w:pPr>
      <w:r>
        <w:rPr>
          <w:rFonts w:ascii="Arial" w:hAnsi="Arial" w:cs="Arial"/>
        </w:rPr>
        <w:t>Recent reports by The College of Policing have identified the need to work in partnership with communities. This requires sufficient presence to engage and find out the issues of concern to residents and communities. There are substantial strategies that can be utilised in an area to identify and address needs, risks, and threats. These include zero-tolerance policing, problem orientated policing, hot-spot policing and intelligence led policing. One size does not fit all eventualities however, and these tools should be used in a proportionate way to achieve maximum impact.</w:t>
      </w:r>
      <w:r w:rsidRPr="00720DC7">
        <w:t xml:space="preserve"> </w:t>
      </w:r>
      <w:r>
        <w:t>(</w:t>
      </w:r>
      <w:r w:rsidRPr="00720DC7">
        <w:rPr>
          <w:rFonts w:ascii="Arial" w:hAnsi="Arial" w:cs="Arial"/>
        </w:rPr>
        <w:t>Hinkle.</w:t>
      </w:r>
      <w:r>
        <w:rPr>
          <w:rFonts w:ascii="Arial" w:hAnsi="Arial" w:cs="Arial"/>
        </w:rPr>
        <w:t xml:space="preserve"> </w:t>
      </w:r>
      <w:r w:rsidRPr="00720DC7">
        <w:rPr>
          <w:rFonts w:ascii="Arial" w:hAnsi="Arial" w:cs="Arial"/>
        </w:rPr>
        <w:t>Weisburd. Telep.</w:t>
      </w:r>
      <w:r>
        <w:rPr>
          <w:rFonts w:ascii="Arial" w:hAnsi="Arial" w:cs="Arial"/>
        </w:rPr>
        <w:t xml:space="preserve"> </w:t>
      </w:r>
      <w:r w:rsidRPr="00720DC7">
        <w:rPr>
          <w:rFonts w:ascii="Arial" w:hAnsi="Arial" w:cs="Arial"/>
        </w:rPr>
        <w:t>and Petersen.</w:t>
      </w:r>
      <w:r>
        <w:rPr>
          <w:rFonts w:ascii="Arial" w:hAnsi="Arial" w:cs="Arial"/>
        </w:rPr>
        <w:t xml:space="preserve"> </w:t>
      </w:r>
      <w:r w:rsidRPr="00720DC7">
        <w:rPr>
          <w:rFonts w:ascii="Arial" w:hAnsi="Arial" w:cs="Arial"/>
        </w:rPr>
        <w:t>2020)</w:t>
      </w:r>
    </w:p>
    <w:p w14:paraId="071304FD" w14:textId="77777777" w:rsidR="00905424" w:rsidRDefault="00905424" w:rsidP="00905424">
      <w:pPr>
        <w:spacing w:line="276" w:lineRule="auto"/>
        <w:rPr>
          <w:rFonts w:ascii="Arial" w:hAnsi="Arial" w:cs="Arial"/>
        </w:rPr>
      </w:pPr>
      <w:r>
        <w:rPr>
          <w:rFonts w:ascii="Arial" w:hAnsi="Arial" w:cs="Arial"/>
        </w:rPr>
        <w:t>Consultation and community engagement is vital to build confidence. Views and opinions gleaned from public meetings, structured events, and local knowledge from Police Officers and PCSOs can be used to build intelligence and knowledge. Social media is now a key tool in helping identify what is happening in an area. (Hu, 2016).</w:t>
      </w:r>
    </w:p>
    <w:p w14:paraId="7FB31009" w14:textId="77777777" w:rsidR="00905424" w:rsidRDefault="00905424" w:rsidP="00905424">
      <w:pPr>
        <w:spacing w:line="276" w:lineRule="auto"/>
        <w:rPr>
          <w:rFonts w:ascii="Arial" w:hAnsi="Arial" w:cs="Arial"/>
        </w:rPr>
      </w:pPr>
      <w:r>
        <w:rPr>
          <w:rFonts w:ascii="Arial" w:hAnsi="Arial" w:cs="Arial"/>
        </w:rPr>
        <w:t xml:space="preserve">Evidence is strong to indicate that collaboration can reduce community tensions and increase trust in the Police. Many other bodies like Local Councils and Fire and Rescue Services have knowledge about communities that can help the role of the Police. There are models that can be used to help problem solving like the PAT (Problem Analysis Triangle) that uses the notion of ‘Victim/Offender/Location’ to assist in the analysis of a problem. Solutions can then be identified – like victim protection, surveillance of a location and/or targeting potential or known offenders. </w:t>
      </w:r>
      <w:bookmarkStart w:id="1" w:name="_Hlk76832479"/>
      <w:r>
        <w:rPr>
          <w:rFonts w:ascii="Arial" w:hAnsi="Arial" w:cs="Arial"/>
        </w:rPr>
        <w:t>(Bryant and Bryant, 2020).</w:t>
      </w:r>
      <w:bookmarkEnd w:id="1"/>
    </w:p>
    <w:p w14:paraId="137B16F8" w14:textId="77777777" w:rsidR="00905424" w:rsidRPr="00F0356E" w:rsidRDefault="00905424" w:rsidP="00905424">
      <w:pPr>
        <w:spacing w:line="276" w:lineRule="auto"/>
        <w:rPr>
          <w:rFonts w:ascii="Arial" w:hAnsi="Arial" w:cs="Arial"/>
        </w:rPr>
      </w:pPr>
      <w:r>
        <w:rPr>
          <w:rFonts w:ascii="Arial" w:hAnsi="Arial" w:cs="Arial"/>
        </w:rPr>
        <w:t xml:space="preserve">Another potential tool is SARA – scanning, analysis, response, and assessment. This process goes through steps to determine a strategy to inform decision making and then evaluating outcomes to improve practices. </w:t>
      </w:r>
      <w:bookmarkStart w:id="2" w:name="_Hlk76833988"/>
      <w:r w:rsidRPr="00867C08">
        <w:rPr>
          <w:rFonts w:ascii="Arial" w:hAnsi="Arial" w:cs="Arial"/>
        </w:rPr>
        <w:t>(Bryant and Bryant, 2020).</w:t>
      </w:r>
      <w:bookmarkEnd w:id="2"/>
    </w:p>
    <w:p w14:paraId="742CD892" w14:textId="77777777" w:rsidR="00905424" w:rsidRDefault="00905424" w:rsidP="00905424">
      <w:pPr>
        <w:spacing w:line="276" w:lineRule="auto"/>
        <w:rPr>
          <w:rFonts w:ascii="Arial" w:hAnsi="Arial" w:cs="Arial"/>
        </w:rPr>
      </w:pPr>
      <w:r>
        <w:rPr>
          <w:rFonts w:ascii="Arial" w:hAnsi="Arial" w:cs="Arial"/>
        </w:rPr>
        <w:t>Problem orientated policing requires a plan to address key perceived problems in an area. Analysis of known issues and knowing what the underlying problems in an area are is vital. Looking for minor crimes and tensions which could escalate is part of this approach.</w:t>
      </w:r>
    </w:p>
    <w:p w14:paraId="777D46E2" w14:textId="77777777" w:rsidR="00905424" w:rsidRDefault="00905424" w:rsidP="00905424">
      <w:pPr>
        <w:spacing w:line="276" w:lineRule="auto"/>
        <w:rPr>
          <w:rFonts w:ascii="Arial" w:hAnsi="Arial" w:cs="Arial"/>
        </w:rPr>
      </w:pPr>
      <w:r>
        <w:rPr>
          <w:rFonts w:ascii="Arial" w:hAnsi="Arial" w:cs="Arial"/>
        </w:rPr>
        <w:lastRenderedPageBreak/>
        <w:t xml:space="preserve">Making best use of resources by targeting policing activity has been a focus of police strategies in the past. These include Hot spot policing and Zero tolerance policing. Other models include intelligence led policing and predictive policing, and all of these require accurate data and intelligence to support them. </w:t>
      </w:r>
      <w:r w:rsidRPr="001F20A8">
        <w:rPr>
          <w:rFonts w:ascii="Arial" w:hAnsi="Arial" w:cs="Arial"/>
        </w:rPr>
        <w:t>(Bryant and Bryant, 2020).</w:t>
      </w:r>
    </w:p>
    <w:p w14:paraId="1C153108" w14:textId="77777777" w:rsidR="00905424" w:rsidRPr="00250F0E" w:rsidRDefault="00905424" w:rsidP="00905424">
      <w:pPr>
        <w:spacing w:line="276" w:lineRule="auto"/>
        <w:rPr>
          <w:rFonts w:ascii="Arial" w:hAnsi="Arial" w:cs="Arial"/>
        </w:rPr>
      </w:pPr>
      <w:bookmarkStart w:id="3" w:name="_Hlk76834048"/>
      <w:r w:rsidRPr="001F20A8">
        <w:rPr>
          <w:rFonts w:ascii="Arial" w:hAnsi="Arial" w:cs="Arial"/>
        </w:rPr>
        <w:t xml:space="preserve">Bryant and Bryant, </w:t>
      </w:r>
      <w:r>
        <w:rPr>
          <w:rFonts w:ascii="Arial" w:hAnsi="Arial" w:cs="Arial"/>
        </w:rPr>
        <w:t>(</w:t>
      </w:r>
      <w:r w:rsidRPr="001F20A8">
        <w:rPr>
          <w:rFonts w:ascii="Arial" w:hAnsi="Arial" w:cs="Arial"/>
        </w:rPr>
        <w:t>2020)</w:t>
      </w:r>
      <w:r>
        <w:rPr>
          <w:rFonts w:ascii="Arial" w:hAnsi="Arial" w:cs="Arial"/>
        </w:rPr>
        <w:t xml:space="preserve"> suggest that hot spot policing aims to find locations where crime </w:t>
      </w:r>
      <w:bookmarkEnd w:id="3"/>
      <w:r>
        <w:rPr>
          <w:rFonts w:ascii="Arial" w:hAnsi="Arial" w:cs="Arial"/>
        </w:rPr>
        <w:t>and disorder are most common and then take targeted action in these areas to act as a deterrent and prevent further escalation of crime. According to Jones and Newburn (2007), zero tolerance policing came to prominence in the 1990s. Internationally New York became known for pursuing and adopting this strategy to tackle high crimes rates in parts of the city. Responding vigorously and actively to even low-level criminality and behaviours that affected normal life for residents of the city. However, this approach has been seen to be controversial.</w:t>
      </w: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61638EB" w:rsidR="00BB18E4" w:rsidRPr="00905424" w:rsidRDefault="00905424" w:rsidP="00FF774E">
      <w:pPr>
        <w:spacing w:after="0" w:line="240" w:lineRule="auto"/>
        <w:ind w:left="426"/>
        <w:rPr>
          <w:rFonts w:ascii="Arial" w:eastAsia="Times New Roman" w:hAnsi="Arial" w:cs="Arial"/>
          <w:b/>
          <w:sz w:val="24"/>
          <w:szCs w:val="24"/>
          <w:u w:val="single"/>
          <w:lang w:eastAsia="en-GB"/>
        </w:rPr>
      </w:pPr>
      <w:r w:rsidRPr="00905424">
        <w:rPr>
          <w:rFonts w:ascii="Arial" w:eastAsia="Times New Roman" w:hAnsi="Arial" w:cs="Arial"/>
          <w:u w:val="single"/>
          <w:lang w:eastAsia="en-GB"/>
        </w:rPr>
        <w:t xml:space="preserve">Task 2 </w:t>
      </w:r>
    </w:p>
    <w:p w14:paraId="57E59ACC" w14:textId="1E70613F" w:rsidR="00BB18E4" w:rsidRPr="00905424" w:rsidRDefault="00BB18E4" w:rsidP="00FF774E">
      <w:pPr>
        <w:spacing w:after="0" w:line="240" w:lineRule="auto"/>
        <w:rPr>
          <w:rFonts w:ascii="Arial" w:eastAsia="Times New Roman" w:hAnsi="Arial" w:cs="Arial"/>
          <w:b/>
          <w:sz w:val="24"/>
          <w:szCs w:val="24"/>
          <w:u w:val="single"/>
          <w:lang w:eastAsia="en-GB"/>
        </w:rPr>
      </w:pPr>
    </w:p>
    <w:p w14:paraId="24BF6911" w14:textId="77777777" w:rsidR="00FF774E" w:rsidRPr="00905424"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u w:val="single"/>
          <w:lang w:eastAsia="en-GB"/>
        </w:rPr>
      </w:pPr>
      <w:r w:rsidRPr="00905424">
        <w:rPr>
          <w:rFonts w:ascii="Arial" w:eastAsia="Times New Roman" w:hAnsi="Arial" w:cs="Arial"/>
          <w:u w:val="single"/>
          <w:lang w:eastAsia="en-GB"/>
        </w:rPr>
        <w:t>Assess the strengths and weakness of different policing models in relation to crime/victimisation and the public and explore crime prevention theories initiates and strategies</w:t>
      </w:r>
    </w:p>
    <w:p w14:paraId="584F7F42" w14:textId="58ED3E4E" w:rsidR="00BB18E4" w:rsidRPr="00905424" w:rsidRDefault="00BB18E4" w:rsidP="00763CB3">
      <w:pPr>
        <w:spacing w:after="0" w:line="240" w:lineRule="auto"/>
        <w:ind w:left="426"/>
        <w:jc w:val="center"/>
        <w:rPr>
          <w:rFonts w:ascii="Arial" w:eastAsia="Times New Roman" w:hAnsi="Arial" w:cs="Arial"/>
          <w:b/>
          <w:sz w:val="24"/>
          <w:szCs w:val="24"/>
          <w:u w:val="single"/>
          <w:lang w:eastAsia="en-GB"/>
        </w:rPr>
      </w:pPr>
    </w:p>
    <w:p w14:paraId="1D69F2A6" w14:textId="77777777" w:rsidR="00FF774E" w:rsidRPr="00905424"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u w:val="single"/>
          <w:lang w:eastAsia="en-GB"/>
        </w:rPr>
      </w:pPr>
      <w:r w:rsidRPr="00905424">
        <w:rPr>
          <w:rFonts w:ascii="Arial" w:eastAsia="Times New Roman" w:hAnsi="Arial" w:cs="Arial"/>
          <w:u w:val="single"/>
          <w:lang w:eastAsia="en-GB"/>
        </w:rPr>
        <w:t>Explain and employ analytical products provided by intelligence specialists during the course of an investigation</w:t>
      </w: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5091C2E8" w14:textId="77777777" w:rsidR="00905424" w:rsidRDefault="00905424" w:rsidP="00905424">
      <w:pPr>
        <w:rPr>
          <w:rFonts w:ascii="Arial" w:hAnsi="Arial" w:cs="Arial"/>
          <w:bCs/>
          <w:sz w:val="24"/>
          <w:szCs w:val="24"/>
        </w:rPr>
      </w:pPr>
      <w:r w:rsidRPr="002603AE">
        <w:rPr>
          <w:rFonts w:ascii="Arial" w:hAnsi="Arial" w:cs="Arial"/>
          <w:bCs/>
          <w:sz w:val="24"/>
          <w:szCs w:val="24"/>
        </w:rPr>
        <w:t>Various models of policing are utilised in the UK. They do not conflict with each other or exclude the different elements or approaches. The key ones are Intelligence led policing, predictive policing, problem-orientated policing and zero tolerance policing.</w:t>
      </w:r>
      <w:r>
        <w:rPr>
          <w:rFonts w:ascii="Arial" w:hAnsi="Arial" w:cs="Arial"/>
          <w:bCs/>
          <w:sz w:val="24"/>
          <w:szCs w:val="24"/>
        </w:rPr>
        <w:t xml:space="preserve"> (Bryant and Bryant.2020). </w:t>
      </w:r>
    </w:p>
    <w:p w14:paraId="02EF19EC" w14:textId="77777777" w:rsidR="00905424" w:rsidRPr="002603AE" w:rsidRDefault="00905424" w:rsidP="00905424">
      <w:pPr>
        <w:rPr>
          <w:rFonts w:ascii="Arial" w:hAnsi="Arial" w:cs="Arial"/>
          <w:bCs/>
          <w:sz w:val="24"/>
          <w:szCs w:val="24"/>
        </w:rPr>
      </w:pPr>
      <w:r w:rsidRPr="002603AE">
        <w:rPr>
          <w:rFonts w:ascii="Arial" w:hAnsi="Arial" w:cs="Arial"/>
          <w:bCs/>
          <w:sz w:val="24"/>
          <w:szCs w:val="24"/>
        </w:rPr>
        <w:t xml:space="preserve">Intelligence led policing was introduced in the UK in the 1990s, with it aiming to obtain intelligence from a number of different agencies which are then pooled in order to ‘disrupt, disable or undermine criminal behaviour’. (Stelfox, 2008, in Newburn and Neyroud, 2008 p 146). The aim of this model is to target high volume and repeat offenders, following the gathering of intelligence and analysis. This process does require significant investment in staff resources, with potentially differing skills including social media analysis and data manipulation. Research by the Audit Commission in 1993 showed a high percentage of all crime was carried out by a small percentage of criminals (Bryant and Bryant, 2019). Identifying patterns of crime and linking crimes together using intelligence is also a feature of intelligence led policing. </w:t>
      </w:r>
    </w:p>
    <w:p w14:paraId="29C22BD5" w14:textId="77777777" w:rsidR="00905424" w:rsidRPr="002603AE" w:rsidRDefault="00905424" w:rsidP="00905424">
      <w:pPr>
        <w:rPr>
          <w:rFonts w:ascii="Arial" w:hAnsi="Arial" w:cs="Arial"/>
          <w:bCs/>
          <w:sz w:val="24"/>
          <w:szCs w:val="24"/>
        </w:rPr>
      </w:pPr>
      <w:r w:rsidRPr="002603AE">
        <w:rPr>
          <w:rFonts w:ascii="Arial" w:hAnsi="Arial" w:cs="Arial"/>
          <w:bCs/>
          <w:sz w:val="24"/>
          <w:szCs w:val="24"/>
        </w:rPr>
        <w:t xml:space="preserve"> Problem orientated policing was developed by Herman Goldstein as a method of policing through tackling problems in communities (Tilley, 2008). This method suggests that Police should analyse the calls from the public and seek to understand the factors causing the need for police assistance.   The strengths of this approach are that it could help to define and tackle the root causes of crime, but weaknesses are that it could stretch police resources, especially as the Police are unable to directly influence the problems of poor housing, deprivation and unemployment which may contribute to a high crime rate.</w:t>
      </w:r>
    </w:p>
    <w:p w14:paraId="19184D98" w14:textId="77777777" w:rsidR="00905424" w:rsidRPr="002603AE" w:rsidRDefault="00905424" w:rsidP="00905424">
      <w:pPr>
        <w:rPr>
          <w:rFonts w:ascii="Arial" w:hAnsi="Arial" w:cs="Arial"/>
          <w:bCs/>
          <w:sz w:val="24"/>
          <w:szCs w:val="24"/>
        </w:rPr>
      </w:pPr>
      <w:r w:rsidRPr="002603AE">
        <w:rPr>
          <w:rFonts w:ascii="Arial" w:hAnsi="Arial" w:cs="Arial"/>
          <w:bCs/>
          <w:sz w:val="24"/>
          <w:szCs w:val="24"/>
        </w:rPr>
        <w:lastRenderedPageBreak/>
        <w:t>Predictive Policing uses mathematical, analytical, and predictive techniques to spot potential criminal activity in an area. It is a positive that this can save on resources by targeting activity, but there are weaknesses around the need to have accurate and reliable data collection mechanisms, failure to address the underlying factors around crime and it being seen as resource intensive. (Bryant and Bryant, 2019).</w:t>
      </w:r>
    </w:p>
    <w:p w14:paraId="54658813" w14:textId="77777777" w:rsidR="00905424" w:rsidRPr="002603AE" w:rsidRDefault="00905424" w:rsidP="00905424">
      <w:pPr>
        <w:rPr>
          <w:rFonts w:ascii="Arial" w:hAnsi="Arial" w:cs="Arial"/>
          <w:bCs/>
          <w:sz w:val="24"/>
          <w:szCs w:val="24"/>
        </w:rPr>
      </w:pPr>
      <w:r w:rsidRPr="002603AE">
        <w:rPr>
          <w:rFonts w:ascii="Arial" w:hAnsi="Arial" w:cs="Arial"/>
          <w:bCs/>
          <w:sz w:val="24"/>
          <w:szCs w:val="24"/>
        </w:rPr>
        <w:t xml:space="preserve">Zero tolerance policing has been associated with the actions of New York City in the 1990s. High levels of offending in the city, with drug related crime, robberies and murder being prominent, led to a tougher attitude of Policing. This meant that Police would respond strongly to even low-level criminality.  Sometimes referred to as a ‘broken windows’ strategy, it was argued that neglect and social disorder led to crime and tackling even the most minor offending in a robust way was necessary. Whilst some success was attributed to this, it has also been criticised due to high levels of prison sentences and suspicion among communities that felt it targeted particular sectors of the population. (Bryant and Bryant,2019). </w:t>
      </w:r>
    </w:p>
    <w:p w14:paraId="56222229" w14:textId="77777777" w:rsidR="00905424" w:rsidRPr="002603AE" w:rsidRDefault="00905424" w:rsidP="00905424">
      <w:pPr>
        <w:rPr>
          <w:rFonts w:ascii="Arial" w:hAnsi="Arial" w:cs="Arial"/>
          <w:bCs/>
          <w:sz w:val="24"/>
          <w:szCs w:val="24"/>
        </w:rPr>
      </w:pPr>
      <w:r w:rsidRPr="002603AE">
        <w:rPr>
          <w:rFonts w:ascii="Arial" w:hAnsi="Arial" w:cs="Arial"/>
          <w:bCs/>
          <w:sz w:val="24"/>
          <w:szCs w:val="24"/>
        </w:rPr>
        <w:t xml:space="preserve">There are common factors within these differing policing models in the use of analysis, intelligence, and computers. A combination of these being used to support the deployment of resources and the direct ways of engaging with communities. </w:t>
      </w:r>
    </w:p>
    <w:p w14:paraId="76854FE4" w14:textId="77777777" w:rsidR="00905424" w:rsidRPr="002603AE" w:rsidRDefault="00905424" w:rsidP="00905424">
      <w:pPr>
        <w:rPr>
          <w:rFonts w:ascii="Arial" w:hAnsi="Arial" w:cs="Arial"/>
          <w:bCs/>
          <w:sz w:val="24"/>
          <w:szCs w:val="24"/>
        </w:rPr>
      </w:pPr>
      <w:r w:rsidRPr="002603AE">
        <w:rPr>
          <w:rFonts w:ascii="Arial" w:hAnsi="Arial" w:cs="Arial"/>
          <w:bCs/>
          <w:sz w:val="24"/>
          <w:szCs w:val="24"/>
        </w:rPr>
        <w:t xml:space="preserve">An important factor is identifying who the intelligence specialist within the service is, and what they can provide to support the front-line officer. The sharing of relevant data and information is vital in the deployment of resources and being able to target potential hot spot areas and crimes to support crime prevention. </w:t>
      </w:r>
    </w:p>
    <w:p w14:paraId="7356C53A"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During the course of an investigation intelligence specialists can provide information and data from a variety of sources and via various analytical products. These can include information from Covert Human Intelligence Sources (CHIS) (</w:t>
      </w:r>
      <w:r>
        <w:rPr>
          <w:rFonts w:ascii="Arial" w:hAnsi="Arial" w:cs="Arial"/>
          <w:bCs/>
          <w:sz w:val="24"/>
          <w:szCs w:val="24"/>
        </w:rPr>
        <w:t>Billingsley, 2009</w:t>
      </w:r>
      <w:r w:rsidRPr="00072117">
        <w:rPr>
          <w:rFonts w:ascii="Arial" w:hAnsi="Arial" w:cs="Arial"/>
          <w:bCs/>
          <w:sz w:val="24"/>
          <w:szCs w:val="24"/>
        </w:rPr>
        <w:t>), NICHE</w:t>
      </w:r>
      <w:r>
        <w:rPr>
          <w:rFonts w:ascii="Arial" w:hAnsi="Arial" w:cs="Arial"/>
          <w:bCs/>
          <w:sz w:val="24"/>
          <w:szCs w:val="24"/>
        </w:rPr>
        <w:t xml:space="preserve"> (HMIC. 2014)</w:t>
      </w:r>
      <w:r w:rsidRPr="00072117">
        <w:rPr>
          <w:rFonts w:ascii="Arial" w:hAnsi="Arial" w:cs="Arial"/>
          <w:bCs/>
          <w:sz w:val="24"/>
          <w:szCs w:val="24"/>
        </w:rPr>
        <w:t xml:space="preserve">, The National Intelligence Model, Online sources, CCTV surveillance information, IDNENT! </w:t>
      </w:r>
      <w:r>
        <w:rPr>
          <w:rFonts w:ascii="Arial" w:hAnsi="Arial" w:cs="Arial"/>
          <w:bCs/>
          <w:sz w:val="24"/>
          <w:szCs w:val="24"/>
        </w:rPr>
        <w:t>T</w:t>
      </w:r>
      <w:r w:rsidRPr="00072117">
        <w:rPr>
          <w:rFonts w:ascii="Arial" w:hAnsi="Arial" w:cs="Arial"/>
          <w:bCs/>
          <w:sz w:val="24"/>
          <w:szCs w:val="24"/>
        </w:rPr>
        <w:t>he National DNA database, sex offenders register and the Police National Computer</w:t>
      </w:r>
      <w:r>
        <w:rPr>
          <w:rFonts w:ascii="Arial" w:hAnsi="Arial" w:cs="Arial"/>
          <w:bCs/>
          <w:sz w:val="24"/>
          <w:szCs w:val="24"/>
        </w:rPr>
        <w:t xml:space="preserve"> (Bryant and Bryant, 2019)</w:t>
      </w:r>
      <w:r w:rsidRPr="00072117">
        <w:rPr>
          <w:rFonts w:ascii="Arial" w:hAnsi="Arial" w:cs="Arial"/>
          <w:bCs/>
          <w:sz w:val="24"/>
          <w:szCs w:val="24"/>
        </w:rPr>
        <w:t>.</w:t>
      </w:r>
    </w:p>
    <w:p w14:paraId="62D93562"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 xml:space="preserve">Intelligence gathering during an investigation could potentially come from many sources, including interviews, and statements from members of the public, CCTV footage, telephone records, and local knowledge from </w:t>
      </w:r>
      <w:r>
        <w:rPr>
          <w:rFonts w:ascii="Arial" w:hAnsi="Arial" w:cs="Arial"/>
          <w:bCs/>
          <w:sz w:val="24"/>
          <w:szCs w:val="24"/>
        </w:rPr>
        <w:t xml:space="preserve">police </w:t>
      </w:r>
      <w:r w:rsidRPr="00072117">
        <w:rPr>
          <w:rFonts w:ascii="Arial" w:hAnsi="Arial" w:cs="Arial"/>
          <w:bCs/>
          <w:sz w:val="24"/>
          <w:szCs w:val="24"/>
        </w:rPr>
        <w:t xml:space="preserve">officers </w:t>
      </w:r>
      <w:r>
        <w:rPr>
          <w:rFonts w:ascii="Arial" w:hAnsi="Arial" w:cs="Arial"/>
          <w:bCs/>
          <w:sz w:val="24"/>
          <w:szCs w:val="24"/>
        </w:rPr>
        <w:t xml:space="preserve">who are </w:t>
      </w:r>
      <w:r w:rsidRPr="00072117">
        <w:rPr>
          <w:rFonts w:ascii="Arial" w:hAnsi="Arial" w:cs="Arial"/>
          <w:bCs/>
          <w:sz w:val="24"/>
          <w:szCs w:val="24"/>
        </w:rPr>
        <w:t>familiar with the location and type of crime. This information and intelligence are supported by resources from various sources</w:t>
      </w:r>
      <w:r>
        <w:rPr>
          <w:rFonts w:ascii="Arial" w:hAnsi="Arial" w:cs="Arial"/>
          <w:bCs/>
          <w:sz w:val="24"/>
          <w:szCs w:val="24"/>
        </w:rPr>
        <w:t xml:space="preserve"> such as local authority information, previous data analysis, and intelligence (Newburn. 2008).</w:t>
      </w:r>
      <w:r w:rsidRPr="00072117">
        <w:rPr>
          <w:rFonts w:ascii="Arial" w:hAnsi="Arial" w:cs="Arial"/>
          <w:bCs/>
          <w:sz w:val="24"/>
          <w:szCs w:val="24"/>
        </w:rPr>
        <w:t xml:space="preserve"> </w:t>
      </w:r>
    </w:p>
    <w:p w14:paraId="41E1DF6C"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The National Intelligence Model</w:t>
      </w:r>
      <w:r>
        <w:rPr>
          <w:rFonts w:ascii="Arial" w:hAnsi="Arial" w:cs="Arial"/>
          <w:bCs/>
          <w:sz w:val="24"/>
          <w:szCs w:val="24"/>
        </w:rPr>
        <w:t xml:space="preserve"> (NIM)</w:t>
      </w:r>
      <w:r w:rsidRPr="00072117">
        <w:rPr>
          <w:rFonts w:ascii="Arial" w:hAnsi="Arial" w:cs="Arial"/>
          <w:bCs/>
          <w:sz w:val="24"/>
          <w:szCs w:val="24"/>
        </w:rPr>
        <w:t xml:space="preserve"> was launched in 2000 and uses intelligence to</w:t>
      </w:r>
      <w:r>
        <w:rPr>
          <w:rFonts w:ascii="Arial" w:hAnsi="Arial" w:cs="Arial"/>
          <w:bCs/>
          <w:sz w:val="24"/>
          <w:szCs w:val="24"/>
        </w:rPr>
        <w:t xml:space="preserve"> help</w:t>
      </w:r>
      <w:r w:rsidRPr="00072117">
        <w:rPr>
          <w:rFonts w:ascii="Arial" w:hAnsi="Arial" w:cs="Arial"/>
          <w:bCs/>
          <w:sz w:val="24"/>
          <w:szCs w:val="24"/>
        </w:rPr>
        <w:t xml:space="preserve"> determine key priorities for policing. The Tasking and Coordinating Process involved in the NIM establishes three levels of crimes – Level 1 (local B</w:t>
      </w:r>
      <w:r>
        <w:rPr>
          <w:rFonts w:ascii="Arial" w:hAnsi="Arial" w:cs="Arial"/>
          <w:bCs/>
          <w:sz w:val="24"/>
          <w:szCs w:val="24"/>
        </w:rPr>
        <w:t xml:space="preserve">asic </w:t>
      </w:r>
      <w:r w:rsidRPr="00072117">
        <w:rPr>
          <w:rFonts w:ascii="Arial" w:hAnsi="Arial" w:cs="Arial"/>
          <w:bCs/>
          <w:sz w:val="24"/>
          <w:szCs w:val="24"/>
        </w:rPr>
        <w:t>C</w:t>
      </w:r>
      <w:r>
        <w:rPr>
          <w:rFonts w:ascii="Arial" w:hAnsi="Arial" w:cs="Arial"/>
          <w:bCs/>
          <w:sz w:val="24"/>
          <w:szCs w:val="24"/>
        </w:rPr>
        <w:t xml:space="preserve">ommand </w:t>
      </w:r>
      <w:r w:rsidRPr="00072117">
        <w:rPr>
          <w:rFonts w:ascii="Arial" w:hAnsi="Arial" w:cs="Arial"/>
          <w:bCs/>
          <w:sz w:val="24"/>
          <w:szCs w:val="24"/>
        </w:rPr>
        <w:t>U</w:t>
      </w:r>
      <w:r>
        <w:rPr>
          <w:rFonts w:ascii="Arial" w:hAnsi="Arial" w:cs="Arial"/>
          <w:bCs/>
          <w:sz w:val="24"/>
          <w:szCs w:val="24"/>
        </w:rPr>
        <w:t>nit</w:t>
      </w:r>
      <w:r w:rsidRPr="00072117">
        <w:rPr>
          <w:rFonts w:ascii="Arial" w:hAnsi="Arial" w:cs="Arial"/>
          <w:bCs/>
          <w:sz w:val="24"/>
          <w:szCs w:val="24"/>
        </w:rPr>
        <w:t xml:space="preserve"> level), Level 2 (Force and regional) and Level 3 (National). These levels are used to determine what resourcing would be </w:t>
      </w:r>
      <w:r>
        <w:rPr>
          <w:rFonts w:ascii="Arial" w:hAnsi="Arial" w:cs="Arial"/>
          <w:bCs/>
          <w:sz w:val="24"/>
          <w:szCs w:val="24"/>
        </w:rPr>
        <w:t>necessary</w:t>
      </w:r>
      <w:r w:rsidRPr="00072117">
        <w:rPr>
          <w:rFonts w:ascii="Arial" w:hAnsi="Arial" w:cs="Arial"/>
          <w:bCs/>
          <w:sz w:val="24"/>
          <w:szCs w:val="24"/>
        </w:rPr>
        <w:t xml:space="preserve"> to address crimes established within these levels. (</w:t>
      </w:r>
      <w:r>
        <w:rPr>
          <w:rFonts w:ascii="Arial" w:hAnsi="Arial" w:cs="Arial"/>
          <w:bCs/>
          <w:sz w:val="24"/>
          <w:szCs w:val="24"/>
        </w:rPr>
        <w:t>Bryant and Bryant.2020</w:t>
      </w:r>
      <w:r w:rsidRPr="00072117">
        <w:rPr>
          <w:rFonts w:ascii="Arial" w:hAnsi="Arial" w:cs="Arial"/>
          <w:bCs/>
          <w:sz w:val="24"/>
          <w:szCs w:val="24"/>
        </w:rPr>
        <w:t>).</w:t>
      </w:r>
    </w:p>
    <w:p w14:paraId="1144FE84" w14:textId="77777777" w:rsidR="00905424" w:rsidRPr="00072117" w:rsidRDefault="00905424" w:rsidP="00905424">
      <w:pPr>
        <w:spacing w:before="240"/>
        <w:rPr>
          <w:rFonts w:ascii="Arial" w:hAnsi="Arial" w:cs="Arial"/>
          <w:bCs/>
          <w:sz w:val="24"/>
          <w:szCs w:val="24"/>
        </w:rPr>
      </w:pPr>
      <w:r w:rsidRPr="00072117">
        <w:rPr>
          <w:rFonts w:ascii="Arial" w:hAnsi="Arial" w:cs="Arial"/>
          <w:bCs/>
          <w:sz w:val="24"/>
          <w:szCs w:val="24"/>
        </w:rPr>
        <w:t>Access to basic information is vital during an investigation. The way in which information is handled is covered by the Management of Police Information (MoPI) protocol and principles. There are two large databases that would provide information and intelligence to an investigation</w:t>
      </w:r>
      <w:r>
        <w:rPr>
          <w:rFonts w:ascii="Arial" w:hAnsi="Arial" w:cs="Arial"/>
          <w:bCs/>
          <w:sz w:val="24"/>
          <w:szCs w:val="24"/>
        </w:rPr>
        <w:t>, t</w:t>
      </w:r>
      <w:r w:rsidRPr="00072117">
        <w:rPr>
          <w:rFonts w:ascii="Arial" w:hAnsi="Arial" w:cs="Arial"/>
          <w:bCs/>
          <w:sz w:val="24"/>
          <w:szCs w:val="24"/>
        </w:rPr>
        <w:t>hese are the Police National Computer (PNC) and the Police National Database (PND). The PNC is invaluable at a local level for checks on suspects, whilst the PND is used</w:t>
      </w:r>
      <w:r>
        <w:rPr>
          <w:rFonts w:ascii="Arial" w:hAnsi="Arial" w:cs="Arial"/>
          <w:bCs/>
          <w:sz w:val="24"/>
          <w:szCs w:val="24"/>
        </w:rPr>
        <w:t xml:space="preserve"> more</w:t>
      </w:r>
      <w:r w:rsidRPr="00072117">
        <w:rPr>
          <w:rFonts w:ascii="Arial" w:hAnsi="Arial" w:cs="Arial"/>
          <w:bCs/>
          <w:sz w:val="24"/>
          <w:szCs w:val="24"/>
        </w:rPr>
        <w:t xml:space="preserve"> within more detailed investigation</w:t>
      </w:r>
      <w:r>
        <w:rPr>
          <w:rFonts w:ascii="Arial" w:hAnsi="Arial" w:cs="Arial"/>
          <w:bCs/>
          <w:sz w:val="24"/>
          <w:szCs w:val="24"/>
        </w:rPr>
        <w:t xml:space="preserve"> (Bryant and Bryant. 2020)</w:t>
      </w:r>
      <w:r w:rsidRPr="00072117">
        <w:rPr>
          <w:rFonts w:ascii="Arial" w:hAnsi="Arial" w:cs="Arial"/>
          <w:bCs/>
          <w:sz w:val="24"/>
          <w:szCs w:val="24"/>
        </w:rPr>
        <w:t xml:space="preserve">. </w:t>
      </w:r>
    </w:p>
    <w:p w14:paraId="1EE4BDFC" w14:textId="77777777" w:rsidR="00905424" w:rsidRPr="00072117" w:rsidRDefault="00905424" w:rsidP="00905424">
      <w:pPr>
        <w:spacing w:before="240"/>
        <w:rPr>
          <w:rFonts w:ascii="Arial" w:hAnsi="Arial" w:cs="Arial"/>
          <w:bCs/>
          <w:sz w:val="24"/>
          <w:szCs w:val="24"/>
        </w:rPr>
      </w:pPr>
      <w:r w:rsidRPr="00072117">
        <w:rPr>
          <w:rFonts w:ascii="Arial" w:hAnsi="Arial" w:cs="Arial"/>
          <w:bCs/>
          <w:sz w:val="24"/>
          <w:szCs w:val="24"/>
        </w:rPr>
        <w:lastRenderedPageBreak/>
        <w:t>The PNC contains extensive information about people, vehicles, driving licences and property. The PND allows for information and intelligence to be shared between police forces</w:t>
      </w:r>
      <w:r>
        <w:rPr>
          <w:rFonts w:ascii="Arial" w:hAnsi="Arial" w:cs="Arial"/>
          <w:bCs/>
          <w:sz w:val="24"/>
          <w:szCs w:val="24"/>
        </w:rPr>
        <w:t xml:space="preserve"> and</w:t>
      </w:r>
      <w:r w:rsidRPr="00072117">
        <w:rPr>
          <w:rFonts w:ascii="Arial" w:hAnsi="Arial" w:cs="Arial"/>
          <w:bCs/>
          <w:sz w:val="24"/>
          <w:szCs w:val="24"/>
        </w:rPr>
        <w:t xml:space="preserve"> was set up in 2011 following the inquiry into the Soham murders in 2002. The PND contains information about people, objects (e.g., stolen cars), locations, and events (e.g., crime reports). Checks can be made through this database to see what information is held on an individual by other police force</w:t>
      </w:r>
      <w:r>
        <w:rPr>
          <w:rFonts w:ascii="Arial" w:hAnsi="Arial" w:cs="Arial"/>
          <w:bCs/>
          <w:sz w:val="24"/>
          <w:szCs w:val="24"/>
        </w:rPr>
        <w:t>s</w:t>
      </w:r>
      <w:r w:rsidRPr="00072117">
        <w:rPr>
          <w:rFonts w:ascii="Arial" w:hAnsi="Arial" w:cs="Arial"/>
          <w:bCs/>
          <w:sz w:val="24"/>
          <w:szCs w:val="24"/>
        </w:rPr>
        <w:t>.</w:t>
      </w:r>
      <w:r>
        <w:rPr>
          <w:rFonts w:ascii="Arial" w:hAnsi="Arial" w:cs="Arial"/>
          <w:bCs/>
          <w:sz w:val="24"/>
          <w:szCs w:val="24"/>
        </w:rPr>
        <w:t xml:space="preserve"> (Dixon. 2004).</w:t>
      </w:r>
      <w:r w:rsidRPr="00072117">
        <w:rPr>
          <w:rFonts w:ascii="Arial" w:hAnsi="Arial" w:cs="Arial"/>
          <w:bCs/>
          <w:sz w:val="24"/>
          <w:szCs w:val="24"/>
        </w:rPr>
        <w:t xml:space="preserve"> </w:t>
      </w:r>
    </w:p>
    <w:p w14:paraId="48593095"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Intelligence specialists within the force will analyse intelligence to establish patterns</w:t>
      </w:r>
      <w:r>
        <w:rPr>
          <w:rFonts w:ascii="Arial" w:hAnsi="Arial" w:cs="Arial"/>
          <w:bCs/>
          <w:sz w:val="24"/>
          <w:szCs w:val="24"/>
        </w:rPr>
        <w:t>,</w:t>
      </w:r>
      <w:r w:rsidRPr="00072117">
        <w:rPr>
          <w:rFonts w:ascii="Arial" w:hAnsi="Arial" w:cs="Arial"/>
          <w:bCs/>
          <w:sz w:val="24"/>
          <w:szCs w:val="24"/>
        </w:rPr>
        <w:t xml:space="preserve"> the nature of the crime</w:t>
      </w:r>
      <w:r>
        <w:rPr>
          <w:rFonts w:ascii="Arial" w:hAnsi="Arial" w:cs="Arial"/>
          <w:bCs/>
          <w:sz w:val="24"/>
          <w:szCs w:val="24"/>
        </w:rPr>
        <w:t>,</w:t>
      </w:r>
      <w:r w:rsidRPr="00072117">
        <w:rPr>
          <w:rFonts w:ascii="Arial" w:hAnsi="Arial" w:cs="Arial"/>
          <w:bCs/>
          <w:sz w:val="24"/>
          <w:szCs w:val="24"/>
        </w:rPr>
        <w:t xml:space="preserve"> and the way it was committed.  The</w:t>
      </w:r>
      <w:r>
        <w:rPr>
          <w:rFonts w:ascii="Arial" w:hAnsi="Arial" w:cs="Arial"/>
          <w:bCs/>
          <w:sz w:val="24"/>
          <w:szCs w:val="24"/>
        </w:rPr>
        <w:t>y</w:t>
      </w:r>
      <w:r w:rsidRPr="00072117">
        <w:rPr>
          <w:rFonts w:ascii="Arial" w:hAnsi="Arial" w:cs="Arial"/>
          <w:bCs/>
          <w:sz w:val="24"/>
          <w:szCs w:val="24"/>
        </w:rPr>
        <w:t xml:space="preserve"> try and match that to other similar crimes or activities. The NIM says that analysis should be within four main areas: -</w:t>
      </w:r>
    </w:p>
    <w:p w14:paraId="20A99B46" w14:textId="77777777" w:rsidR="00905424" w:rsidRPr="00072117" w:rsidRDefault="00905424" w:rsidP="00905424">
      <w:pPr>
        <w:pStyle w:val="ListParagraph"/>
        <w:numPr>
          <w:ilvl w:val="0"/>
          <w:numId w:val="9"/>
        </w:numPr>
        <w:rPr>
          <w:rFonts w:ascii="Arial" w:hAnsi="Arial" w:cs="Arial"/>
          <w:bCs/>
          <w:sz w:val="24"/>
          <w:szCs w:val="24"/>
        </w:rPr>
      </w:pPr>
      <w:r w:rsidRPr="00072117">
        <w:rPr>
          <w:rFonts w:ascii="Arial" w:hAnsi="Arial" w:cs="Arial"/>
          <w:bCs/>
          <w:sz w:val="24"/>
          <w:szCs w:val="24"/>
        </w:rPr>
        <w:t>Problem profiling.</w:t>
      </w:r>
    </w:p>
    <w:p w14:paraId="25B6896C" w14:textId="77777777" w:rsidR="00905424" w:rsidRPr="00072117" w:rsidRDefault="00905424" w:rsidP="00905424">
      <w:pPr>
        <w:pStyle w:val="ListParagraph"/>
        <w:numPr>
          <w:ilvl w:val="0"/>
          <w:numId w:val="9"/>
        </w:numPr>
        <w:rPr>
          <w:rFonts w:ascii="Arial" w:hAnsi="Arial" w:cs="Arial"/>
          <w:bCs/>
          <w:sz w:val="24"/>
          <w:szCs w:val="24"/>
        </w:rPr>
      </w:pPr>
      <w:r w:rsidRPr="00072117">
        <w:rPr>
          <w:rFonts w:ascii="Arial" w:hAnsi="Arial" w:cs="Arial"/>
          <w:bCs/>
          <w:sz w:val="24"/>
          <w:szCs w:val="24"/>
        </w:rPr>
        <w:t>Subject profiling.</w:t>
      </w:r>
    </w:p>
    <w:p w14:paraId="66C2C887" w14:textId="77777777" w:rsidR="00905424" w:rsidRDefault="00905424" w:rsidP="00905424">
      <w:pPr>
        <w:pStyle w:val="ListParagraph"/>
        <w:numPr>
          <w:ilvl w:val="0"/>
          <w:numId w:val="9"/>
        </w:numPr>
        <w:rPr>
          <w:rFonts w:ascii="Arial" w:hAnsi="Arial" w:cs="Arial"/>
          <w:bCs/>
          <w:sz w:val="24"/>
          <w:szCs w:val="24"/>
        </w:rPr>
      </w:pPr>
      <w:r w:rsidRPr="00072117">
        <w:rPr>
          <w:rFonts w:ascii="Arial" w:hAnsi="Arial" w:cs="Arial"/>
          <w:bCs/>
          <w:sz w:val="24"/>
          <w:szCs w:val="24"/>
        </w:rPr>
        <w:t xml:space="preserve">Tactical assessment and </w:t>
      </w:r>
    </w:p>
    <w:p w14:paraId="5993CA25" w14:textId="77777777" w:rsidR="00905424" w:rsidRPr="00072117" w:rsidRDefault="00905424" w:rsidP="00905424">
      <w:pPr>
        <w:pStyle w:val="ListParagraph"/>
        <w:numPr>
          <w:ilvl w:val="0"/>
          <w:numId w:val="9"/>
        </w:numPr>
        <w:rPr>
          <w:rFonts w:ascii="Arial" w:hAnsi="Arial" w:cs="Arial"/>
          <w:bCs/>
          <w:sz w:val="24"/>
          <w:szCs w:val="24"/>
        </w:rPr>
      </w:pPr>
      <w:r w:rsidRPr="00072117">
        <w:rPr>
          <w:rFonts w:ascii="Arial" w:hAnsi="Arial" w:cs="Arial"/>
          <w:bCs/>
          <w:sz w:val="24"/>
          <w:szCs w:val="24"/>
        </w:rPr>
        <w:t xml:space="preserve">strategic assessments. </w:t>
      </w:r>
    </w:p>
    <w:p w14:paraId="15BEC4E3"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 xml:space="preserve">Within this framework intelligence specialists can produce crime pattern analysis, network analysis, case analysis and crime trend analysis. Many different models of using this intelligence are available and used.  Intelligence specialists can utilise various I.T systems and packages to construct intelligence to support investigations. Packages of data and intelligence would ideally give a view of what crimes were being undertaken in an area, and by whom, and if patterns of repeat crimes are happening. </w:t>
      </w:r>
      <w:r>
        <w:rPr>
          <w:rFonts w:ascii="Arial" w:hAnsi="Arial" w:cs="Arial"/>
          <w:bCs/>
          <w:sz w:val="24"/>
          <w:szCs w:val="24"/>
        </w:rPr>
        <w:t xml:space="preserve">(Bullock and Tilley. 2012). </w:t>
      </w:r>
    </w:p>
    <w:p w14:paraId="5293EAF7" w14:textId="77777777" w:rsidR="00905424" w:rsidRPr="00072117" w:rsidRDefault="00905424" w:rsidP="00905424">
      <w:pPr>
        <w:rPr>
          <w:rFonts w:ascii="Arial" w:hAnsi="Arial" w:cs="Arial"/>
          <w:bCs/>
          <w:sz w:val="24"/>
          <w:szCs w:val="24"/>
        </w:rPr>
      </w:pPr>
      <w:r w:rsidRPr="00072117">
        <w:rPr>
          <w:rFonts w:ascii="Arial" w:hAnsi="Arial" w:cs="Arial"/>
          <w:bCs/>
          <w:sz w:val="24"/>
          <w:szCs w:val="24"/>
        </w:rPr>
        <w:t xml:space="preserve">Information </w:t>
      </w:r>
      <w:r>
        <w:rPr>
          <w:rFonts w:ascii="Arial" w:hAnsi="Arial" w:cs="Arial"/>
          <w:bCs/>
          <w:sz w:val="24"/>
          <w:szCs w:val="24"/>
        </w:rPr>
        <w:t>obtained</w:t>
      </w:r>
      <w:r w:rsidRPr="00072117">
        <w:rPr>
          <w:rFonts w:ascii="Arial" w:hAnsi="Arial" w:cs="Arial"/>
          <w:bCs/>
          <w:sz w:val="24"/>
          <w:szCs w:val="24"/>
        </w:rPr>
        <w:t xml:space="preserve"> from many sources external to the police which will be subject to protocols – e.g., Local Authority Social Services, court proceedings and other partner agencies. Other public services who have direct knowledge of communities, for example, Fire and Rescue Services and Ambulance and health services could be sources</w:t>
      </w:r>
      <w:r>
        <w:rPr>
          <w:rFonts w:ascii="Arial" w:hAnsi="Arial" w:cs="Arial"/>
          <w:bCs/>
          <w:sz w:val="24"/>
          <w:szCs w:val="24"/>
        </w:rPr>
        <w:t xml:space="preserve"> of</w:t>
      </w:r>
      <w:r w:rsidRPr="00072117">
        <w:rPr>
          <w:rFonts w:ascii="Arial" w:hAnsi="Arial" w:cs="Arial"/>
          <w:bCs/>
          <w:sz w:val="24"/>
          <w:szCs w:val="24"/>
        </w:rPr>
        <w:t xml:space="preserve"> contributory intelligence about what is happening on the ground.</w:t>
      </w:r>
    </w:p>
    <w:p w14:paraId="1C2BB245" w14:textId="5362CB52" w:rsidR="00BB18E4" w:rsidRDefault="00BB18E4" w:rsidP="00FF774E">
      <w:pPr>
        <w:spacing w:after="0" w:line="240" w:lineRule="auto"/>
        <w:ind w:left="426"/>
        <w:rPr>
          <w:rFonts w:ascii="Arial" w:eastAsia="Times New Roman" w:hAnsi="Arial" w:cs="Arial"/>
          <w:b/>
          <w:sz w:val="24"/>
          <w:szCs w:val="24"/>
          <w:lang w:eastAsia="en-GB"/>
        </w:rPr>
      </w:pPr>
    </w:p>
    <w:p w14:paraId="073CA140" w14:textId="5A928521" w:rsidR="00BB18E4" w:rsidRPr="00905424" w:rsidRDefault="00905424" w:rsidP="00905424">
      <w:pPr>
        <w:spacing w:after="0" w:line="240" w:lineRule="auto"/>
        <w:ind w:left="426"/>
        <w:rPr>
          <w:rFonts w:ascii="Arial" w:eastAsia="Times New Roman" w:hAnsi="Arial" w:cs="Arial"/>
          <w:b/>
          <w:sz w:val="24"/>
          <w:szCs w:val="24"/>
          <w:u w:val="single"/>
          <w:lang w:eastAsia="en-GB"/>
        </w:rPr>
      </w:pPr>
      <w:r w:rsidRPr="00905424">
        <w:rPr>
          <w:rFonts w:ascii="Arial" w:eastAsia="Times New Roman" w:hAnsi="Arial" w:cs="Arial"/>
          <w:u w:val="single"/>
          <w:lang w:eastAsia="en-GB"/>
        </w:rPr>
        <w:t xml:space="preserve">Task 3 </w:t>
      </w:r>
    </w:p>
    <w:p w14:paraId="51DD3A6E" w14:textId="2F177A62" w:rsidR="00BB18E4" w:rsidRPr="00905424" w:rsidRDefault="00BB18E4" w:rsidP="00763CB3">
      <w:pPr>
        <w:spacing w:after="0" w:line="240" w:lineRule="auto"/>
        <w:ind w:left="426"/>
        <w:jc w:val="center"/>
        <w:rPr>
          <w:rFonts w:ascii="Arial" w:eastAsia="Times New Roman" w:hAnsi="Arial" w:cs="Arial"/>
          <w:b/>
          <w:sz w:val="24"/>
          <w:szCs w:val="24"/>
          <w:u w:val="single"/>
          <w:lang w:eastAsia="en-GB"/>
        </w:rPr>
      </w:pPr>
    </w:p>
    <w:p w14:paraId="41852F90" w14:textId="512AE04D"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05424">
        <w:rPr>
          <w:rFonts w:ascii="Arial" w:eastAsia="Times New Roman" w:hAnsi="Arial" w:cs="Arial"/>
          <w:u w:val="single"/>
          <w:lang w:eastAsia="en-GB"/>
        </w:rPr>
        <w:t>Critically review key issues relating to the complexity and challenges of operational policing, review examples of critical and major incidents and analyse the role of the police within a joint emergency services operation to establish ‘best practice’</w:t>
      </w:r>
      <w:r>
        <w:rPr>
          <w:rFonts w:ascii="Arial" w:eastAsia="Times New Roman" w:hAnsi="Arial" w:cs="Arial"/>
          <w:lang w:eastAsia="en-GB"/>
        </w:rPr>
        <w:t xml:space="preserve">. </w:t>
      </w:r>
    </w:p>
    <w:p w14:paraId="669F1CE3" w14:textId="420A1795" w:rsidR="00BB18E4" w:rsidRDefault="00BB18E4" w:rsidP="009E333B">
      <w:pPr>
        <w:spacing w:after="0" w:line="240" w:lineRule="auto"/>
        <w:ind w:left="426"/>
        <w:rPr>
          <w:rFonts w:ascii="Arial" w:eastAsia="Times New Roman" w:hAnsi="Arial" w:cs="Arial"/>
          <w:b/>
          <w:sz w:val="24"/>
          <w:szCs w:val="24"/>
          <w:lang w:eastAsia="en-GB"/>
        </w:rPr>
      </w:pPr>
    </w:p>
    <w:p w14:paraId="302ECE7F" w14:textId="77777777" w:rsidR="00905424" w:rsidRPr="00905424" w:rsidRDefault="00905424" w:rsidP="00905424">
      <w:pPr>
        <w:rPr>
          <w:rFonts w:ascii="Arial" w:hAnsi="Arial" w:cs="Arial"/>
        </w:rPr>
      </w:pPr>
    </w:p>
    <w:p w14:paraId="0EB4A360" w14:textId="77777777" w:rsidR="00905424" w:rsidRPr="00905424" w:rsidRDefault="00905424" w:rsidP="00905424">
      <w:pPr>
        <w:rPr>
          <w:rFonts w:ascii="Arial" w:hAnsi="Arial" w:cs="Arial"/>
        </w:rPr>
      </w:pPr>
      <w:r w:rsidRPr="00905424">
        <w:rPr>
          <w:rFonts w:ascii="Arial" w:hAnsi="Arial" w:cs="Arial"/>
        </w:rPr>
        <w:t>The challenges and complexity facing operational policing were considered in a 2016 paper by The Police Foundation (Hayles and Higgins 2016). This paper summarised the challenges as being around: -</w:t>
      </w:r>
    </w:p>
    <w:p w14:paraId="42EC470F"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Complex Governance arrangements leading to confusion about priorities</w:t>
      </w:r>
    </w:p>
    <w:p w14:paraId="7D6ED23A"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Broad public expectations about the role of modern policing (where 80% of calls to the police are not crime-related</w:t>
      </w:r>
    </w:p>
    <w:p w14:paraId="1F83FBB9"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Democratic accountability – where the public expect a visible police presence at all times (and more so when unexpected community tensions arise) which is not possible with the current resource levels</w:t>
      </w:r>
    </w:p>
    <w:p w14:paraId="255CBD67"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lastRenderedPageBreak/>
        <w:t>Complex reliance and tensions relating to differing police models about what is essential and necessary and what level of service is discretionary</w:t>
      </w:r>
    </w:p>
    <w:p w14:paraId="71DAE00C"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Definition of crime and public safety where crime is a symptom of social problems – for example, poor housing conditions, mental health, and missing persons.</w:t>
      </w:r>
    </w:p>
    <w:p w14:paraId="74D21F12"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Balancing the importance of different types of crime and tackling those that cause the most harm</w:t>
      </w:r>
    </w:p>
    <w:p w14:paraId="3BFEF957" w14:textId="77777777" w:rsidR="00905424" w:rsidRPr="00905424" w:rsidRDefault="00905424" w:rsidP="00905424">
      <w:pPr>
        <w:numPr>
          <w:ilvl w:val="0"/>
          <w:numId w:val="10"/>
        </w:numPr>
        <w:contextualSpacing/>
        <w:rPr>
          <w:rFonts w:ascii="Arial" w:hAnsi="Arial" w:cs="Arial"/>
        </w:rPr>
      </w:pPr>
      <w:r w:rsidRPr="00905424">
        <w:rPr>
          <w:rFonts w:ascii="Arial" w:hAnsi="Arial" w:cs="Arial"/>
        </w:rPr>
        <w:t>Limited evidence base to enable decisions on local priorities to be taken, and which ones are most cost effective and best use of resources.</w:t>
      </w:r>
    </w:p>
    <w:p w14:paraId="3FB04590" w14:textId="77777777" w:rsidR="00905424" w:rsidRPr="00905424" w:rsidRDefault="00905424" w:rsidP="00905424">
      <w:pPr>
        <w:rPr>
          <w:rFonts w:ascii="Arial" w:hAnsi="Arial" w:cs="Arial"/>
        </w:rPr>
      </w:pPr>
      <w:r w:rsidRPr="00905424">
        <w:rPr>
          <w:rFonts w:ascii="Arial" w:hAnsi="Arial" w:cs="Arial"/>
        </w:rPr>
        <w:t>The challenges are complex and wide ranging. Using the list of operational competences within the Police Force illustrates how challenging the role of policing can be (Bryant and Bryant. 2020): -</w:t>
      </w:r>
    </w:p>
    <w:p w14:paraId="68697FAD"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Operating in accordance with the law and professional practice, code of ethics</w:t>
      </w:r>
    </w:p>
    <w:p w14:paraId="3253EBF0"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Providing an initial response to policing incidents</w:t>
      </w:r>
    </w:p>
    <w:p w14:paraId="588F12BA"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Managing conflict in a professional policing context</w:t>
      </w:r>
    </w:p>
    <w:p w14:paraId="03CE60C9"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 xml:space="preserve">Providing support to vulnerable people, victims, and witnesses </w:t>
      </w:r>
    </w:p>
    <w:p w14:paraId="1F63B21F"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Using police powers to deal with suspects</w:t>
      </w:r>
    </w:p>
    <w:p w14:paraId="4EB52474"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Conducting police searches and searches of individuals</w:t>
      </w:r>
    </w:p>
    <w:p w14:paraId="16446423"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Conducting priority and volume investigations</w:t>
      </w:r>
    </w:p>
    <w:p w14:paraId="58C25F11"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Interviewing witnesses, victims, and suspects</w:t>
      </w:r>
    </w:p>
    <w:p w14:paraId="33C5EC8A"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Response policing</w:t>
      </w:r>
    </w:p>
    <w:p w14:paraId="4B102A0C"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Policing communities</w:t>
      </w:r>
    </w:p>
    <w:p w14:paraId="4629E5E0"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 xml:space="preserve">Information and intelligence </w:t>
      </w:r>
    </w:p>
    <w:p w14:paraId="5064A235" w14:textId="77777777" w:rsidR="00905424" w:rsidRPr="00905424" w:rsidRDefault="00905424" w:rsidP="00905424">
      <w:pPr>
        <w:numPr>
          <w:ilvl w:val="0"/>
          <w:numId w:val="11"/>
        </w:numPr>
        <w:contextualSpacing/>
        <w:rPr>
          <w:rFonts w:ascii="Arial" w:hAnsi="Arial" w:cs="Arial"/>
        </w:rPr>
      </w:pPr>
      <w:r w:rsidRPr="00905424">
        <w:rPr>
          <w:rFonts w:ascii="Arial" w:hAnsi="Arial" w:cs="Arial"/>
        </w:rPr>
        <w:t>Conducting investigations</w:t>
      </w:r>
    </w:p>
    <w:p w14:paraId="3FAFB14E" w14:textId="77777777" w:rsidR="00905424" w:rsidRPr="00905424" w:rsidRDefault="00905424" w:rsidP="00905424">
      <w:pPr>
        <w:rPr>
          <w:rFonts w:ascii="Arial" w:hAnsi="Arial" w:cs="Arial"/>
        </w:rPr>
      </w:pPr>
      <w:r w:rsidRPr="00905424">
        <w:rPr>
          <w:rFonts w:ascii="Arial" w:hAnsi="Arial" w:cs="Arial"/>
        </w:rPr>
        <w:t>Taking the role of ‘Providing support to vulnerable people, victims and witnesses’ as an example, areas of social change and need are not necessarily matched by resources in Policing. The legislative framework is complex, and the challenges faced by vulnerable people can be wide ranging social and financial issues.  Dealing with the needs of one vulnerable person or household can require considerable time and skills that operational police officers may not be adequately trained in or aware of. The role of the Police Officer is distinctly different from that of a social worker, yet often the need for advice giving, support and the use of discretion are very similar.</w:t>
      </w:r>
    </w:p>
    <w:p w14:paraId="5231E64F" w14:textId="77777777" w:rsidR="00905424" w:rsidRPr="00905424" w:rsidRDefault="00905424" w:rsidP="00905424">
      <w:pPr>
        <w:rPr>
          <w:rFonts w:ascii="Arial" w:hAnsi="Arial" w:cs="Arial"/>
        </w:rPr>
      </w:pPr>
      <w:r w:rsidRPr="00905424">
        <w:rPr>
          <w:rFonts w:ascii="Arial" w:hAnsi="Arial" w:cs="Arial"/>
        </w:rPr>
        <w:t>Examples of critical and major incidents include things like serious road accidents, accidents on railway lines, flooding or apparent murder. Major incidents are emergencies that require the implementation of special arrangements by one or more of the emergency services, the NHS or the Local Authority. It is likely to involve serious harm, damage, security risk, disruption or risk to human life. (NPIA. 2011).</w:t>
      </w:r>
    </w:p>
    <w:p w14:paraId="5F5D50E5" w14:textId="77777777" w:rsidR="00905424" w:rsidRPr="00905424" w:rsidRDefault="00905424" w:rsidP="00905424">
      <w:pPr>
        <w:rPr>
          <w:rFonts w:ascii="Arial" w:hAnsi="Arial" w:cs="Arial"/>
        </w:rPr>
      </w:pPr>
    </w:p>
    <w:p w14:paraId="19F5461F" w14:textId="77777777" w:rsidR="00905424" w:rsidRPr="00905424" w:rsidRDefault="00905424" w:rsidP="00905424">
      <w:pPr>
        <w:rPr>
          <w:rFonts w:ascii="Arial" w:hAnsi="Arial" w:cs="Arial"/>
        </w:rPr>
      </w:pPr>
      <w:r w:rsidRPr="00905424">
        <w:rPr>
          <w:rFonts w:ascii="Arial" w:hAnsi="Arial" w:cs="Arial"/>
        </w:rPr>
        <w:t>Government legislation (</w:t>
      </w:r>
      <w:r w:rsidRPr="00905424">
        <w:rPr>
          <w:rFonts w:ascii="Arial" w:hAnsi="Arial" w:cs="Arial"/>
          <w:i/>
          <w:iCs/>
        </w:rPr>
        <w:t>The Civil Contingencies Act. 2004</w:t>
      </w:r>
      <w:r w:rsidRPr="00905424">
        <w:rPr>
          <w:rFonts w:ascii="Arial" w:hAnsi="Arial" w:cs="Arial"/>
        </w:rPr>
        <w:t>) provides a legislative framework for how major incidents are defined and how different bodies should work together, and plan for such events. For example, it is a legal requirement under the Act to have contingency plans for a variety of emergencies and incidents.</w:t>
      </w:r>
    </w:p>
    <w:p w14:paraId="718FE06F" w14:textId="77777777" w:rsidR="00905424" w:rsidRPr="00905424" w:rsidRDefault="00905424" w:rsidP="00905424">
      <w:pPr>
        <w:rPr>
          <w:rFonts w:ascii="Arial" w:hAnsi="Arial" w:cs="Arial"/>
        </w:rPr>
      </w:pPr>
    </w:p>
    <w:p w14:paraId="37A205F9" w14:textId="77777777" w:rsidR="00905424" w:rsidRPr="00905424" w:rsidRDefault="00905424" w:rsidP="00905424">
      <w:pPr>
        <w:rPr>
          <w:rFonts w:ascii="Arial" w:hAnsi="Arial" w:cs="Arial"/>
        </w:rPr>
      </w:pPr>
      <w:r w:rsidRPr="00905424">
        <w:rPr>
          <w:rFonts w:ascii="Arial" w:hAnsi="Arial" w:cs="Arial"/>
        </w:rPr>
        <w:lastRenderedPageBreak/>
        <w:t>The Joint Emergency Services Interoperability Programme (JESIP) was set up for co-ordinating major incidents requiring multi-agency response. Procedures are in place for joint working between police, fire and rescue and ambulance services. Analysing key elements of the response will be considered after each major incident and lessons that could be learned will be detailed. Sometimes major incidents will result in public enquiries being set up to give an independent view and analysis of what took place and how the response dealt with the incident. For example, the Manchester Arena Inquiry is an independent public inquiry, established on 22 October 2019 by the Home Secretary. The purpose of the Manchester Arena Inquiry is to investigate the deaths of the victims of the 2017 Manchester Arena attack. (JESIP, 2016).</w:t>
      </w:r>
    </w:p>
    <w:p w14:paraId="5DCC00D7" w14:textId="77777777" w:rsidR="00905424" w:rsidRPr="00905424" w:rsidRDefault="00905424" w:rsidP="00905424">
      <w:pPr>
        <w:rPr>
          <w:rFonts w:ascii="Arial" w:hAnsi="Arial" w:cs="Arial"/>
        </w:rPr>
      </w:pPr>
      <w:r w:rsidRPr="00905424">
        <w:rPr>
          <w:rFonts w:ascii="Arial" w:hAnsi="Arial" w:cs="Arial"/>
        </w:rPr>
        <w:t xml:space="preserve">There are different levels of command set up and in use across Police Forces. These   are Gold, Silver and Bronze and refer to the function of the command level. Risk Assessment and deployment decisions are taken to work out the right level of response to a particular incident. (Bryant and Bryant. 2020). Often events may be fast moving, and decisions will have to be taken based on the best knowledge available at any given moment. The safety of local people, the maintenance of evidence, preserving crime scenes and containing terrorist incidents are all major challenges which have to be taken into account. </w:t>
      </w:r>
    </w:p>
    <w:p w14:paraId="76491AB5" w14:textId="77777777" w:rsidR="00905424" w:rsidRPr="00905424" w:rsidRDefault="00905424" w:rsidP="00905424">
      <w:pPr>
        <w:rPr>
          <w:rFonts w:ascii="Arial" w:hAnsi="Arial" w:cs="Arial"/>
        </w:rPr>
      </w:pPr>
      <w:r w:rsidRPr="00905424">
        <w:rPr>
          <w:rFonts w:ascii="Arial" w:hAnsi="Arial" w:cs="Arial"/>
        </w:rPr>
        <w:t>The M/ETHANE mnemonic is used to guide decision making for major incidents. This means that the following steps need to be understood:-</w:t>
      </w:r>
    </w:p>
    <w:p w14:paraId="6D929374"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Major incident declared or not</w:t>
      </w:r>
    </w:p>
    <w:p w14:paraId="2B2FB32A"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Exact location</w:t>
      </w:r>
    </w:p>
    <w:p w14:paraId="5FF92CFF"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Type of incident</w:t>
      </w:r>
    </w:p>
    <w:p w14:paraId="75400B33"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Hazards, present or suspected</w:t>
      </w:r>
    </w:p>
    <w:p w14:paraId="34FA9831"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Access – routes that are safe to use</w:t>
      </w:r>
    </w:p>
    <w:p w14:paraId="0CAD629A"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Number, type and severity of casualties; and</w:t>
      </w:r>
    </w:p>
    <w:p w14:paraId="72AC5667" w14:textId="77777777" w:rsidR="00905424" w:rsidRPr="00905424" w:rsidRDefault="00905424" w:rsidP="00905424">
      <w:pPr>
        <w:numPr>
          <w:ilvl w:val="0"/>
          <w:numId w:val="12"/>
        </w:numPr>
        <w:contextualSpacing/>
        <w:rPr>
          <w:rFonts w:ascii="Arial" w:hAnsi="Arial" w:cs="Arial"/>
        </w:rPr>
      </w:pPr>
      <w:r w:rsidRPr="00905424">
        <w:rPr>
          <w:rFonts w:ascii="Arial" w:hAnsi="Arial" w:cs="Arial"/>
        </w:rPr>
        <w:t>Emergency services – those present and required.</w:t>
      </w:r>
    </w:p>
    <w:p w14:paraId="587BB0EA" w14:textId="77777777" w:rsidR="00905424" w:rsidRPr="00905424" w:rsidRDefault="00905424" w:rsidP="00905424">
      <w:pPr>
        <w:rPr>
          <w:rFonts w:ascii="Arial" w:hAnsi="Arial" w:cs="Arial"/>
        </w:rPr>
      </w:pPr>
      <w:r w:rsidRPr="00905424">
        <w:rPr>
          <w:rFonts w:ascii="Arial" w:hAnsi="Arial" w:cs="Arial"/>
        </w:rPr>
        <w:t>The role of the First Officer who attends a scene is vital in beginning to shape what actions are to be taken. This could on occasions be a junior member of staff, who will pass on responsibilities as more senior officers attend. This could be a challenging scenario to a new recruit to the police, or someone facing circumstances that they have not encountered previously. This is where good training comes in, and good analytical measures utilised about what has worked well in the past, and what the critical first steps are during a major incident or emergency. Not every element of a competent response can be always put in place, but some basic generic principles about what would constitute best practice could be an integral part of training. (Bryant and Bryant. 2020)</w:t>
      </w:r>
    </w:p>
    <w:p w14:paraId="18378BBE" w14:textId="77777777" w:rsidR="00905424" w:rsidRDefault="0090542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6293849D" w14:textId="262BC8A8" w:rsidR="00BB18E4" w:rsidRPr="00905424" w:rsidRDefault="00905424" w:rsidP="001934C2">
      <w:pPr>
        <w:spacing w:after="0" w:line="240" w:lineRule="auto"/>
        <w:ind w:left="426"/>
        <w:rPr>
          <w:rFonts w:ascii="Arial" w:eastAsia="Times New Roman" w:hAnsi="Arial" w:cs="Arial"/>
          <w:b/>
          <w:sz w:val="24"/>
          <w:szCs w:val="24"/>
          <w:u w:val="single"/>
          <w:lang w:eastAsia="en-GB"/>
        </w:rPr>
      </w:pPr>
      <w:r w:rsidRPr="00905424">
        <w:rPr>
          <w:rFonts w:ascii="Arial" w:eastAsia="Times New Roman" w:hAnsi="Arial" w:cs="Arial"/>
          <w:u w:val="single"/>
          <w:lang w:eastAsia="en-GB"/>
        </w:rPr>
        <w:t xml:space="preserve">Task 4 </w:t>
      </w:r>
    </w:p>
    <w:p w14:paraId="7128C660" w14:textId="3272F205" w:rsidR="009178EA" w:rsidRPr="00905424"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u w:val="single"/>
          <w:lang w:eastAsia="en-GB"/>
        </w:rPr>
      </w:pPr>
      <w:r w:rsidRPr="00905424">
        <w:rPr>
          <w:rFonts w:ascii="Arial" w:eastAsia="Times New Roman" w:hAnsi="Arial" w:cs="Arial"/>
          <w:u w:val="single"/>
          <w:lang w:eastAsia="en-GB"/>
        </w:rPr>
        <w:t>Analyse the potential links between terrorism and other forms of criminality and discuss how policing the roads assist in counter terrorism investigation</w:t>
      </w:r>
    </w:p>
    <w:p w14:paraId="5B63B91E" w14:textId="1BC19A67" w:rsidR="00BB18E4" w:rsidRPr="00905424" w:rsidRDefault="00BB18E4" w:rsidP="009178EA">
      <w:pPr>
        <w:spacing w:after="0" w:line="240" w:lineRule="auto"/>
        <w:ind w:left="426"/>
        <w:rPr>
          <w:rFonts w:ascii="Arial" w:eastAsia="Times New Roman" w:hAnsi="Arial" w:cs="Arial"/>
          <w:b/>
          <w:sz w:val="24"/>
          <w:szCs w:val="24"/>
          <w:u w:val="single"/>
          <w:lang w:eastAsia="en-GB"/>
        </w:rPr>
      </w:pPr>
    </w:p>
    <w:p w14:paraId="664AB8D0" w14:textId="77777777" w:rsidR="00905424" w:rsidRPr="00905424" w:rsidRDefault="00905424" w:rsidP="00905424">
      <w:pPr>
        <w:spacing w:after="0" w:line="240" w:lineRule="auto"/>
        <w:rPr>
          <w:rFonts w:ascii="Arial" w:eastAsia="Times New Roman" w:hAnsi="Arial" w:cs="Arial"/>
          <w:bCs/>
          <w:sz w:val="24"/>
          <w:szCs w:val="24"/>
          <w:lang w:eastAsia="en-GB"/>
        </w:rPr>
      </w:pPr>
      <w:r w:rsidRPr="00905424">
        <w:rPr>
          <w:rFonts w:ascii="Arial" w:eastAsia="Times New Roman" w:hAnsi="Arial" w:cs="Arial"/>
          <w:bCs/>
          <w:sz w:val="24"/>
          <w:szCs w:val="24"/>
          <w:lang w:eastAsia="en-GB"/>
        </w:rPr>
        <w:t>Terrorism is defined by the Crown Prosecution Service (CPS) as ‘Terrorism is the use or threat of action, both in and outside of the UK, designed to influence any international government organisation or to intimidate the public.  It must also be for the purpose of advancing a political, religious, racial, or ideological cause.</w:t>
      </w:r>
    </w:p>
    <w:p w14:paraId="5BA0F6E0" w14:textId="77777777" w:rsidR="00905424" w:rsidRPr="00905424" w:rsidRDefault="00905424" w:rsidP="00905424">
      <w:pPr>
        <w:spacing w:after="0" w:line="240" w:lineRule="auto"/>
        <w:rPr>
          <w:rFonts w:ascii="Arial" w:eastAsia="Times New Roman" w:hAnsi="Arial" w:cs="Arial"/>
          <w:bCs/>
          <w:sz w:val="24"/>
          <w:szCs w:val="24"/>
          <w:lang w:eastAsia="en-GB"/>
        </w:rPr>
      </w:pPr>
    </w:p>
    <w:p w14:paraId="492BDE1E" w14:textId="77777777" w:rsidR="00905424" w:rsidRPr="00905424" w:rsidRDefault="00905424" w:rsidP="00905424">
      <w:pPr>
        <w:spacing w:after="0" w:line="240" w:lineRule="auto"/>
        <w:rPr>
          <w:rFonts w:ascii="Arial" w:eastAsia="Times New Roman" w:hAnsi="Arial" w:cs="Arial"/>
          <w:bCs/>
          <w:sz w:val="24"/>
          <w:szCs w:val="24"/>
          <w:lang w:eastAsia="en-GB"/>
        </w:rPr>
      </w:pPr>
      <w:r w:rsidRPr="00905424">
        <w:rPr>
          <w:rFonts w:ascii="Arial" w:eastAsia="Times New Roman" w:hAnsi="Arial" w:cs="Arial"/>
          <w:bCs/>
          <w:sz w:val="24"/>
          <w:szCs w:val="24"/>
          <w:lang w:eastAsia="en-GB"/>
        </w:rPr>
        <w:t>Examples include:</w:t>
      </w:r>
    </w:p>
    <w:p w14:paraId="32F51092" w14:textId="77777777" w:rsidR="00905424" w:rsidRPr="00905424" w:rsidRDefault="00905424" w:rsidP="00905424">
      <w:pPr>
        <w:spacing w:after="0" w:line="240" w:lineRule="auto"/>
        <w:rPr>
          <w:rFonts w:ascii="Arial" w:eastAsia="Times New Roman" w:hAnsi="Arial" w:cs="Arial"/>
          <w:bCs/>
          <w:sz w:val="24"/>
          <w:szCs w:val="24"/>
          <w:lang w:eastAsia="en-GB"/>
        </w:rPr>
      </w:pPr>
    </w:p>
    <w:p w14:paraId="7E898B8D" w14:textId="77777777" w:rsidR="00905424" w:rsidRPr="00905424" w:rsidRDefault="00905424" w:rsidP="00905424">
      <w:pPr>
        <w:numPr>
          <w:ilvl w:val="0"/>
          <w:numId w:val="13"/>
        </w:numPr>
        <w:spacing w:after="0" w:line="240" w:lineRule="auto"/>
        <w:ind w:left="720"/>
        <w:contextualSpacing/>
        <w:rPr>
          <w:rFonts w:ascii="Arial" w:eastAsia="Times New Roman" w:hAnsi="Arial" w:cs="Arial"/>
          <w:bCs/>
          <w:sz w:val="24"/>
          <w:szCs w:val="24"/>
          <w:lang w:eastAsia="en-GB"/>
        </w:rPr>
      </w:pPr>
      <w:r w:rsidRPr="00905424">
        <w:rPr>
          <w:rFonts w:ascii="Arial" w:eastAsia="Times New Roman" w:hAnsi="Arial" w:cs="Arial"/>
          <w:bCs/>
          <w:sz w:val="24"/>
          <w:szCs w:val="24"/>
          <w:lang w:eastAsia="en-GB"/>
        </w:rPr>
        <w:lastRenderedPageBreak/>
        <w:t>serious violence against a person or damage to property,</w:t>
      </w:r>
    </w:p>
    <w:p w14:paraId="7DBB8A3E" w14:textId="77777777" w:rsidR="00905424" w:rsidRPr="00905424" w:rsidRDefault="00905424" w:rsidP="00905424">
      <w:pPr>
        <w:numPr>
          <w:ilvl w:val="0"/>
          <w:numId w:val="13"/>
        </w:numPr>
        <w:spacing w:after="0" w:line="240" w:lineRule="auto"/>
        <w:ind w:left="720"/>
        <w:contextualSpacing/>
        <w:rPr>
          <w:rFonts w:ascii="Arial" w:eastAsia="Times New Roman" w:hAnsi="Arial" w:cs="Arial"/>
          <w:bCs/>
          <w:sz w:val="24"/>
          <w:szCs w:val="24"/>
          <w:lang w:eastAsia="en-GB"/>
        </w:rPr>
      </w:pPr>
      <w:r w:rsidRPr="00905424">
        <w:rPr>
          <w:rFonts w:ascii="Arial" w:eastAsia="Times New Roman" w:hAnsi="Arial" w:cs="Arial"/>
          <w:bCs/>
          <w:sz w:val="24"/>
          <w:szCs w:val="24"/>
          <w:lang w:eastAsia="en-GB"/>
        </w:rPr>
        <w:t>endangering a person's life (other than that of the person committing the action),</w:t>
      </w:r>
    </w:p>
    <w:p w14:paraId="1EB36DA1" w14:textId="77777777" w:rsidR="00905424" w:rsidRPr="00905424" w:rsidRDefault="00905424" w:rsidP="00905424">
      <w:pPr>
        <w:numPr>
          <w:ilvl w:val="0"/>
          <w:numId w:val="13"/>
        </w:numPr>
        <w:spacing w:after="0" w:line="240" w:lineRule="auto"/>
        <w:ind w:left="720"/>
        <w:contextualSpacing/>
        <w:rPr>
          <w:rFonts w:ascii="Arial" w:eastAsia="Times New Roman" w:hAnsi="Arial" w:cs="Arial"/>
          <w:bCs/>
          <w:sz w:val="24"/>
          <w:szCs w:val="24"/>
          <w:lang w:eastAsia="en-GB"/>
        </w:rPr>
      </w:pPr>
      <w:r w:rsidRPr="00905424">
        <w:rPr>
          <w:rFonts w:ascii="Arial" w:eastAsia="Times New Roman" w:hAnsi="Arial" w:cs="Arial"/>
          <w:bCs/>
          <w:sz w:val="24"/>
          <w:szCs w:val="24"/>
          <w:lang w:eastAsia="en-GB"/>
        </w:rPr>
        <w:t>creating a serious risk to the health or safety of the public or a section of the public,</w:t>
      </w:r>
    </w:p>
    <w:p w14:paraId="64816BC3" w14:textId="77777777" w:rsidR="00905424" w:rsidRPr="00905424" w:rsidRDefault="00905424" w:rsidP="00905424">
      <w:pPr>
        <w:numPr>
          <w:ilvl w:val="0"/>
          <w:numId w:val="13"/>
        </w:numPr>
        <w:spacing w:after="0" w:line="240" w:lineRule="auto"/>
        <w:ind w:left="720"/>
        <w:contextualSpacing/>
        <w:rPr>
          <w:rFonts w:ascii="Arial" w:eastAsia="Times New Roman" w:hAnsi="Arial" w:cs="Arial"/>
          <w:bCs/>
          <w:sz w:val="24"/>
          <w:szCs w:val="24"/>
          <w:lang w:eastAsia="en-GB"/>
        </w:rPr>
      </w:pPr>
      <w:r w:rsidRPr="00905424">
        <w:rPr>
          <w:rFonts w:ascii="Arial" w:eastAsia="Times New Roman" w:hAnsi="Arial" w:cs="Arial"/>
          <w:bCs/>
          <w:sz w:val="24"/>
          <w:szCs w:val="24"/>
          <w:lang w:eastAsia="en-GB"/>
        </w:rPr>
        <w:t>action designed to seriously interfere with or seriously disrupt an electronic system.</w:t>
      </w:r>
    </w:p>
    <w:p w14:paraId="54101378" w14:textId="77777777" w:rsidR="00905424" w:rsidRPr="00905424" w:rsidRDefault="00905424" w:rsidP="00905424">
      <w:pPr>
        <w:rPr>
          <w:rFonts w:ascii="Arial" w:hAnsi="Arial" w:cs="Arial"/>
          <w:bCs/>
          <w:sz w:val="24"/>
          <w:szCs w:val="24"/>
        </w:rPr>
      </w:pPr>
    </w:p>
    <w:p w14:paraId="07C7D790"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(CPS,2021).</w:t>
      </w:r>
    </w:p>
    <w:p w14:paraId="18A5512F" w14:textId="77777777" w:rsidR="00905424" w:rsidRPr="00905424" w:rsidRDefault="00905424" w:rsidP="00905424">
      <w:pPr>
        <w:spacing w:after="0" w:line="240" w:lineRule="auto"/>
        <w:rPr>
          <w:rFonts w:ascii="Arial" w:eastAsia="Times New Roman" w:hAnsi="Arial" w:cs="Arial"/>
          <w:bCs/>
          <w:sz w:val="24"/>
          <w:szCs w:val="24"/>
          <w:lang w:eastAsia="en-GB"/>
        </w:rPr>
      </w:pPr>
      <w:r w:rsidRPr="00905424">
        <w:rPr>
          <w:rFonts w:ascii="Arial" w:eastAsia="Times New Roman" w:hAnsi="Arial" w:cs="Arial"/>
          <w:bCs/>
          <w:sz w:val="24"/>
          <w:szCs w:val="24"/>
          <w:lang w:eastAsia="en-GB"/>
        </w:rPr>
        <w:t xml:space="preserve">Terrorism has many links to other forms of criminality - the principle one being serious and organised crime, along with criminal exploitation. </w:t>
      </w:r>
      <w:r w:rsidRPr="00905424">
        <w:rPr>
          <w:rFonts w:ascii="Arial" w:hAnsi="Arial" w:cs="Arial"/>
          <w:bCs/>
          <w:sz w:val="24"/>
          <w:szCs w:val="24"/>
        </w:rPr>
        <w:t xml:space="preserve">The way in which terrorist suspects are dealt with is defined under Code H of the Police and Criminal Evidence Act 1984 (PACE). Challenging elements of this area include the need for interpreters and written translations. </w:t>
      </w:r>
    </w:p>
    <w:p w14:paraId="19282F73" w14:textId="77777777" w:rsidR="00905424" w:rsidRPr="00905424" w:rsidRDefault="00905424" w:rsidP="00905424">
      <w:pPr>
        <w:rPr>
          <w:rFonts w:ascii="Arial" w:hAnsi="Arial" w:cs="Arial"/>
          <w:bCs/>
          <w:sz w:val="24"/>
          <w:szCs w:val="24"/>
        </w:rPr>
      </w:pPr>
    </w:p>
    <w:p w14:paraId="35B10B2C"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There are numerous other offences relating to terrorism. These include:-</w:t>
      </w:r>
    </w:p>
    <w:p w14:paraId="640659E5"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membership of a Proscribed Organisation </w:t>
      </w:r>
    </w:p>
    <w:p w14:paraId="62B387E5"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Supporting a Proscribed Organisation </w:t>
      </w:r>
    </w:p>
    <w:p w14:paraId="1C715700"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Wearing a banned Uniform </w:t>
      </w:r>
    </w:p>
    <w:p w14:paraId="432369AD"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Finance and Money Laundering in relation to terrorism acts </w:t>
      </w:r>
    </w:p>
    <w:p w14:paraId="4099E10C"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Weapons Training</w:t>
      </w:r>
    </w:p>
    <w:p w14:paraId="6A5B62F9"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Directing a Terrorist Organisation </w:t>
      </w:r>
    </w:p>
    <w:p w14:paraId="4EF0CD96"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Possession of an article for Terrorist Purposes</w:t>
      </w:r>
    </w:p>
    <w:p w14:paraId="070BD940"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Encouragement of Terrorism </w:t>
      </w:r>
    </w:p>
    <w:p w14:paraId="6C9A12FC"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Dissemination of Terrorist Publications </w:t>
      </w:r>
    </w:p>
    <w:p w14:paraId="6DD74A3A"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Providing or Receiving Instruction or Training for Terrorism</w:t>
      </w:r>
    </w:p>
    <w:p w14:paraId="7747767F" w14:textId="77777777" w:rsidR="00905424" w:rsidRPr="00905424" w:rsidRDefault="00905424" w:rsidP="00905424">
      <w:pPr>
        <w:numPr>
          <w:ilvl w:val="0"/>
          <w:numId w:val="14"/>
        </w:numPr>
        <w:contextualSpacing/>
        <w:rPr>
          <w:rFonts w:ascii="Arial" w:hAnsi="Arial" w:cs="Arial"/>
          <w:bCs/>
          <w:sz w:val="24"/>
          <w:szCs w:val="24"/>
        </w:rPr>
      </w:pPr>
      <w:r w:rsidRPr="00905424">
        <w:rPr>
          <w:rFonts w:ascii="Arial" w:hAnsi="Arial" w:cs="Arial"/>
          <w:bCs/>
          <w:sz w:val="24"/>
          <w:szCs w:val="24"/>
        </w:rPr>
        <w:t xml:space="preserve">Attendance at a place for Terrorist Training </w:t>
      </w:r>
    </w:p>
    <w:p w14:paraId="0B99E7D7"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(CPS,2021).</w:t>
      </w:r>
    </w:p>
    <w:p w14:paraId="2A5FE6C4"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 xml:space="preserve">A recent EUROPOL report analysed many links to other criminality (De Bolle and Archambeau, 2020). These include pharmaceutical crime, drug trafficking, illegal weapons possession, forced labour, food fraud, customs and excise fraud, VAT fraud, bribery and corruption and money laundering. De Bolle and Archambeau (2020) believe this list illustrates the complexity of the links between terrorism and other crimes. Some of these crimes are used to raise funds to finance terrorist activities, to purchase weapons or materials, and to potentially pay bribes and extort officials. </w:t>
      </w:r>
    </w:p>
    <w:p w14:paraId="3C24C7DE"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The operation of ‘County lines’ activities in the UK is an example, whereby vulnerable individuals can be coerced and threatened to carry out acts and fearing reprisal by organised and serious crime gangs potentially linked to terrorist organisations.</w:t>
      </w:r>
      <w:r w:rsidRPr="00905424">
        <w:rPr>
          <w:rFonts w:ascii="Arial" w:hAnsi="Arial" w:cs="Arial"/>
          <w:sz w:val="24"/>
          <w:szCs w:val="24"/>
        </w:rPr>
        <w:t xml:space="preserve"> </w:t>
      </w:r>
      <w:r w:rsidRPr="00905424">
        <w:rPr>
          <w:rFonts w:ascii="Arial" w:hAnsi="Arial" w:cs="Arial"/>
          <w:bCs/>
          <w:sz w:val="24"/>
          <w:szCs w:val="24"/>
        </w:rPr>
        <w:t xml:space="preserve">County Lines is where illegal drugs are transported from one area to another, often across police and local authority boundaries (although not exclusively), usually by children or </w:t>
      </w:r>
      <w:r w:rsidRPr="00905424">
        <w:rPr>
          <w:rFonts w:ascii="Arial" w:hAnsi="Arial" w:cs="Arial"/>
          <w:bCs/>
          <w:sz w:val="24"/>
          <w:szCs w:val="24"/>
        </w:rPr>
        <w:lastRenderedPageBreak/>
        <w:t>vulnerable people. Terrorism can be inked to this activity where vulnerable people are persuaded to undertake illegal acts through the threat of being exposed to the police. Some of these serious crime gangs will recruit vulnerable people through the promise of gifts including mobile phones to get the person drawn into acts of criminality. (</w:t>
      </w:r>
      <w:r w:rsidRPr="00905424">
        <w:rPr>
          <w:rFonts w:ascii="Arial" w:hAnsi="Arial" w:cs="Arial"/>
          <w:sz w:val="24"/>
          <w:szCs w:val="24"/>
        </w:rPr>
        <w:t>National</w:t>
      </w:r>
      <w:r w:rsidRPr="00905424">
        <w:rPr>
          <w:rFonts w:ascii="Arial" w:hAnsi="Arial" w:cs="Arial"/>
          <w:bCs/>
          <w:sz w:val="24"/>
          <w:szCs w:val="24"/>
        </w:rPr>
        <w:t xml:space="preserve"> Crime Agency. 2018)</w:t>
      </w:r>
    </w:p>
    <w:p w14:paraId="6A14613E"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 xml:space="preserve">Having good intelligence links are vital to ensuring that connections are made between individuals and potential terrorist activities. This can be vital where for example, stop and search is carried out on individuals and road vehicles, to determine whether they form part of a wider criminal network or terrorist activity. </w:t>
      </w:r>
    </w:p>
    <w:p w14:paraId="2AE3804F"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 xml:space="preserve">Policing the operation of commercial vehicles can also be a vital part of an effective counter terrorist approach. This could be in regard to people smuggling across borders in commercial vehicles, or the transportation of illegal drugs or explosives. </w:t>
      </w:r>
    </w:p>
    <w:p w14:paraId="74BE290B"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The act of enforcing road and traffic policing legislation will be undertaken by specific police officers in dedicated vehicles but is also the responsibility of operational police officers for example, in town and city centres. The Strategic Road Network is the responsibility of highways authorities and involves the Department of Transport. Checking vehicle and driver identification, ensuring the safety of the public after road traffic accidents, and enforcing the various frameworks of road use legislation will be key parts of each front line officers duties and training.</w:t>
      </w:r>
    </w:p>
    <w:p w14:paraId="3E397CBD"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 xml:space="preserve">Policing the UK’s roads is mainly viewed as simply enforcing the rules of the road but it's full remit is much broader. In this respect the actions of policing the roads can contribute effectively to counter terrorism investigations too. </w:t>
      </w:r>
    </w:p>
    <w:p w14:paraId="3E732E4F"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In general roads policing covers:</w:t>
      </w:r>
    </w:p>
    <w:p w14:paraId="63C469C2" w14:textId="77777777" w:rsidR="00905424" w:rsidRPr="00905424" w:rsidRDefault="00905424" w:rsidP="00905424">
      <w:pPr>
        <w:numPr>
          <w:ilvl w:val="0"/>
          <w:numId w:val="15"/>
        </w:numPr>
        <w:contextualSpacing/>
        <w:rPr>
          <w:rFonts w:ascii="Arial" w:hAnsi="Arial" w:cs="Arial"/>
          <w:bCs/>
          <w:sz w:val="24"/>
          <w:szCs w:val="24"/>
        </w:rPr>
      </w:pPr>
      <w:r w:rsidRPr="00905424">
        <w:rPr>
          <w:rFonts w:ascii="Arial" w:hAnsi="Arial" w:cs="Arial"/>
          <w:bCs/>
          <w:sz w:val="24"/>
          <w:szCs w:val="24"/>
        </w:rPr>
        <w:t>deters and detects illegal, dangerous and careless behaviour on the road</w:t>
      </w:r>
    </w:p>
    <w:p w14:paraId="011A283F" w14:textId="77777777" w:rsidR="00905424" w:rsidRPr="00905424" w:rsidRDefault="00905424" w:rsidP="00905424">
      <w:pPr>
        <w:numPr>
          <w:ilvl w:val="0"/>
          <w:numId w:val="15"/>
        </w:numPr>
        <w:contextualSpacing/>
        <w:rPr>
          <w:rFonts w:ascii="Arial" w:hAnsi="Arial" w:cs="Arial"/>
          <w:bCs/>
          <w:sz w:val="24"/>
          <w:szCs w:val="24"/>
        </w:rPr>
      </w:pPr>
      <w:r w:rsidRPr="00905424">
        <w:rPr>
          <w:rFonts w:ascii="Arial" w:hAnsi="Arial" w:cs="Arial"/>
          <w:bCs/>
          <w:sz w:val="24"/>
          <w:szCs w:val="24"/>
        </w:rPr>
        <w:t>identifies offenders and the causes of crashes</w:t>
      </w:r>
    </w:p>
    <w:p w14:paraId="6386BA86" w14:textId="77777777" w:rsidR="00905424" w:rsidRPr="00905424" w:rsidRDefault="00905424" w:rsidP="00905424">
      <w:pPr>
        <w:numPr>
          <w:ilvl w:val="0"/>
          <w:numId w:val="15"/>
        </w:numPr>
        <w:contextualSpacing/>
        <w:rPr>
          <w:rFonts w:ascii="Arial" w:hAnsi="Arial" w:cs="Arial"/>
          <w:bCs/>
          <w:sz w:val="24"/>
          <w:szCs w:val="24"/>
        </w:rPr>
      </w:pPr>
      <w:r w:rsidRPr="00905424">
        <w:rPr>
          <w:rFonts w:ascii="Arial" w:hAnsi="Arial" w:cs="Arial"/>
          <w:bCs/>
          <w:sz w:val="24"/>
          <w:szCs w:val="24"/>
        </w:rPr>
        <w:t>educates and seeks to change the attitudes of road users</w:t>
      </w:r>
    </w:p>
    <w:p w14:paraId="42AE8504" w14:textId="77777777" w:rsidR="00905424" w:rsidRPr="00905424" w:rsidRDefault="00905424" w:rsidP="00905424">
      <w:pPr>
        <w:numPr>
          <w:ilvl w:val="0"/>
          <w:numId w:val="15"/>
        </w:numPr>
        <w:contextualSpacing/>
        <w:rPr>
          <w:rFonts w:ascii="Arial" w:hAnsi="Arial" w:cs="Arial"/>
          <w:bCs/>
          <w:sz w:val="24"/>
          <w:szCs w:val="24"/>
        </w:rPr>
      </w:pPr>
      <w:r w:rsidRPr="00905424">
        <w:rPr>
          <w:rFonts w:ascii="Arial" w:hAnsi="Arial" w:cs="Arial"/>
          <w:bCs/>
          <w:sz w:val="24"/>
          <w:szCs w:val="24"/>
        </w:rPr>
        <w:t>identifies and removes dangerous vehicles</w:t>
      </w:r>
    </w:p>
    <w:p w14:paraId="3C31C3B1" w14:textId="77777777" w:rsidR="00905424" w:rsidRPr="00905424" w:rsidRDefault="00905424" w:rsidP="00905424">
      <w:pPr>
        <w:numPr>
          <w:ilvl w:val="0"/>
          <w:numId w:val="15"/>
        </w:numPr>
        <w:contextualSpacing/>
        <w:rPr>
          <w:rFonts w:ascii="Arial" w:hAnsi="Arial" w:cs="Arial"/>
          <w:bCs/>
          <w:sz w:val="24"/>
          <w:szCs w:val="24"/>
        </w:rPr>
      </w:pPr>
      <w:r w:rsidRPr="00905424">
        <w:rPr>
          <w:rFonts w:ascii="Arial" w:hAnsi="Arial" w:cs="Arial"/>
          <w:bCs/>
          <w:sz w:val="24"/>
          <w:szCs w:val="24"/>
        </w:rPr>
        <w:t>prevents other forms of crime</w:t>
      </w:r>
    </w:p>
    <w:p w14:paraId="5C2D43F3"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There are some well identified links between offending on the roads and other forms of criminality – including terrorism. Rose (2000) demonstrated that 70.9 per cent of disqualified drivers had a criminal record for example. It has also been identified that many criminal activities are helped by the use of the road network. For example, drug smuggling, human trafficking, child exploitation, counterfeit goods and organised crime gangs. The enforcement of road traffic offences and imposing penalties can disrupt criminals’ ability to use the roads and the information from these offences can provide leads and intelligence to other activities and actions.</w:t>
      </w:r>
    </w:p>
    <w:p w14:paraId="4F94BBA2"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The National Police Chief’s Council Policing our Roads together strategy 2018-2021 aims to reduce the number of collisions leading to road death and to combat organised crime and terrorism through flexible enforcement based on intelligence, professional judgement, and discretion. Checking on vehicle and driver documents can be a valuable source of intelligence and knowledge than can feed into terrorism related investigations. The Police national Computer (PNC) is a valuable resource in building up intelligence. (NPCC. 2018)</w:t>
      </w:r>
    </w:p>
    <w:p w14:paraId="17EF2772" w14:textId="77777777" w:rsidR="00905424" w:rsidRPr="00905424" w:rsidRDefault="00905424" w:rsidP="00905424">
      <w:pPr>
        <w:rPr>
          <w:rFonts w:ascii="Arial" w:hAnsi="Arial" w:cs="Arial"/>
          <w:bCs/>
          <w:sz w:val="24"/>
          <w:szCs w:val="24"/>
        </w:rPr>
      </w:pPr>
      <w:r w:rsidRPr="00905424">
        <w:rPr>
          <w:rFonts w:ascii="Arial" w:hAnsi="Arial" w:cs="Arial"/>
          <w:bCs/>
          <w:sz w:val="24"/>
          <w:szCs w:val="24"/>
        </w:rPr>
        <w:lastRenderedPageBreak/>
        <w:t xml:space="preserve">The use of Automatic Number Plate Recognition (ANPR) cameras can also assist in counter terrorism investigation.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  (Police UK, 2021). </w:t>
      </w:r>
    </w:p>
    <w:p w14:paraId="4CC901FA" w14:textId="77777777" w:rsidR="00905424" w:rsidRPr="00905424" w:rsidRDefault="00905424" w:rsidP="00905424">
      <w:pPr>
        <w:rPr>
          <w:rFonts w:ascii="Arial" w:hAnsi="Arial" w:cs="Arial"/>
          <w:bCs/>
          <w:sz w:val="24"/>
          <w:szCs w:val="24"/>
        </w:rPr>
      </w:pPr>
      <w:r w:rsidRPr="00905424">
        <w:rPr>
          <w:rFonts w:ascii="Arial" w:hAnsi="Arial" w:cs="Arial"/>
          <w:bCs/>
          <w:sz w:val="24"/>
          <w:szCs w:val="24"/>
        </w:rPr>
        <w:t xml:space="preserve">Border policing also has a role to play and links to road policing. People smuggling activities, or cases where offenders are fleeing justice in another country, means that vehicles checks and document checks can be vital in preventing terrorists entering the UK. Terrorism may also involve vehicles being used to transport and hide bombs and explosive devices. Checks on car and van hires companies and subsequent checks on the use of vehicles could be key in terrorist investigations. The actions of Policing suspect vehicles and setting appropriate cordons is covered by the Terrorism Act 2000. These activities would be a standard part of a local policing strategy and would be part of an effective approach in policing the roads and links to counter terrorism investigation. (Bryant and Bryant. 2020).  </w:t>
      </w:r>
    </w:p>
    <w:p w14:paraId="565DAB30" w14:textId="77777777" w:rsidR="00905424" w:rsidRPr="00905424" w:rsidRDefault="00905424" w:rsidP="00905424">
      <w:pPr>
        <w:rPr>
          <w:rFonts w:ascii="Arial" w:hAnsi="Arial" w:cs="Arial"/>
          <w:bCs/>
          <w:sz w:val="24"/>
          <w:szCs w:val="24"/>
        </w:rPr>
      </w:pPr>
    </w:p>
    <w:p w14:paraId="2F27F819" w14:textId="2B65A9F4" w:rsidR="00BB18E4" w:rsidRDefault="00BB18E4" w:rsidP="00905424">
      <w:pPr>
        <w:spacing w:after="0" w:line="240" w:lineRule="auto"/>
        <w:rPr>
          <w:rFonts w:ascii="Arial" w:eastAsia="Times New Roman" w:hAnsi="Arial" w:cs="Arial"/>
          <w:b/>
          <w:sz w:val="24"/>
          <w:szCs w:val="24"/>
          <w:lang w:eastAsia="en-GB"/>
        </w:rPr>
      </w:pPr>
    </w:p>
    <w:p w14:paraId="62C28973" w14:textId="77777777" w:rsidR="00905424" w:rsidRPr="00905424" w:rsidRDefault="00905424" w:rsidP="00905424">
      <w:pPr>
        <w:jc w:val="center"/>
        <w:rPr>
          <w:rFonts w:ascii="Arial" w:hAnsi="Arial" w:cs="Arial"/>
          <w:sz w:val="28"/>
          <w:szCs w:val="28"/>
          <w:u w:val="single"/>
        </w:rPr>
      </w:pPr>
      <w:r w:rsidRPr="00905424">
        <w:rPr>
          <w:rFonts w:ascii="Arial" w:hAnsi="Arial" w:cs="Arial"/>
          <w:sz w:val="28"/>
          <w:szCs w:val="28"/>
          <w:u w:val="single"/>
        </w:rPr>
        <w:t>Bibliography list</w:t>
      </w:r>
    </w:p>
    <w:p w14:paraId="5C1FF690" w14:textId="77777777" w:rsidR="00905424" w:rsidRPr="00905424" w:rsidRDefault="00905424" w:rsidP="00905424">
      <w:pPr>
        <w:rPr>
          <w:rFonts w:ascii="Arial" w:hAnsi="Arial" w:cs="Arial"/>
          <w:bCs/>
        </w:rPr>
      </w:pPr>
    </w:p>
    <w:p w14:paraId="5142E0D5"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 xml:space="preserve">Billingsley. R. (2009). </w:t>
      </w:r>
      <w:r w:rsidRPr="00905424">
        <w:rPr>
          <w:rFonts w:ascii="Arial" w:hAnsi="Arial" w:cs="Arial"/>
          <w:i/>
          <w:iCs/>
          <w:shd w:val="clear" w:color="auto" w:fill="FFFFFF"/>
        </w:rPr>
        <w:t xml:space="preserve">Covert Human Intelligence Sources The 'unlovely' Face of Police Work. </w:t>
      </w:r>
      <w:r w:rsidRPr="00905424">
        <w:rPr>
          <w:rFonts w:ascii="Arial" w:hAnsi="Arial" w:cs="Arial"/>
          <w:shd w:val="clear" w:color="auto" w:fill="FFFFFF"/>
        </w:rPr>
        <w:t xml:space="preserve">Waterside Press: Hampshire. </w:t>
      </w:r>
    </w:p>
    <w:p w14:paraId="0DB82226" w14:textId="77777777" w:rsidR="00905424" w:rsidRPr="00905424" w:rsidRDefault="00905424" w:rsidP="00905424">
      <w:pPr>
        <w:rPr>
          <w:rFonts w:ascii="Arial" w:hAnsi="Arial" w:cs="Arial"/>
        </w:rPr>
      </w:pPr>
      <w:r w:rsidRPr="00905424">
        <w:rPr>
          <w:rFonts w:ascii="Arial" w:hAnsi="Arial" w:cs="Arial"/>
        </w:rPr>
        <w:t>BRYANT, R. and BRYANT, S., 2020. </w:t>
      </w:r>
      <w:r w:rsidRPr="00905424">
        <w:rPr>
          <w:rFonts w:ascii="Arial" w:hAnsi="Arial" w:cs="Arial"/>
          <w:i/>
          <w:iCs/>
        </w:rPr>
        <w:t>Blackstone's handbook for policing students. </w:t>
      </w:r>
      <w:r w:rsidRPr="00905424">
        <w:rPr>
          <w:rFonts w:ascii="Arial" w:hAnsi="Arial" w:cs="Arial"/>
        </w:rPr>
        <w:t>15th edition. edn. Oxford : Oxford University Press.</w:t>
      </w:r>
    </w:p>
    <w:p w14:paraId="6C02CC51"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BULLOCK, K. and TILLEY, N., 2012. </w:t>
      </w:r>
      <w:r w:rsidRPr="00905424">
        <w:rPr>
          <w:rFonts w:ascii="Arial" w:hAnsi="Arial" w:cs="Arial"/>
          <w:i/>
          <w:iCs/>
          <w:shd w:val="clear" w:color="auto" w:fill="FFFFFF"/>
        </w:rPr>
        <w:t>Crime reduction and problem-oriented policing. </w:t>
      </w:r>
      <w:r w:rsidRPr="00905424">
        <w:rPr>
          <w:rFonts w:ascii="Arial" w:hAnsi="Arial" w:cs="Arial"/>
          <w:shd w:val="clear" w:color="auto" w:fill="FFFFFF"/>
        </w:rPr>
        <w:t>London: London : Routledge.</w:t>
      </w:r>
    </w:p>
    <w:p w14:paraId="42652853" w14:textId="77777777" w:rsidR="00905424" w:rsidRPr="00905424" w:rsidRDefault="00905424" w:rsidP="00905424">
      <w:pPr>
        <w:rPr>
          <w:rFonts w:ascii="Arial" w:hAnsi="Arial" w:cs="Arial"/>
        </w:rPr>
      </w:pPr>
      <w:r w:rsidRPr="00905424">
        <w:rPr>
          <w:rFonts w:ascii="Arial" w:hAnsi="Arial" w:cs="Arial"/>
          <w:i/>
          <w:iCs/>
          <w:shd w:val="clear" w:color="auto" w:fill="FFFFFF"/>
        </w:rPr>
        <w:t>Civil Contingencies Act 2004</w:t>
      </w:r>
      <w:r w:rsidRPr="00905424">
        <w:rPr>
          <w:rFonts w:ascii="Arial" w:hAnsi="Arial" w:cs="Arial"/>
          <w:shd w:val="clear" w:color="auto" w:fill="FFFFFF"/>
        </w:rPr>
        <w:t xml:space="preserve">. Available at: </w:t>
      </w:r>
      <w:hyperlink r:id="rId12" w:history="1">
        <w:r w:rsidRPr="00905424">
          <w:rPr>
            <w:rFonts w:ascii="Arial" w:hAnsi="Arial" w:cs="Arial"/>
            <w:color w:val="0000FF"/>
            <w:u w:val="single"/>
          </w:rPr>
          <w:t>Civil Contingencies Act 2004 (legislation.gov.uk)</w:t>
        </w:r>
      </w:hyperlink>
      <w:r w:rsidRPr="00905424">
        <w:rPr>
          <w:rFonts w:ascii="Arial" w:hAnsi="Arial" w:cs="Arial"/>
        </w:rPr>
        <w:t xml:space="preserve"> (accessed on: 01 July 2021)</w:t>
      </w:r>
    </w:p>
    <w:p w14:paraId="3DC8DD62" w14:textId="77777777" w:rsidR="00905424" w:rsidRPr="00905424" w:rsidRDefault="00905424" w:rsidP="00905424">
      <w:pPr>
        <w:rPr>
          <w:rFonts w:ascii="Arial" w:hAnsi="Arial" w:cs="Arial"/>
          <w:bCs/>
        </w:rPr>
      </w:pPr>
      <w:r w:rsidRPr="00905424">
        <w:rPr>
          <w:rFonts w:ascii="Arial" w:hAnsi="Arial" w:cs="Arial"/>
        </w:rPr>
        <w:t xml:space="preserve">CPS (2021) </w:t>
      </w:r>
      <w:r w:rsidRPr="00905424">
        <w:rPr>
          <w:rFonts w:ascii="Arial" w:hAnsi="Arial" w:cs="Arial"/>
          <w:i/>
          <w:iCs/>
        </w:rPr>
        <w:t>CPS: Terrorism</w:t>
      </w:r>
      <w:r w:rsidRPr="00905424">
        <w:rPr>
          <w:rFonts w:ascii="Arial" w:hAnsi="Arial" w:cs="Arial"/>
        </w:rPr>
        <w:t xml:space="preserve">. Available at: </w:t>
      </w:r>
      <w:hyperlink r:id="rId13" w:history="1">
        <w:r w:rsidRPr="00905424">
          <w:rPr>
            <w:rFonts w:ascii="Arial" w:hAnsi="Arial" w:cs="Arial"/>
            <w:bCs/>
            <w:color w:val="0000FF"/>
            <w:u w:val="single"/>
          </w:rPr>
          <w:t>https://www.cps.gov.uk/crime-info/terrorism</w:t>
        </w:r>
      </w:hyperlink>
      <w:r w:rsidRPr="00905424">
        <w:rPr>
          <w:rFonts w:ascii="Arial" w:hAnsi="Arial" w:cs="Arial"/>
          <w:bCs/>
          <w:color w:val="0563C1" w:themeColor="hyperlink"/>
          <w:u w:val="single"/>
        </w:rPr>
        <w:t xml:space="preserve"> </w:t>
      </w:r>
      <w:r w:rsidRPr="00905424">
        <w:rPr>
          <w:rFonts w:ascii="Arial" w:hAnsi="Arial" w:cs="Arial"/>
          <w:bCs/>
        </w:rPr>
        <w:t>(accessed on 26 June2021)</w:t>
      </w:r>
    </w:p>
    <w:p w14:paraId="5DE1BB49" w14:textId="77777777" w:rsidR="00905424" w:rsidRPr="00905424" w:rsidRDefault="00905424" w:rsidP="00905424">
      <w:pPr>
        <w:rPr>
          <w:rFonts w:ascii="Arial" w:hAnsi="Arial" w:cs="Arial"/>
          <w:bCs/>
        </w:rPr>
      </w:pPr>
      <w:r w:rsidRPr="00905424">
        <w:rPr>
          <w:rFonts w:ascii="Arial" w:hAnsi="Arial" w:cs="Arial"/>
          <w:bCs/>
        </w:rPr>
        <w:t xml:space="preserve">De Bolle. C and </w:t>
      </w:r>
      <w:r w:rsidRPr="00905424">
        <w:rPr>
          <w:rFonts w:ascii="Arial" w:hAnsi="Arial" w:cs="Arial"/>
        </w:rPr>
        <w:t xml:space="preserve">Archambeau. C. (2020) </w:t>
      </w:r>
      <w:r w:rsidRPr="00905424">
        <w:rPr>
          <w:rFonts w:ascii="Arial" w:hAnsi="Arial" w:cs="Arial"/>
          <w:i/>
          <w:iCs/>
        </w:rPr>
        <w:t>IP CRIME AND ITS LINK TO OTHER SERIOUS CRIMES Focus on Poly-Criminality</w:t>
      </w:r>
      <w:r w:rsidRPr="00905424">
        <w:rPr>
          <w:rFonts w:ascii="Arial" w:hAnsi="Arial" w:cs="Arial"/>
          <w:bCs/>
        </w:rPr>
        <w:t xml:space="preserve">. Available at:  </w:t>
      </w:r>
      <w:hyperlink r:id="rId14" w:history="1">
        <w:r w:rsidRPr="00905424">
          <w:rPr>
            <w:rFonts w:ascii="Arial" w:hAnsi="Arial" w:cs="Arial"/>
            <w:bCs/>
            <w:color w:val="0000FF"/>
            <w:u w:val="single"/>
          </w:rPr>
          <w:t>https://euipo.europa.eu/tunnel-web/secure</w:t>
        </w:r>
        <w:r w:rsidRPr="00905424">
          <w:rPr>
            <w:rFonts w:ascii="Arial" w:hAnsi="Arial" w:cs="Arial"/>
            <w:bCs/>
            <w:color w:val="0000FF"/>
            <w:u w:val="single"/>
          </w:rPr>
          <w:t>/</w:t>
        </w:r>
        <w:r w:rsidRPr="00905424">
          <w:rPr>
            <w:rFonts w:ascii="Arial" w:hAnsi="Arial" w:cs="Arial"/>
            <w:bCs/>
            <w:color w:val="0000FF"/>
            <w:u w:val="single"/>
          </w:rPr>
          <w:t>webdav/guest/document_library/observatory/documents/reports/2020_IP_crime_and_its_link_to_other_serious_crimes/2020_IP_crime_and_its_link_to_other_serious_crimes_Full.pdf</w:t>
        </w:r>
      </w:hyperlink>
      <w:r w:rsidRPr="00905424">
        <w:rPr>
          <w:rFonts w:ascii="Arial" w:hAnsi="Arial" w:cs="Arial"/>
          <w:bCs/>
        </w:rPr>
        <w:t xml:space="preserve"> (Accessed on 05 July 2021)</w:t>
      </w:r>
    </w:p>
    <w:p w14:paraId="37DAD2AF"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 xml:space="preserve">DIXON, D., 2004. </w:t>
      </w:r>
      <w:r w:rsidRPr="00905424">
        <w:rPr>
          <w:rFonts w:ascii="Arial" w:hAnsi="Arial" w:cs="Arial"/>
          <w:i/>
          <w:iCs/>
          <w:shd w:val="clear" w:color="auto" w:fill="FFFFFF"/>
        </w:rPr>
        <w:t>Handbook of Policing</w:t>
      </w:r>
      <w:r w:rsidRPr="00905424">
        <w:rPr>
          <w:rFonts w:ascii="Arial" w:hAnsi="Arial" w:cs="Arial"/>
          <w:shd w:val="clear" w:color="auto" w:fill="FFFFFF"/>
        </w:rPr>
        <w:t>. Edited By Tim Newburn (Cullompton: Willan, 2003, XXVI + 757pp., £65 hb, £28.50 pb). </w:t>
      </w:r>
      <w:r w:rsidRPr="00905424">
        <w:rPr>
          <w:rFonts w:ascii="Arial" w:hAnsi="Arial" w:cs="Arial"/>
          <w:i/>
          <w:iCs/>
          <w:shd w:val="clear" w:color="auto" w:fill="FFFFFF"/>
        </w:rPr>
        <w:t>British Journal of Criminology; Br J Criminol, </w:t>
      </w:r>
      <w:r w:rsidRPr="00905424">
        <w:rPr>
          <w:rFonts w:ascii="Arial" w:hAnsi="Arial" w:cs="Arial"/>
          <w:b/>
          <w:bCs/>
          <w:shd w:val="clear" w:color="auto" w:fill="FFFFFF"/>
        </w:rPr>
        <w:t>44</w:t>
      </w:r>
      <w:r w:rsidRPr="00905424">
        <w:rPr>
          <w:rFonts w:ascii="Arial" w:hAnsi="Arial" w:cs="Arial"/>
          <w:shd w:val="clear" w:color="auto" w:fill="FFFFFF"/>
        </w:rPr>
        <w:t>(4), pp. 614-619.</w:t>
      </w:r>
    </w:p>
    <w:p w14:paraId="60D16461" w14:textId="77777777" w:rsidR="00905424" w:rsidRPr="00905424" w:rsidRDefault="00905424" w:rsidP="00905424">
      <w:pPr>
        <w:rPr>
          <w:rFonts w:ascii="Arial" w:hAnsi="Arial" w:cs="Arial"/>
        </w:rPr>
      </w:pPr>
      <w:r w:rsidRPr="00905424">
        <w:rPr>
          <w:rFonts w:ascii="Arial" w:hAnsi="Arial" w:cs="Arial"/>
        </w:rPr>
        <w:t>Fielding, N. (1995). </w:t>
      </w:r>
      <w:r w:rsidRPr="00905424">
        <w:rPr>
          <w:rFonts w:ascii="Arial" w:hAnsi="Arial" w:cs="Arial"/>
          <w:i/>
          <w:iCs/>
        </w:rPr>
        <w:t>Community policing. </w:t>
      </w:r>
      <w:r w:rsidRPr="00905424">
        <w:rPr>
          <w:rFonts w:ascii="Arial" w:hAnsi="Arial" w:cs="Arial"/>
        </w:rPr>
        <w:t>Oxford: Oxford : Clarendon Press.</w:t>
      </w:r>
    </w:p>
    <w:p w14:paraId="5C04D127" w14:textId="77777777" w:rsidR="00905424" w:rsidRPr="00905424" w:rsidRDefault="00905424" w:rsidP="00905424">
      <w:pPr>
        <w:rPr>
          <w:rFonts w:ascii="Arial" w:hAnsi="Arial" w:cs="Arial"/>
        </w:rPr>
      </w:pPr>
      <w:r w:rsidRPr="00905424">
        <w:rPr>
          <w:rFonts w:ascii="Arial" w:hAnsi="Arial" w:cs="Arial"/>
          <w:shd w:val="clear" w:color="auto" w:fill="FFFFFF"/>
        </w:rPr>
        <w:t>Hayles G and Higgins. A. (2016</w:t>
      </w:r>
      <w:r w:rsidRPr="00905424">
        <w:rPr>
          <w:rFonts w:ascii="Arial" w:hAnsi="Arial" w:cs="Arial"/>
          <w:i/>
          <w:iCs/>
          <w:shd w:val="clear" w:color="auto" w:fill="FFFFFF"/>
        </w:rPr>
        <w:t>). The police foundation: Police Effectiveness in a Changing World PAPER 2 Prioritisation in a changing world: seven challenges for policing</w:t>
      </w:r>
      <w:r w:rsidRPr="00905424">
        <w:rPr>
          <w:rFonts w:ascii="Arial" w:hAnsi="Arial" w:cs="Arial"/>
          <w:shd w:val="clear" w:color="auto" w:fill="FFFFFF"/>
        </w:rPr>
        <w:t xml:space="preserve">. Available at: </w:t>
      </w:r>
      <w:hyperlink r:id="rId15" w:history="1">
        <w:r w:rsidRPr="00905424">
          <w:rPr>
            <w:rFonts w:ascii="Arial" w:hAnsi="Arial" w:cs="Arial"/>
            <w:color w:val="0000FF"/>
            <w:u w:val="single"/>
          </w:rPr>
          <w:t>PF Police Effectiveness in a Changing World – Prioritisation in (police-foundation.org.uk)</w:t>
        </w:r>
      </w:hyperlink>
      <w:r w:rsidRPr="00905424">
        <w:rPr>
          <w:rFonts w:ascii="Arial" w:hAnsi="Arial" w:cs="Arial"/>
        </w:rPr>
        <w:t xml:space="preserve"> (accessed on: 30 June 2021). </w:t>
      </w:r>
    </w:p>
    <w:p w14:paraId="3FD89EEF" w14:textId="77777777" w:rsidR="00905424" w:rsidRPr="00905424" w:rsidRDefault="00905424" w:rsidP="00905424">
      <w:pPr>
        <w:rPr>
          <w:rFonts w:ascii="Arial" w:hAnsi="Arial" w:cs="Arial"/>
        </w:rPr>
      </w:pPr>
      <w:r w:rsidRPr="00905424">
        <w:rPr>
          <w:rFonts w:ascii="Arial" w:hAnsi="Arial" w:cs="Arial"/>
        </w:rPr>
        <w:lastRenderedPageBreak/>
        <w:t>Hinkle. J. Weisburd.D.  Telep. C and Petersen. K. (2020)</w:t>
      </w:r>
      <w:r w:rsidRPr="00905424">
        <w:rPr>
          <w:rFonts w:ascii="Arial" w:eastAsia="Times New Roman" w:hAnsi="Arial" w:cs="Arial"/>
          <w:b/>
          <w:bCs/>
          <w:color w:val="1C1D1E"/>
          <w:kern w:val="36"/>
          <w:sz w:val="48"/>
          <w:szCs w:val="48"/>
          <w:lang w:eastAsia="en-GB"/>
        </w:rPr>
        <w:t xml:space="preserve"> </w:t>
      </w:r>
      <w:r w:rsidRPr="00905424">
        <w:rPr>
          <w:rFonts w:ascii="Arial" w:hAnsi="Arial" w:cs="Arial"/>
          <w:i/>
          <w:iCs/>
        </w:rPr>
        <w:t xml:space="preserve">Problem-oriented policing for reducing crime and disorder: An updated systematic review and meta-analysis. </w:t>
      </w:r>
      <w:r w:rsidRPr="00905424">
        <w:rPr>
          <w:rFonts w:ascii="Arial" w:hAnsi="Arial" w:cs="Arial"/>
        </w:rPr>
        <w:t xml:space="preserve">Available at: </w:t>
      </w:r>
      <w:hyperlink r:id="rId16" w:history="1">
        <w:r w:rsidRPr="00905424">
          <w:rPr>
            <w:rFonts w:ascii="Arial" w:hAnsi="Arial" w:cs="Arial"/>
            <w:b/>
            <w:bCs/>
            <w:color w:val="0000FF"/>
            <w:u w:val="single"/>
          </w:rPr>
          <w:t>https://doi.org/10.1002/cl2.1089</w:t>
        </w:r>
      </w:hyperlink>
      <w:r w:rsidRPr="00905424">
        <w:rPr>
          <w:rFonts w:ascii="Arial" w:hAnsi="Arial" w:cs="Arial"/>
        </w:rPr>
        <w:t xml:space="preserve"> (accessed on: 09 June2021).</w:t>
      </w:r>
    </w:p>
    <w:p w14:paraId="74560186"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 xml:space="preserve">HMIC. (2014) Crime data integrity. Inspection of Gwent Police. Available at: </w:t>
      </w:r>
      <w:hyperlink r:id="rId17" w:history="1">
        <w:r w:rsidRPr="00905424">
          <w:rPr>
            <w:rFonts w:ascii="Arial" w:hAnsi="Arial" w:cs="Arial"/>
            <w:color w:val="0000FF"/>
            <w:u w:val="single"/>
            <w:shd w:val="clear" w:color="auto" w:fill="FFFFFF"/>
          </w:rPr>
          <w:t>https://www.justiceinspectorates.gov.uk/hmicfrs/wp-content/uploads/crime-data-integrity-gwent-2014.pdf</w:t>
        </w:r>
      </w:hyperlink>
      <w:r w:rsidRPr="00905424">
        <w:rPr>
          <w:rFonts w:ascii="Arial" w:hAnsi="Arial" w:cs="Arial"/>
          <w:shd w:val="clear" w:color="auto" w:fill="FFFFFF"/>
        </w:rPr>
        <w:t xml:space="preserve"> (accessed on 04 July 2021)</w:t>
      </w:r>
    </w:p>
    <w:p w14:paraId="2285758E" w14:textId="77777777" w:rsidR="00905424" w:rsidRPr="00905424" w:rsidRDefault="00905424" w:rsidP="00905424">
      <w:pPr>
        <w:rPr>
          <w:rFonts w:ascii="Arial" w:hAnsi="Arial" w:cs="Arial"/>
        </w:rPr>
      </w:pPr>
      <w:r w:rsidRPr="00905424">
        <w:rPr>
          <w:rFonts w:ascii="Arial" w:hAnsi="Arial" w:cs="Arial"/>
        </w:rPr>
        <w:t xml:space="preserve">Home Office. (2003) Diversity Matters. Available at: </w:t>
      </w:r>
      <w:hyperlink r:id="rId18" w:history="1">
        <w:r w:rsidRPr="00905424">
          <w:rPr>
            <w:rFonts w:ascii="Arial" w:hAnsi="Arial" w:cs="Arial"/>
            <w:color w:val="0000FF"/>
            <w:u w:val="single"/>
          </w:rPr>
          <w:t>diversity-matters-full-report-20030201.pdf (justiceinspectorates.gov.uk)</w:t>
        </w:r>
      </w:hyperlink>
      <w:r w:rsidRPr="00905424">
        <w:rPr>
          <w:rFonts w:ascii="Arial" w:hAnsi="Arial" w:cs="Arial"/>
        </w:rPr>
        <w:t xml:space="preserve"> (accessed on: 30 June 2021) </w:t>
      </w:r>
    </w:p>
    <w:p w14:paraId="74FB966F" w14:textId="77777777" w:rsidR="00905424" w:rsidRPr="00905424" w:rsidRDefault="00905424" w:rsidP="00905424">
      <w:pPr>
        <w:rPr>
          <w:rFonts w:ascii="Arial" w:hAnsi="Arial" w:cs="Arial"/>
        </w:rPr>
      </w:pPr>
      <w:r w:rsidRPr="00905424">
        <w:rPr>
          <w:rFonts w:ascii="Arial" w:hAnsi="Arial" w:cs="Arial"/>
        </w:rPr>
        <w:t>HU, X., (2016). </w:t>
      </w:r>
      <w:r w:rsidRPr="00905424">
        <w:rPr>
          <w:rFonts w:ascii="Arial" w:hAnsi="Arial" w:cs="Arial"/>
          <w:i/>
          <w:iCs/>
        </w:rPr>
        <w:t>Moving toward the electronic community-oriented policing era: Content and strategies of police use of social media. </w:t>
      </w:r>
      <w:r w:rsidRPr="00905424">
        <w:rPr>
          <w:rFonts w:ascii="Arial" w:hAnsi="Arial" w:cs="Arial"/>
        </w:rPr>
        <w:t>ProQuest Dissertations Publishing.</w:t>
      </w:r>
    </w:p>
    <w:p w14:paraId="72C715F5" w14:textId="77777777" w:rsidR="00905424" w:rsidRPr="00905424" w:rsidRDefault="00905424" w:rsidP="00905424">
      <w:pPr>
        <w:rPr>
          <w:rFonts w:ascii="Arial" w:hAnsi="Arial" w:cs="Arial"/>
        </w:rPr>
      </w:pPr>
      <w:r w:rsidRPr="00905424">
        <w:rPr>
          <w:rFonts w:ascii="Arial" w:hAnsi="Arial" w:cs="Arial"/>
        </w:rPr>
        <w:t xml:space="preserve">Independent office of police conduct. (2018) </w:t>
      </w:r>
      <w:r w:rsidRPr="00905424">
        <w:rPr>
          <w:rFonts w:ascii="Arial" w:hAnsi="Arial" w:cs="Arial"/>
          <w:i/>
          <w:iCs/>
        </w:rPr>
        <w:t xml:space="preserve">National Recommendations – Mark Duggan Investigation - May 2015. </w:t>
      </w:r>
      <w:r w:rsidRPr="00905424">
        <w:rPr>
          <w:rFonts w:ascii="Arial" w:hAnsi="Arial" w:cs="Arial"/>
        </w:rPr>
        <w:t xml:space="preserve">Available at: </w:t>
      </w:r>
      <w:hyperlink r:id="rId19" w:history="1">
        <w:r w:rsidRPr="00905424">
          <w:rPr>
            <w:rFonts w:ascii="Arial" w:hAnsi="Arial" w:cs="Arial"/>
            <w:color w:val="0000FF"/>
            <w:u w:val="single"/>
          </w:rPr>
          <w:t>National recommendations - Mark Duggan investigation, May 2015 | Independent Office for Police Conduct</w:t>
        </w:r>
      </w:hyperlink>
      <w:r w:rsidRPr="00905424">
        <w:rPr>
          <w:rFonts w:ascii="Arial" w:hAnsi="Arial" w:cs="Arial"/>
        </w:rPr>
        <w:t xml:space="preserve"> (accessed on: 15 June 2021)</w:t>
      </w:r>
    </w:p>
    <w:p w14:paraId="5AA25F19" w14:textId="77777777" w:rsidR="00905424" w:rsidRPr="00905424" w:rsidRDefault="00905424" w:rsidP="00905424">
      <w:pPr>
        <w:rPr>
          <w:rFonts w:ascii="Arial" w:hAnsi="Arial" w:cs="Arial"/>
        </w:rPr>
      </w:pPr>
      <w:r w:rsidRPr="00905424">
        <w:rPr>
          <w:rFonts w:ascii="Arial" w:hAnsi="Arial" w:cs="Arial"/>
        </w:rPr>
        <w:t>JACKSON, J. and BRADFORD, B., (2009). Crime, policing and social order: on the expressive nature of public confidence in policing. </w:t>
      </w:r>
      <w:r w:rsidRPr="00905424">
        <w:rPr>
          <w:rFonts w:ascii="Arial" w:hAnsi="Arial" w:cs="Arial"/>
          <w:i/>
          <w:iCs/>
        </w:rPr>
        <w:t>The British journal of sociology; Br J Sociol, </w:t>
      </w:r>
      <w:r w:rsidRPr="00905424">
        <w:rPr>
          <w:rFonts w:ascii="Arial" w:hAnsi="Arial" w:cs="Arial"/>
          <w:b/>
          <w:bCs/>
        </w:rPr>
        <w:t>60</w:t>
      </w:r>
      <w:r w:rsidRPr="00905424">
        <w:rPr>
          <w:rFonts w:ascii="Arial" w:hAnsi="Arial" w:cs="Arial"/>
        </w:rPr>
        <w:t>(3), pp. 493-521.</w:t>
      </w:r>
    </w:p>
    <w:p w14:paraId="22272F1B"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JESIP. (2016). Joint Doctrine: The</w:t>
      </w:r>
      <w:r w:rsidRPr="00905424">
        <w:rPr>
          <w:rFonts w:ascii="Arial" w:hAnsi="Arial" w:cs="Arial"/>
        </w:rPr>
        <w:t xml:space="preserve"> </w:t>
      </w:r>
      <w:r w:rsidRPr="00905424">
        <w:rPr>
          <w:rFonts w:ascii="Arial" w:hAnsi="Arial" w:cs="Arial"/>
          <w:shd w:val="clear" w:color="auto" w:fill="FFFFFF"/>
        </w:rPr>
        <w:t xml:space="preserve">Interoperability Framework Edition 2. Available at: </w:t>
      </w:r>
      <w:hyperlink r:id="rId20" w:history="1">
        <w:r w:rsidRPr="00905424">
          <w:rPr>
            <w:rFonts w:ascii="Arial" w:hAnsi="Arial" w:cs="Arial"/>
            <w:color w:val="0000FF"/>
            <w:u w:val="single"/>
            <w:shd w:val="clear" w:color="auto" w:fill="FFFFFF"/>
          </w:rPr>
          <w:t>JESIP - Working together, Saving Lives</w:t>
        </w:r>
      </w:hyperlink>
      <w:r w:rsidRPr="00905424">
        <w:rPr>
          <w:rFonts w:ascii="Arial" w:hAnsi="Arial" w:cs="Arial"/>
          <w:shd w:val="clear" w:color="auto" w:fill="FFFFFF"/>
        </w:rPr>
        <w:t xml:space="preserve"> (accessed on 04 July 2021).</w:t>
      </w:r>
    </w:p>
    <w:p w14:paraId="5446DD4C"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 xml:space="preserve">Jones. T. and Newburn. T. (2007). </w:t>
      </w:r>
      <w:r w:rsidRPr="00905424">
        <w:rPr>
          <w:rFonts w:ascii="Arial" w:hAnsi="Arial" w:cs="Arial"/>
          <w:i/>
          <w:iCs/>
          <w:shd w:val="clear" w:color="auto" w:fill="FFFFFF"/>
        </w:rPr>
        <w:t>Symbolizing crime control: Reflections on Zero Tolerance</w:t>
      </w:r>
      <w:r w:rsidRPr="00905424">
        <w:rPr>
          <w:rFonts w:ascii="Arial" w:hAnsi="Arial" w:cs="Arial"/>
          <w:shd w:val="clear" w:color="auto" w:fill="FFFFFF"/>
        </w:rPr>
        <w:t>. </w:t>
      </w:r>
      <w:r w:rsidRPr="00905424">
        <w:rPr>
          <w:rFonts w:ascii="Arial" w:hAnsi="Arial" w:cs="Arial"/>
          <w:i/>
          <w:iCs/>
          <w:shd w:val="clear" w:color="auto" w:fill="FFFFFF"/>
        </w:rPr>
        <w:t>Theoretical criminology,</w:t>
      </w:r>
      <w:r w:rsidRPr="00905424">
        <w:rPr>
          <w:rFonts w:ascii="Arial" w:hAnsi="Arial" w:cs="Arial"/>
          <w:b/>
          <w:bCs/>
          <w:shd w:val="clear" w:color="auto" w:fill="FFFFFF"/>
        </w:rPr>
        <w:t xml:space="preserve"> 11</w:t>
      </w:r>
      <w:r w:rsidRPr="00905424">
        <w:rPr>
          <w:rFonts w:ascii="Arial" w:hAnsi="Arial" w:cs="Arial"/>
          <w:shd w:val="clear" w:color="auto" w:fill="FFFFFF"/>
        </w:rPr>
        <w:t xml:space="preserve">(2), pp. 221-243. Available online at: </w:t>
      </w:r>
      <w:hyperlink r:id="rId21" w:history="1">
        <w:r w:rsidRPr="00905424">
          <w:rPr>
            <w:rFonts w:ascii="Arial" w:hAnsi="Arial" w:cs="Arial"/>
            <w:color w:val="0000FF"/>
            <w:u w:val="single"/>
            <w:shd w:val="clear" w:color="auto" w:fill="FFFFFF"/>
          </w:rPr>
          <w:t>Symbolizing crime control (uwtsd.ac.uk)</w:t>
        </w:r>
      </w:hyperlink>
      <w:r w:rsidRPr="00905424">
        <w:rPr>
          <w:rFonts w:ascii="Arial" w:hAnsi="Arial" w:cs="Arial"/>
          <w:shd w:val="clear" w:color="auto" w:fill="FFFFFF"/>
        </w:rPr>
        <w:t xml:space="preserve"> (accessed on: 09 July 2021)</w:t>
      </w:r>
    </w:p>
    <w:p w14:paraId="3DA4992E" w14:textId="77777777" w:rsidR="00905424" w:rsidRPr="00905424" w:rsidRDefault="00905424" w:rsidP="00905424">
      <w:pPr>
        <w:rPr>
          <w:rFonts w:ascii="Arial" w:hAnsi="Arial" w:cs="Arial"/>
        </w:rPr>
      </w:pPr>
      <w:r w:rsidRPr="00905424">
        <w:rPr>
          <w:rFonts w:ascii="Arial" w:hAnsi="Arial" w:cs="Arial"/>
        </w:rPr>
        <w:t xml:space="preserve">Macphearson, W. (1999) </w:t>
      </w:r>
      <w:r w:rsidRPr="00905424">
        <w:rPr>
          <w:rFonts w:ascii="Arial" w:hAnsi="Arial" w:cs="Arial"/>
          <w:i/>
          <w:iCs/>
        </w:rPr>
        <w:t>The Stephen Lawrence inquiry</w:t>
      </w:r>
      <w:r w:rsidRPr="00905424">
        <w:rPr>
          <w:rFonts w:ascii="Arial" w:hAnsi="Arial" w:cs="Arial"/>
        </w:rPr>
        <w:t xml:space="preserve">. Available at:  </w:t>
      </w:r>
      <w:hyperlink r:id="rId22" w:history="1">
        <w:r w:rsidRPr="00905424">
          <w:rPr>
            <w:rFonts w:ascii="Arial" w:hAnsi="Arial" w:cs="Arial"/>
            <w:color w:val="0000FF"/>
            <w:u w:val="single"/>
          </w:rPr>
          <w:t>4262.pdf (publishing.service.gov.uk)</w:t>
        </w:r>
      </w:hyperlink>
      <w:r w:rsidRPr="00905424">
        <w:rPr>
          <w:rFonts w:ascii="Arial" w:hAnsi="Arial" w:cs="Arial"/>
        </w:rPr>
        <w:t xml:space="preserve"> (accessed on: 29 June 2021).</w:t>
      </w:r>
    </w:p>
    <w:p w14:paraId="6E955B1D" w14:textId="77777777" w:rsidR="00905424" w:rsidRPr="00905424" w:rsidRDefault="00905424" w:rsidP="00905424">
      <w:pPr>
        <w:rPr>
          <w:rFonts w:ascii="Arial" w:hAnsi="Arial" w:cs="Arial"/>
          <w:bCs/>
        </w:rPr>
      </w:pPr>
      <w:r w:rsidRPr="00905424">
        <w:rPr>
          <w:rFonts w:ascii="Arial" w:hAnsi="Arial" w:cs="Arial"/>
          <w:bCs/>
        </w:rPr>
        <w:t xml:space="preserve">National Crime Agency. (2018). </w:t>
      </w:r>
      <w:r w:rsidRPr="00905424">
        <w:rPr>
          <w:rFonts w:ascii="Arial" w:hAnsi="Arial" w:cs="Arial"/>
          <w:bCs/>
          <w:i/>
          <w:iCs/>
        </w:rPr>
        <w:t>County Lines</w:t>
      </w:r>
      <w:r w:rsidRPr="00905424">
        <w:rPr>
          <w:rFonts w:ascii="Arial" w:hAnsi="Arial" w:cs="Arial"/>
          <w:bCs/>
        </w:rPr>
        <w:t xml:space="preserve">. Available at: </w:t>
      </w:r>
      <w:hyperlink r:id="rId23" w:history="1">
        <w:r w:rsidRPr="00905424">
          <w:rPr>
            <w:rFonts w:ascii="Arial" w:hAnsi="Arial" w:cs="Arial"/>
            <w:bCs/>
            <w:color w:val="0000FF"/>
            <w:u w:val="single"/>
          </w:rPr>
          <w:t>County Lines - National Crime Agency</w:t>
        </w:r>
      </w:hyperlink>
      <w:r w:rsidRPr="00905424">
        <w:rPr>
          <w:rFonts w:ascii="Arial" w:hAnsi="Arial" w:cs="Arial"/>
          <w:bCs/>
        </w:rPr>
        <w:t xml:space="preserve"> (accessed on:29 June 2021).</w:t>
      </w:r>
    </w:p>
    <w:p w14:paraId="72D56CD4"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Newburn. T. (2008). </w:t>
      </w:r>
      <w:r w:rsidRPr="00905424">
        <w:rPr>
          <w:rFonts w:ascii="Arial" w:hAnsi="Arial" w:cs="Arial"/>
          <w:i/>
          <w:iCs/>
          <w:shd w:val="clear" w:color="auto" w:fill="FFFFFF"/>
        </w:rPr>
        <w:t>Handbook of policing. </w:t>
      </w:r>
      <w:r w:rsidRPr="00905424">
        <w:rPr>
          <w:rFonts w:ascii="Arial" w:hAnsi="Arial" w:cs="Arial"/>
          <w:shd w:val="clear" w:color="auto" w:fill="FFFFFF"/>
        </w:rPr>
        <w:t>2nd ed. edn. Cullompton: Cullompton : Willan.</w:t>
      </w:r>
    </w:p>
    <w:p w14:paraId="00BD069E" w14:textId="77777777" w:rsidR="00905424" w:rsidRPr="00905424" w:rsidRDefault="00905424" w:rsidP="00905424">
      <w:pPr>
        <w:rPr>
          <w:rFonts w:ascii="Arial" w:hAnsi="Arial" w:cs="Arial"/>
          <w:bCs/>
        </w:rPr>
      </w:pPr>
      <w:r w:rsidRPr="00905424">
        <w:rPr>
          <w:rFonts w:ascii="Arial" w:hAnsi="Arial" w:cs="Arial"/>
          <w:bCs/>
        </w:rPr>
        <w:t xml:space="preserve">NPCC. (2018). Policing our Roads Together: A 3 year strategy 2018-2021. Available at: </w:t>
      </w:r>
      <w:hyperlink r:id="rId24" w:history="1">
        <w:r w:rsidRPr="00905424">
          <w:rPr>
            <w:rFonts w:ascii="Arial" w:hAnsi="Arial" w:cs="Arial"/>
            <w:bCs/>
            <w:color w:val="0000FF"/>
            <w:u w:val="single"/>
          </w:rPr>
          <w:t>PowerPoint Presentation (college.police.uk)</w:t>
        </w:r>
      </w:hyperlink>
      <w:r w:rsidRPr="00905424">
        <w:rPr>
          <w:rFonts w:ascii="Arial" w:hAnsi="Arial" w:cs="Arial"/>
          <w:bCs/>
        </w:rPr>
        <w:t xml:space="preserve"> (accessed on:20 June 2021).</w:t>
      </w:r>
    </w:p>
    <w:p w14:paraId="6EB389C7"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 xml:space="preserve">NPIA. (2011). </w:t>
      </w:r>
      <w:r w:rsidRPr="00905424">
        <w:rPr>
          <w:rFonts w:ascii="Arial" w:hAnsi="Arial" w:cs="Arial"/>
          <w:i/>
          <w:iCs/>
          <w:shd w:val="clear" w:color="auto" w:fill="FFFFFF"/>
        </w:rPr>
        <w:t>Practice Advice on Critical Incident Management, 2</w:t>
      </w:r>
      <w:r w:rsidRPr="00905424">
        <w:rPr>
          <w:rFonts w:ascii="Arial" w:hAnsi="Arial" w:cs="Arial"/>
          <w:i/>
          <w:iCs/>
          <w:shd w:val="clear" w:color="auto" w:fill="FFFFFF"/>
          <w:vertAlign w:val="superscript"/>
        </w:rPr>
        <w:t>nd</w:t>
      </w:r>
      <w:r w:rsidRPr="00905424">
        <w:rPr>
          <w:rFonts w:ascii="Arial" w:hAnsi="Arial" w:cs="Arial"/>
          <w:i/>
          <w:iCs/>
          <w:shd w:val="clear" w:color="auto" w:fill="FFFFFF"/>
        </w:rPr>
        <w:t xml:space="preserve"> ed. </w:t>
      </w:r>
      <w:r w:rsidRPr="00905424">
        <w:rPr>
          <w:rFonts w:ascii="Arial" w:hAnsi="Arial" w:cs="Arial"/>
          <w:shd w:val="clear" w:color="auto" w:fill="FFFFFF"/>
        </w:rPr>
        <w:t xml:space="preserve">Available at: </w:t>
      </w:r>
      <w:hyperlink r:id="rId25" w:history="1">
        <w:r w:rsidRPr="00905424">
          <w:rPr>
            <w:rFonts w:ascii="Arial" w:hAnsi="Arial" w:cs="Arial"/>
            <w:color w:val="0000FF"/>
            <w:u w:val="single"/>
            <w:shd w:val="clear" w:color="auto" w:fill="FFFFFF"/>
          </w:rPr>
          <w:t>Microsoft Word - CIM2ed.v1.17_04.07.11.doc (college.police.uk)</w:t>
        </w:r>
      </w:hyperlink>
      <w:r w:rsidRPr="00905424">
        <w:rPr>
          <w:rFonts w:ascii="Arial" w:hAnsi="Arial" w:cs="Arial"/>
          <w:shd w:val="clear" w:color="auto" w:fill="FFFFFF"/>
        </w:rPr>
        <w:t xml:space="preserve"> (accessed on: 26 June 2021)</w:t>
      </w:r>
    </w:p>
    <w:p w14:paraId="78B981D7" w14:textId="77777777" w:rsidR="00905424" w:rsidRPr="00905424" w:rsidRDefault="00905424" w:rsidP="00905424">
      <w:pPr>
        <w:rPr>
          <w:rFonts w:ascii="Arial" w:hAnsi="Arial" w:cs="Arial"/>
          <w:bCs/>
        </w:rPr>
      </w:pPr>
      <w:r w:rsidRPr="00905424">
        <w:rPr>
          <w:rFonts w:ascii="Arial" w:hAnsi="Arial" w:cs="Arial"/>
          <w:bCs/>
        </w:rPr>
        <w:t xml:space="preserve">Police UK. (2021). </w:t>
      </w:r>
      <w:r w:rsidRPr="00905424">
        <w:rPr>
          <w:rFonts w:ascii="Arial" w:hAnsi="Arial" w:cs="Arial"/>
          <w:bCs/>
          <w:i/>
          <w:iCs/>
        </w:rPr>
        <w:t xml:space="preserve">Automatic Number Plate Recognition (ANPR) </w:t>
      </w:r>
      <w:r w:rsidRPr="00905424">
        <w:rPr>
          <w:rFonts w:ascii="Arial" w:hAnsi="Arial" w:cs="Arial"/>
          <w:bCs/>
        </w:rPr>
        <w:t xml:space="preserve">Available at: </w:t>
      </w:r>
      <w:hyperlink r:id="rId26" w:history="1">
        <w:r w:rsidRPr="00905424">
          <w:rPr>
            <w:rFonts w:ascii="Arial" w:hAnsi="Arial" w:cs="Arial"/>
            <w:bCs/>
            <w:color w:val="0000FF"/>
            <w:u w:val="single"/>
          </w:rPr>
          <w:t>Automatic Number Plate Recognition (ANPR) | Police.uk (www.police.uk)</w:t>
        </w:r>
      </w:hyperlink>
      <w:r w:rsidRPr="00905424">
        <w:rPr>
          <w:rFonts w:ascii="Arial" w:hAnsi="Arial" w:cs="Arial"/>
          <w:bCs/>
        </w:rPr>
        <w:t xml:space="preserve"> (accessed on:01 July 2021). </w:t>
      </w:r>
    </w:p>
    <w:p w14:paraId="7FB705B8" w14:textId="77777777" w:rsidR="00905424" w:rsidRPr="00905424" w:rsidRDefault="00905424" w:rsidP="00905424">
      <w:pPr>
        <w:rPr>
          <w:rFonts w:ascii="Arial" w:hAnsi="Arial" w:cs="Arial"/>
        </w:rPr>
      </w:pPr>
      <w:r w:rsidRPr="00905424">
        <w:rPr>
          <w:rFonts w:ascii="Arial" w:hAnsi="Arial" w:cs="Arial"/>
        </w:rPr>
        <w:t>Pollitt. C. (2012).</w:t>
      </w:r>
      <w:r w:rsidRPr="00905424">
        <w:rPr>
          <w:rFonts w:ascii="Arial" w:eastAsia="Times New Roman" w:hAnsi="Arial" w:cs="Arial"/>
          <w:color w:val="000000" w:themeColor="text1"/>
          <w:sz w:val="24"/>
          <w:szCs w:val="24"/>
          <w:lang w:eastAsia="en-GB"/>
        </w:rPr>
        <w:t xml:space="preserve"> </w:t>
      </w:r>
      <w:r w:rsidRPr="00905424">
        <w:rPr>
          <w:rFonts w:ascii="Arial" w:hAnsi="Arial" w:cs="Arial"/>
          <w:i/>
          <w:iCs/>
        </w:rPr>
        <w:t>New Perspectives on Public Services, Chapter 8, The Police. </w:t>
      </w:r>
      <w:r w:rsidRPr="00905424">
        <w:rPr>
          <w:rFonts w:ascii="Arial" w:hAnsi="Arial" w:cs="Arial"/>
        </w:rPr>
        <w:t>Oxford: Oxford: Oxford University Press.</w:t>
      </w:r>
    </w:p>
    <w:p w14:paraId="2B636459" w14:textId="77777777" w:rsidR="00905424" w:rsidRPr="00905424" w:rsidRDefault="00905424" w:rsidP="00905424">
      <w:pPr>
        <w:rPr>
          <w:rFonts w:ascii="Arial" w:hAnsi="Arial" w:cs="Arial"/>
        </w:rPr>
      </w:pPr>
      <w:r w:rsidRPr="00905424">
        <w:rPr>
          <w:rFonts w:ascii="Arial" w:hAnsi="Arial" w:cs="Arial"/>
        </w:rPr>
        <w:t>Posick. C. and Hatfield. H. (2017). Putting H.E.A.R.T. into policing: a 21st century model for effective and fair policing. </w:t>
      </w:r>
      <w:r w:rsidRPr="00905424">
        <w:rPr>
          <w:rFonts w:ascii="Arial" w:hAnsi="Arial" w:cs="Arial"/>
          <w:i/>
          <w:iCs/>
        </w:rPr>
        <w:t>Policing: an international journal of police strategies &amp; management, </w:t>
      </w:r>
      <w:r w:rsidRPr="00905424">
        <w:rPr>
          <w:rFonts w:ascii="Arial" w:hAnsi="Arial" w:cs="Arial"/>
          <w:b/>
          <w:bCs/>
        </w:rPr>
        <w:t>40</w:t>
      </w:r>
      <w:r w:rsidRPr="00905424">
        <w:rPr>
          <w:rFonts w:ascii="Arial" w:hAnsi="Arial" w:cs="Arial"/>
        </w:rPr>
        <w:t>(1), pp. 128-140.</w:t>
      </w:r>
    </w:p>
    <w:p w14:paraId="1F0D7197" w14:textId="77777777" w:rsidR="00905424" w:rsidRPr="00905424" w:rsidRDefault="00905424" w:rsidP="00905424">
      <w:pPr>
        <w:rPr>
          <w:rFonts w:ascii="Arial" w:hAnsi="Arial" w:cs="Arial"/>
          <w:bCs/>
        </w:rPr>
      </w:pPr>
      <w:r w:rsidRPr="00905424">
        <w:rPr>
          <w:rFonts w:ascii="Arial" w:hAnsi="Arial" w:cs="Arial"/>
          <w:bCs/>
        </w:rPr>
        <w:t xml:space="preserve">Rose. G. (2000). </w:t>
      </w:r>
      <w:r w:rsidRPr="00905424">
        <w:rPr>
          <w:rFonts w:ascii="Arial" w:hAnsi="Arial" w:cs="Arial"/>
          <w:bCs/>
          <w:i/>
          <w:iCs/>
        </w:rPr>
        <w:t xml:space="preserve">The Criminal Histories of Serious Traffic Offenders. </w:t>
      </w:r>
      <w:r w:rsidRPr="00905424">
        <w:rPr>
          <w:rFonts w:ascii="Arial" w:hAnsi="Arial" w:cs="Arial"/>
          <w:bCs/>
        </w:rPr>
        <w:t xml:space="preserve">HORS 206. London. Home Office. </w:t>
      </w:r>
    </w:p>
    <w:p w14:paraId="61CB7DBA" w14:textId="77777777" w:rsidR="00905424" w:rsidRPr="00905424" w:rsidRDefault="00905424" w:rsidP="00905424">
      <w:pPr>
        <w:shd w:val="clear" w:color="auto" w:fill="FFFFFF"/>
        <w:spacing w:after="173" w:line="240" w:lineRule="auto"/>
        <w:rPr>
          <w:rFonts w:ascii="Arial" w:eastAsia="Times New Roman" w:hAnsi="Arial" w:cs="Arial"/>
          <w:lang w:eastAsia="en-GB"/>
        </w:rPr>
      </w:pPr>
      <w:r w:rsidRPr="00905424">
        <w:rPr>
          <w:rFonts w:ascii="Arial" w:eastAsia="Times New Roman" w:hAnsi="Arial" w:cs="Arial"/>
          <w:lang w:eastAsia="en-GB"/>
        </w:rPr>
        <w:lastRenderedPageBreak/>
        <w:t>STAUBLI, S., (2017). </w:t>
      </w:r>
      <w:r w:rsidRPr="00905424">
        <w:rPr>
          <w:rFonts w:ascii="Arial" w:eastAsia="Times New Roman" w:hAnsi="Arial" w:cs="Arial"/>
          <w:i/>
          <w:iCs/>
          <w:lang w:eastAsia="en-GB"/>
        </w:rPr>
        <w:t>Trusting the Police. </w:t>
      </w:r>
      <w:r w:rsidRPr="00905424">
        <w:rPr>
          <w:rFonts w:ascii="Arial" w:eastAsia="Times New Roman" w:hAnsi="Arial" w:cs="Arial"/>
          <w:lang w:eastAsia="en-GB"/>
        </w:rPr>
        <w:t>Bielefeld, Germany.</w:t>
      </w:r>
    </w:p>
    <w:p w14:paraId="56A33A89" w14:textId="77777777" w:rsidR="00905424" w:rsidRPr="00905424" w:rsidRDefault="00905424" w:rsidP="00905424">
      <w:pPr>
        <w:rPr>
          <w:rFonts w:ascii="Arial" w:hAnsi="Arial" w:cs="Arial"/>
          <w:shd w:val="clear" w:color="auto" w:fill="FFFFFF"/>
        </w:rPr>
      </w:pPr>
      <w:r w:rsidRPr="00905424">
        <w:rPr>
          <w:rFonts w:ascii="Arial" w:hAnsi="Arial" w:cs="Arial"/>
          <w:shd w:val="clear" w:color="auto" w:fill="FFFFFF"/>
        </w:rPr>
        <w:t>Tilley. T. (2008). “Modern approaches to policing: Community, problem-orientated and intelligence-led” in</w:t>
      </w:r>
      <w:r w:rsidRPr="00905424">
        <w:rPr>
          <w:rFonts w:ascii="Arial" w:hAnsi="Arial" w:cs="Arial"/>
          <w:i/>
          <w:iCs/>
          <w:shd w:val="clear" w:color="auto" w:fill="FFFFFF"/>
        </w:rPr>
        <w:t xml:space="preserve"> T Newburn (ed), Handbook of policing </w:t>
      </w:r>
      <w:r w:rsidRPr="00905424">
        <w:rPr>
          <w:rFonts w:ascii="Arial" w:hAnsi="Arial" w:cs="Arial"/>
          <w:shd w:val="clear" w:color="auto" w:fill="FFFFFF"/>
        </w:rPr>
        <w:t>(Cullompton: William), pp373-403</w:t>
      </w: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sectPr w:rsidR="00BB18E4" w:rsidSect="00C073F1">
      <w:footerReference w:type="default" r:id="rId2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6F478" w14:textId="77777777" w:rsidR="0055029A" w:rsidRDefault="0055029A">
      <w:pPr>
        <w:spacing w:after="0" w:line="240" w:lineRule="auto"/>
      </w:pPr>
      <w:r>
        <w:separator/>
      </w:r>
    </w:p>
  </w:endnote>
  <w:endnote w:type="continuationSeparator" w:id="0">
    <w:p w14:paraId="37EE9AB7" w14:textId="77777777" w:rsidR="0055029A" w:rsidRDefault="00550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5502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070BA" w14:textId="77777777" w:rsidR="0055029A" w:rsidRDefault="0055029A">
      <w:pPr>
        <w:spacing w:after="0" w:line="240" w:lineRule="auto"/>
      </w:pPr>
      <w:r>
        <w:separator/>
      </w:r>
    </w:p>
  </w:footnote>
  <w:footnote w:type="continuationSeparator" w:id="0">
    <w:p w14:paraId="27B30929" w14:textId="77777777" w:rsidR="0055029A" w:rsidRDefault="00550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D1888"/>
    <w:multiLevelType w:val="hybridMultilevel"/>
    <w:tmpl w:val="9A5A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A76C4"/>
    <w:multiLevelType w:val="hybridMultilevel"/>
    <w:tmpl w:val="3BAE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93F7E"/>
    <w:multiLevelType w:val="hybridMultilevel"/>
    <w:tmpl w:val="18FA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607E3"/>
    <w:multiLevelType w:val="hybridMultilevel"/>
    <w:tmpl w:val="A35C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3E7827"/>
    <w:multiLevelType w:val="hybridMultilevel"/>
    <w:tmpl w:val="83D626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5D1D67EF"/>
    <w:multiLevelType w:val="hybridMultilevel"/>
    <w:tmpl w:val="37F6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5F0AC6"/>
    <w:multiLevelType w:val="hybridMultilevel"/>
    <w:tmpl w:val="14F4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6"/>
  </w:num>
  <w:num w:numId="4">
    <w:abstractNumId w:val="2"/>
  </w:num>
  <w:num w:numId="5">
    <w:abstractNumId w:val="7"/>
  </w:num>
  <w:num w:numId="6">
    <w:abstractNumId w:val="3"/>
  </w:num>
  <w:num w:numId="7">
    <w:abstractNumId w:val="11"/>
  </w:num>
  <w:num w:numId="8">
    <w:abstractNumId w:val="12"/>
  </w:num>
  <w:num w:numId="9">
    <w:abstractNumId w:val="4"/>
  </w:num>
  <w:num w:numId="10">
    <w:abstractNumId w:val="1"/>
  </w:num>
  <w:num w:numId="11">
    <w:abstractNumId w:val="5"/>
  </w:num>
  <w:num w:numId="12">
    <w:abstractNumId w:val="9"/>
  </w:num>
  <w:num w:numId="13">
    <w:abstractNumId w:val="8"/>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A72D4"/>
    <w:rsid w:val="001934C2"/>
    <w:rsid w:val="002C458D"/>
    <w:rsid w:val="00536896"/>
    <w:rsid w:val="0055029A"/>
    <w:rsid w:val="00621EDF"/>
    <w:rsid w:val="00763CB3"/>
    <w:rsid w:val="00795C11"/>
    <w:rsid w:val="00810ADD"/>
    <w:rsid w:val="00846F01"/>
    <w:rsid w:val="00893149"/>
    <w:rsid w:val="008E5EB6"/>
    <w:rsid w:val="00905424"/>
    <w:rsid w:val="009178EA"/>
    <w:rsid w:val="009E333B"/>
    <w:rsid w:val="00A741C5"/>
    <w:rsid w:val="00B8357D"/>
    <w:rsid w:val="00BB18E4"/>
    <w:rsid w:val="00C9011A"/>
    <w:rsid w:val="00CF7B26"/>
    <w:rsid w:val="00D76CF9"/>
    <w:rsid w:val="00DC3BA2"/>
    <w:rsid w:val="00DF15EC"/>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DF1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ps.gov.uk/crime-info/terrorism" TargetMode="External"/><Relationship Id="rId18" Type="http://schemas.openxmlformats.org/officeDocument/2006/relationships/hyperlink" Target="https://www.justiceinspectorates.gov.uk/hmicfrs/media/diversity-matters-full-report-20030201.pdf" TargetMode="External"/><Relationship Id="rId26" Type="http://schemas.openxmlformats.org/officeDocument/2006/relationships/hyperlink" Target="https://www.police.uk/pu/advice-crime-prevention/automatic-number-plate-recognition-anpr/" TargetMode="External"/><Relationship Id="rId3" Type="http://schemas.openxmlformats.org/officeDocument/2006/relationships/customXml" Target="../customXml/item3.xml"/><Relationship Id="rId21" Type="http://schemas.openxmlformats.org/officeDocument/2006/relationships/hyperlink" Target="https://journals-sagepub-com.ezproxy.uwtsd.ac.uk/doi/pdf/10.1177/1362480607075849" TargetMode="External"/><Relationship Id="rId7" Type="http://schemas.openxmlformats.org/officeDocument/2006/relationships/webSettings" Target="webSettings.xml"/><Relationship Id="rId12" Type="http://schemas.openxmlformats.org/officeDocument/2006/relationships/hyperlink" Target="https://www.legislation.gov.uk/ukpga/2004/36/contents" TargetMode="External"/><Relationship Id="rId17" Type="http://schemas.openxmlformats.org/officeDocument/2006/relationships/hyperlink" Target="https://www.justiceinspectorates.gov.uk/hmicfrs/wp-content/uploads/crime-data-integrity-gwent-2014.pdf" TargetMode="External"/><Relationship Id="rId25" Type="http://schemas.openxmlformats.org/officeDocument/2006/relationships/hyperlink" Target="https://library.college.police.uk/docs/NPIA/Practice-Advice-on-CIM-Jul2011.pdf" TargetMode="External"/><Relationship Id="rId2" Type="http://schemas.openxmlformats.org/officeDocument/2006/relationships/customXml" Target="../customXml/item2.xml"/><Relationship Id="rId16" Type="http://schemas.openxmlformats.org/officeDocument/2006/relationships/hyperlink" Target="https://doi.org/10.1002/cl2.1089" TargetMode="External"/><Relationship Id="rId20" Type="http://schemas.openxmlformats.org/officeDocument/2006/relationships/hyperlink" Target="https://www.jesip.org.uk/joint-doctri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library.college.police.uk/docs/appref/Policing-our-Roads-Together-partners-copy.pdf" TargetMode="External"/><Relationship Id="rId5" Type="http://schemas.openxmlformats.org/officeDocument/2006/relationships/styles" Target="styles.xml"/><Relationship Id="rId15" Type="http://schemas.openxmlformats.org/officeDocument/2006/relationships/hyperlink" Target="https://www.police-foundation.org.uk/2017/wp-content/uploads/2017/06/changing_world_paper_2.pdf" TargetMode="External"/><Relationship Id="rId23" Type="http://schemas.openxmlformats.org/officeDocument/2006/relationships/hyperlink" Target="https://www.nationalcrimeagency.gov.uk/what-we-do/crime-threats/drug-trafficking/county-lines"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oliceconduct.gov.uk/recommendations/national-recommendations-mark-duggan-investigation-may-20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ipo.europa.eu/tunnel-web/secure/webdav/guest/document_library/observatory/documents/reports/2020_IP_crime_and_its_link_to_other_serious_crimes/2020_IP_crime_and_its_link_to_other_serious_crimes_Full.pdf" TargetMode="External"/><Relationship Id="rId22" Type="http://schemas.openxmlformats.org/officeDocument/2006/relationships/hyperlink" Target="https://assets.publishing.service.gov.uk/government/uploads/system/uploads/attachment_data/file/277111/4262.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5704</Words>
  <Characters>32514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Price W</cp:lastModifiedBy>
  <cp:revision>3</cp:revision>
  <cp:lastPrinted>2020-03-18T13:24:00Z</cp:lastPrinted>
  <dcterms:created xsi:type="dcterms:W3CDTF">2021-07-11T13:54:00Z</dcterms:created>
  <dcterms:modified xsi:type="dcterms:W3CDTF">2021-07-11T13:55:00Z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2021-05-22T19:48:22Z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8a60f1be-d1fb-450e-804e-ed670b328674</vt:lpwstr>
  </property>
  <property fmtid="{D5CDD505-2E9C-101B-9397-08002B2CF9AE}" pid="9" name="MSIP_Label_f2acd28b-79a3-4a0f-b0ff-4b75658b1549_ContentBits">
    <vt:lpwstr>0</vt:lpwstr>
  </property>
</Properties>
</file>