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3F12C2" w:rsidR="003F12C2" w:rsidP="1FFB2168" w:rsidRDefault="003F12C2" w14:paraId="7CB09258" w14:textId="6B2367D8">
      <w:pPr>
        <w:spacing w:line="360" w:lineRule="auto"/>
        <w:jc w:val="center"/>
        <w:rPr>
          <w:rFonts w:cs="Calibri" w:cstheme="minorAscii"/>
          <w:b w:val="1"/>
          <w:bCs w:val="1"/>
          <w:i w:val="1"/>
          <w:iCs w:val="1"/>
          <w:sz w:val="24"/>
          <w:szCs w:val="24"/>
        </w:rPr>
      </w:pPr>
      <w:r w:rsidRPr="1FFB2168" w:rsidR="1FFB2168">
        <w:rPr>
          <w:rFonts w:cs="Calibri" w:cstheme="minorAscii"/>
          <w:b w:val="1"/>
          <w:bCs w:val="1"/>
          <w:i w:val="1"/>
          <w:iCs w:val="1"/>
          <w:sz w:val="24"/>
          <w:szCs w:val="24"/>
        </w:rPr>
        <w:t xml:space="preserve">Create a portfolio that critically reflects how the role of the educational practitioner supports and develops learning in an education setting of your choice. </w:t>
      </w:r>
    </w:p>
    <w:p w:rsidR="003F12C2" w:rsidP="1FFB2168" w:rsidRDefault="003F12C2" w14:paraId="4853C77F" w14:textId="5119410E" w14:noSpellErr="1">
      <w:pPr>
        <w:spacing w:line="360" w:lineRule="auto"/>
        <w:jc w:val="center"/>
        <w:rPr>
          <w:rFonts w:cs="Calibri" w:cstheme="minorAscii"/>
          <w:sz w:val="24"/>
          <w:szCs w:val="24"/>
        </w:rPr>
      </w:pPr>
    </w:p>
    <w:p w:rsidR="00251611" w:rsidP="3F2DC0E6" w:rsidRDefault="00251611" w14:paraId="675B564E" w14:textId="32088DDC">
      <w:pPr>
        <w:pStyle w:val="Normal"/>
        <w:spacing w:line="360" w:lineRule="auto"/>
        <w:jc w:val="center"/>
        <w:rPr>
          <w:sz w:val="24"/>
          <w:szCs w:val="24"/>
        </w:rPr>
      </w:pPr>
      <w:r w:rsidRPr="3F2DC0E6" w:rsidR="3F2DC0E6">
        <w:rPr>
          <w:rFonts w:cs="Calibri" w:cstheme="minorAscii"/>
          <w:b w:val="1"/>
          <w:bCs w:val="1"/>
          <w:sz w:val="24"/>
          <w:szCs w:val="24"/>
        </w:rPr>
        <w:t>Introduction.</w:t>
      </w:r>
      <w:r>
        <w:br/>
      </w:r>
      <w:r w:rsidRPr="3F2DC0E6" w:rsidR="3F2DC0E6">
        <w:rPr>
          <w:rFonts w:cs="Calibri" w:cstheme="minorAscii"/>
          <w:b w:val="1"/>
          <w:bCs w:val="1"/>
          <w:sz w:val="24"/>
          <w:szCs w:val="24"/>
        </w:rPr>
        <w:t xml:space="preserve"> </w:t>
      </w:r>
      <w:r w:rsidRPr="3F2DC0E6" w:rsidR="3F2DC0E6">
        <w:rPr>
          <w:rFonts w:cs="Calibri" w:cstheme="minorAscii"/>
          <w:sz w:val="24"/>
          <w:szCs w:val="24"/>
        </w:rPr>
        <w:t>Within our 21</w:t>
      </w:r>
      <w:r w:rsidRPr="3F2DC0E6" w:rsidR="3F2DC0E6">
        <w:rPr>
          <w:rFonts w:cs="Calibri" w:cstheme="minorAscii"/>
          <w:sz w:val="24"/>
          <w:szCs w:val="24"/>
          <w:vertAlign w:val="superscript"/>
        </w:rPr>
        <w:t>st</w:t>
      </w:r>
      <w:r w:rsidRPr="3F2DC0E6" w:rsidR="3F2DC0E6">
        <w:rPr>
          <w:rFonts w:cs="Calibri" w:cstheme="minorAscii"/>
          <w:sz w:val="24"/>
          <w:szCs w:val="24"/>
        </w:rPr>
        <w:t xml:space="preserve"> Century society, it is evident that we are living in a fast-changing world, different to what traditional individuals are used too. Such changes have made an impact on our economy, our societies and includes what is incorporated into our education systems.  To cope with the diverse nature of this change in Wales, the role of schools within the 21</w:t>
      </w:r>
      <w:r w:rsidRPr="3F2DC0E6" w:rsidR="3F2DC0E6">
        <w:rPr>
          <w:rFonts w:cs="Calibri" w:cstheme="minorAscii"/>
          <w:sz w:val="24"/>
          <w:szCs w:val="24"/>
          <w:vertAlign w:val="superscript"/>
        </w:rPr>
        <w:t>st</w:t>
      </w:r>
      <w:r w:rsidRPr="3F2DC0E6" w:rsidR="3F2DC0E6">
        <w:rPr>
          <w:rFonts w:cs="Calibri" w:cstheme="minorAscii"/>
          <w:sz w:val="24"/>
          <w:szCs w:val="24"/>
        </w:rPr>
        <w:t xml:space="preserve"> century society is to provide an education system in which all learners have an equal opportunity to reach their potential (OECD, 2017). By doing so, learners are educated to a standard that ensures them to cope with the ever-changing demands of their society. According to the OECD, individuals need to be educated in order to ‘strengthen individual and societies capacity to contribute to economic growth and social cohesion’ (p3, 2017). </w:t>
      </w:r>
      <w:proofErr w:type="gramStart"/>
      <w:r w:rsidRPr="3F2DC0E6" w:rsidR="3F2DC0E6">
        <w:rPr>
          <w:rFonts w:cs="Calibri" w:cstheme="minorAscii"/>
          <w:sz w:val="24"/>
          <w:szCs w:val="24"/>
        </w:rPr>
        <w:t>In order for</w:t>
      </w:r>
      <w:proofErr w:type="gramEnd"/>
      <w:r w:rsidRPr="3F2DC0E6" w:rsidR="3F2DC0E6">
        <w:rPr>
          <w:rFonts w:cs="Calibri" w:cstheme="minorAscii"/>
          <w:sz w:val="24"/>
          <w:szCs w:val="24"/>
        </w:rPr>
        <w:t xml:space="preserve"> this to successfully occur, the role of the educational practitioner is essential in this process, and how they facilitate their learners to do so. In Wales, from extensive research into Welsh secondary schools, there is a major policy challenge that has a large focus on raising attainment levels. It is apparent that this challenge highly depends on the role of the practitioner within the classroom. WAG (2011) state that practitioners should have an equal high expectation for each learner in order to improve their outcomes and well-being for all. In order to do so, the practitioner must have a skill-set that can approach each child’s learning experience fairly and ensures that inclusivity is always current. </w:t>
      </w:r>
      <w:proofErr w:type="gramStart"/>
      <w:r w:rsidRPr="3F2DC0E6" w:rsidR="3F2DC0E6">
        <w:rPr>
          <w:rFonts w:cs="Calibri" w:cstheme="minorAscii"/>
          <w:sz w:val="24"/>
          <w:szCs w:val="24"/>
        </w:rPr>
        <w:t>With this being said, it</w:t>
      </w:r>
      <w:proofErr w:type="gramEnd"/>
      <w:r w:rsidRPr="3F2DC0E6" w:rsidR="3F2DC0E6">
        <w:rPr>
          <w:rFonts w:cs="Calibri" w:cstheme="minorAscii"/>
          <w:sz w:val="24"/>
          <w:szCs w:val="24"/>
        </w:rPr>
        <w:t xml:space="preserve"> is vital that the practitioner supports and develops the learning of each child with acknowledgement of the diversity of their classroom. </w:t>
      </w:r>
      <w:r w:rsidRPr="3F2DC0E6" w:rsidR="3F2DC0E6">
        <w:rPr>
          <w:sz w:val="24"/>
          <w:szCs w:val="24"/>
        </w:rPr>
        <w:t xml:space="preserve">In order to prepare our learners capacity, it needs to be essential for the practitioner to enable and engage within constructive thinking about their future with their learners. In order to do this, the practitioner should create a shared and corporate strategic vision that inspires and motivates all members of the classroom. </w:t>
      </w:r>
      <w:r w:rsidRPr="3F2DC0E6" w:rsidR="3F2DC0E6">
        <w:rPr>
          <w:rFonts w:cs="Calibri" w:cstheme="minorAscii"/>
          <w:sz w:val="24"/>
          <w:szCs w:val="24"/>
        </w:rPr>
        <w:t xml:space="preserve">This portfolio aims to explore and critically reflect on how this role of the educational practitioner supports and develops learning in an educational setting. The educational setting that will be discussed throughout is Key Stage 3 in Wales and will be split into four separate elements that reflect upon the ways in which this is present in Key Stage 3 classrooms. </w:t>
      </w:r>
    </w:p>
    <w:p w:rsidR="1EEBE509" w:rsidP="1EEBE509" w:rsidRDefault="1EEBE509" w14:paraId="00D35C9D" w14:textId="67AD6273">
      <w:pPr>
        <w:pStyle w:val="Normal"/>
        <w:spacing w:line="360" w:lineRule="auto"/>
        <w:jc w:val="center"/>
        <w:rPr>
          <w:rFonts w:cs="Calibri" w:cstheme="minorAscii"/>
          <w:sz w:val="24"/>
          <w:szCs w:val="24"/>
        </w:rPr>
      </w:pPr>
    </w:p>
    <w:p w:rsidR="00251611" w:rsidP="1EEBE509" w:rsidRDefault="00251611" w14:paraId="5740D16C" w14:textId="7F9EA93A">
      <w:pPr>
        <w:spacing w:line="360" w:lineRule="auto"/>
        <w:jc w:val="center"/>
        <w:rPr>
          <w:b w:val="1"/>
          <w:bCs w:val="1"/>
          <w:i w:val="1"/>
          <w:iCs w:val="1"/>
          <w:sz w:val="24"/>
          <w:szCs w:val="24"/>
        </w:rPr>
      </w:pPr>
      <w:r w:rsidRPr="1EEBE509" w:rsidR="1EEBE509">
        <w:rPr>
          <w:b w:val="1"/>
          <w:bCs w:val="1"/>
          <w:i w:val="1"/>
          <w:iCs w:val="1"/>
          <w:sz w:val="24"/>
          <w:szCs w:val="24"/>
        </w:rPr>
        <w:t>Inclusivity</w:t>
      </w:r>
      <w:r w:rsidRPr="1EEBE509" w:rsidR="1EEBE509">
        <w:rPr>
          <w:b w:val="1"/>
          <w:bCs w:val="1"/>
          <w:i w:val="1"/>
          <w:iCs w:val="1"/>
          <w:sz w:val="24"/>
          <w:szCs w:val="24"/>
        </w:rPr>
        <w:t>.</w:t>
      </w:r>
    </w:p>
    <w:p w:rsidR="51E92973" w:rsidP="127747E6" w:rsidRDefault="51E92973" w14:paraId="6776C464" w14:textId="626008E5">
      <w:pPr>
        <w:pStyle w:val="Normal"/>
        <w:spacing w:line="360" w:lineRule="auto"/>
        <w:jc w:val="center"/>
        <w:rPr>
          <w:sz w:val="24"/>
          <w:szCs w:val="24"/>
        </w:rPr>
      </w:pPr>
      <w:r w:rsidRPr="127747E6" w:rsidR="127747E6">
        <w:rPr>
          <w:sz w:val="24"/>
          <w:szCs w:val="24"/>
        </w:rPr>
        <w:t>In 21</w:t>
      </w:r>
      <w:r w:rsidRPr="127747E6" w:rsidR="127747E6">
        <w:rPr>
          <w:sz w:val="24"/>
          <w:szCs w:val="24"/>
          <w:vertAlign w:val="superscript"/>
        </w:rPr>
        <w:t>st</w:t>
      </w:r>
      <w:r w:rsidRPr="127747E6" w:rsidR="127747E6">
        <w:rPr>
          <w:sz w:val="24"/>
          <w:szCs w:val="24"/>
        </w:rPr>
        <w:t xml:space="preserve"> Century learning in Wales, inclusivity plays a focal role within policy and practice. Defined as the education in which a school attempts to respond to all pupils as individuals, it’s key aim is to reconsider and restrict its curricular organisation and provision to allocate resources that enhance equality of opportunities (Frederickson and Cline, 2002). According to National Assembly for Wales (2006) all learners within Key Stage 3 should be able to have an individually tailored learning pathway which meets their needs, enabling them all to experience success. This means that the practitioner must be ensuring all learners participation levels are high, to result in fewer exclusion levels within their classroom. However, statistics show that students with some form of educational need make up approximately 23% of all students in Welsh public schools (OECD, 2017). Defined as a learner who requires additional support either due to their circumstances or because they have a longer-term disorder or condition, educational needs can be diverse within a setting. However, it is important to note here that only 12% of the students within the statistic mentioned previously have official statements of educational needs, meaning that not all children have statements set in p</w:t>
      </w:r>
      <w:r w:rsidRPr="127747E6" w:rsidR="127747E6">
        <w:rPr>
          <w:sz w:val="24"/>
          <w:szCs w:val="24"/>
        </w:rPr>
        <w:t>lace within their classroom</w:t>
      </w:r>
      <w:r w:rsidRPr="127747E6" w:rsidR="127747E6">
        <w:rPr>
          <w:sz w:val="24"/>
          <w:szCs w:val="24"/>
        </w:rPr>
        <w:t xml:space="preserve">. With such diversity in our classrooms, an important factor to consider is that a learner may fall into more than one category when it comes to their needs. There is a difference between learners that have additional educational needs, and learners that are seen as vulnerable within their educational setting. The below table demonstrates recent statistics of how many pupils there are with SEN within Wales, and this includes Key Stage 3 learners and incorporates all children with or without statements.  </w:t>
      </w:r>
    </w:p>
    <w:p w:rsidR="1FFB2168" w:rsidP="127747E6" w:rsidRDefault="1FFB2168" w14:paraId="15E3309E" w14:textId="4D7AF713">
      <w:pPr>
        <w:pStyle w:val="Normal"/>
        <w:spacing w:line="360" w:lineRule="auto"/>
        <w:ind w:left="720"/>
        <w:jc w:val="center"/>
        <w:rPr>
          <w:sz w:val="24"/>
          <w:szCs w:val="24"/>
        </w:rPr>
      </w:pPr>
    </w:p>
    <w:p w:rsidR="51E92973" w:rsidP="127747E6" w:rsidRDefault="51E92973" w14:paraId="66A2A24C" w14:textId="75C10F43">
      <w:pPr>
        <w:pStyle w:val="Normal"/>
        <w:spacing w:line="360" w:lineRule="auto"/>
        <w:ind w:left="720"/>
        <w:jc w:val="center"/>
        <w:rPr>
          <w:sz w:val="24"/>
          <w:szCs w:val="24"/>
        </w:rPr>
      </w:pPr>
      <w:r>
        <w:drawing>
          <wp:inline wp14:editId="74193381" wp14:anchorId="750A6577">
            <wp:extent cx="5065548" cy="3706988"/>
            <wp:effectExtent l="76200" t="76200" r="116205" b="122555"/>
            <wp:docPr id="605490561" name="" title=""/>
            <wp:cNvGraphicFramePr>
              <a:graphicFrameLocks noChangeAspect="1"/>
            </wp:cNvGraphicFramePr>
            <a:graphic>
              <a:graphicData uri="http://schemas.openxmlformats.org/drawingml/2006/picture">
                <pic:pic>
                  <pic:nvPicPr>
                    <pic:cNvPr id="0" name=""/>
                    <pic:cNvPicPr/>
                  </pic:nvPicPr>
                  <pic:blipFill>
                    <a:blip r:embed="Rb3d4d191a7f641a2">
                      <a:extLst xmlns:a="http://schemas.openxmlformats.org/drawingml/2006/main">
                        <a:ext xmlns:a="http://schemas.openxmlformats.org/drawingml/2006/main" uri="{28A0092B-C50C-407E-A947-70E740481C1C}">
                          <a14:useLocalDpi xmlns:a14="http://schemas.microsoft.com/office/drawing/2010/main" val="0"/>
                        </a:ext>
                      </a:extLst>
                    </a:blip>
                    <a:srcRect l="20625" t="13725" r="22500" b="8235"/>
                    <a:stretch>
                      <a:fillRect/>
                    </a:stretch>
                  </pic:blipFill>
                  <pic:spPr xmlns:pic="http://schemas.openxmlformats.org/drawingml/2006/picture">
                    <a:xfrm xmlns:a="http://schemas.openxmlformats.org/drawingml/2006/main" rot="0" flipH="0" flipV="0">
                      <a:off x="0" y="0"/>
                      <a:ext cx="5065548" cy="3706988"/>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r w:rsidRPr="127747E6" w:rsidR="0F258B0E">
        <w:rPr>
          <w:sz w:val="16"/>
          <w:szCs w:val="16"/>
        </w:rPr>
        <w:t xml:space="preserve">National Assembly for Wales (2015).</w:t>
      </w:r>
    </w:p>
    <w:p w:rsidR="51E92973" w:rsidP="1EEBE509" w:rsidRDefault="51E92973" w14:paraId="43B7B4AF" w14:textId="1E87357D">
      <w:pPr>
        <w:pStyle w:val="Normal"/>
        <w:spacing w:line="360" w:lineRule="auto"/>
        <w:ind w:left="720"/>
        <w:jc w:val="center"/>
        <w:rPr>
          <w:sz w:val="24"/>
          <w:szCs w:val="24"/>
        </w:rPr>
      </w:pPr>
      <w:r w:rsidRPr="1EEBE509" w:rsidR="1EEBE509">
        <w:rPr>
          <w:sz w:val="24"/>
          <w:szCs w:val="24"/>
        </w:rPr>
        <w:t>Taking into consideration these statistics, it is then the practitioner's role to support and develop each student and their learning through ensuring that inclusivity is present for all learners, irrespective of their educational needs. Eliminating the element of disadvantage in its many forms from a classroom will ensure that achievement can take place</w:t>
      </w:r>
      <w:r w:rsidRPr="1EEBE509" w:rsidR="1EEBE509">
        <w:rPr>
          <w:sz w:val="24"/>
          <w:szCs w:val="24"/>
        </w:rPr>
        <w:t xml:space="preserve"> for all</w:t>
      </w:r>
      <w:r w:rsidRPr="1EEBE509" w:rsidR="1EEBE509">
        <w:rPr>
          <w:sz w:val="24"/>
          <w:szCs w:val="24"/>
        </w:rPr>
        <w:t xml:space="preserve">. For a practitioner, it is vital that they understand every individual that they have within their setting. According to Donaldson (2015), it is essential that the curriculum used to support this understanding </w:t>
      </w:r>
      <w:r w:rsidRPr="1EEBE509" w:rsidR="1EEBE509">
        <w:rPr>
          <w:sz w:val="24"/>
          <w:szCs w:val="24"/>
        </w:rPr>
        <w:t xml:space="preserve">within key stage 3 </w:t>
      </w:r>
      <w:r w:rsidRPr="1EEBE509" w:rsidR="1EEBE509">
        <w:rPr>
          <w:sz w:val="24"/>
          <w:szCs w:val="24"/>
        </w:rPr>
        <w:t>is portrayed in ways of which will engage and interest all children and young people and enable them to achieve</w:t>
      </w:r>
      <w:r w:rsidRPr="1EEBE509" w:rsidR="1EEBE509">
        <w:rPr>
          <w:sz w:val="24"/>
          <w:szCs w:val="24"/>
        </w:rPr>
        <w:t xml:space="preserve"> whilst considering the rights of the child</w:t>
      </w:r>
      <w:r w:rsidRPr="1EEBE509" w:rsidR="1EEBE509">
        <w:rPr>
          <w:sz w:val="24"/>
          <w:szCs w:val="24"/>
        </w:rPr>
        <w:t>.</w:t>
      </w:r>
    </w:p>
    <w:p w:rsidR="51E92973" w:rsidP="127747E6" w:rsidRDefault="51E92973" w14:paraId="2B32A50E" w14:textId="7DA7465A">
      <w:pPr>
        <w:pStyle w:val="Normal"/>
        <w:spacing w:line="360" w:lineRule="auto"/>
        <w:ind w:left="720"/>
        <w:jc w:val="center"/>
      </w:pPr>
      <w:r>
        <w:drawing>
          <wp:inline wp14:editId="499D8E41" wp14:anchorId="0590A5B4">
            <wp:extent cx="5206252" cy="737866"/>
            <wp:effectExtent l="0" t="0" r="0" b="0"/>
            <wp:docPr id="207643509" name="" title=""/>
            <wp:cNvGraphicFramePr>
              <a:graphicFrameLocks noChangeAspect="1"/>
            </wp:cNvGraphicFramePr>
            <a:graphic>
              <a:graphicData uri="http://schemas.openxmlformats.org/drawingml/2006/picture">
                <pic:pic>
                  <pic:nvPicPr>
                    <pic:cNvPr id="0" name=""/>
                    <pic:cNvPicPr/>
                  </pic:nvPicPr>
                  <pic:blipFill>
                    <a:blip r:embed="R48cb5b078f2448e2">
                      <a:extLst>
                        <a:ext xmlns:a="http://schemas.openxmlformats.org/drawingml/2006/main" uri="{28A0092B-C50C-407E-A947-70E740481C1C}">
                          <a14:useLocalDpi val="0"/>
                        </a:ext>
                      </a:extLst>
                    </a:blip>
                    <a:srcRect l="27966" t="42709" r="25586" b="44948"/>
                    <a:stretch>
                      <a:fillRect/>
                    </a:stretch>
                  </pic:blipFill>
                  <pic:spPr xmlns:pic="http://schemas.openxmlformats.org/drawingml/2006/picture">
                    <a:xfrm xmlns:a="http://schemas.openxmlformats.org/drawingml/2006/main" rot="0" flipH="0" flipV="0">
                      <a:off x="0" y="0"/>
                      <a:ext cx="5206252" cy="737866"/>
                    </a:xfrm>
                    <a:prstGeom xmlns:a="http://schemas.openxmlformats.org/drawingml/2006/main" prst="rect">
                      <a:avLst/>
                    </a:prstGeom>
                  </pic:spPr>
                </pic:pic>
              </a:graphicData>
            </a:graphic>
          </wp:inline>
        </w:drawing>
      </w:r>
      <w:r w:rsidRPr="127747E6" w:rsidR="127747E6">
        <w:rPr>
          <w:sz w:val="16"/>
          <w:szCs w:val="16"/>
        </w:rPr>
        <w:t>Donaldson Report (2015)</w:t>
      </w:r>
    </w:p>
    <w:p w:rsidR="51E92973" w:rsidP="127747E6" w:rsidRDefault="51E92973" w14:paraId="56B9D8AE" w14:textId="6B08B4BD">
      <w:pPr>
        <w:pStyle w:val="Normal"/>
        <w:spacing w:line="360" w:lineRule="auto"/>
        <w:ind w:left="720"/>
        <w:jc w:val="center"/>
      </w:pPr>
    </w:p>
    <w:p w:rsidR="1EEBE509" w:rsidP="1EEBE509" w:rsidRDefault="1EEBE509" w14:paraId="556D5DCB" w14:textId="502F6A04">
      <w:pPr>
        <w:pStyle w:val="Normal"/>
        <w:spacing w:line="360" w:lineRule="auto"/>
        <w:ind w:left="720"/>
        <w:jc w:val="center"/>
        <w:rPr>
          <w:sz w:val="24"/>
          <w:szCs w:val="24"/>
        </w:rPr>
      </w:pPr>
    </w:p>
    <w:p w:rsidR="1EEBE509" w:rsidP="1EEBE509" w:rsidRDefault="1EEBE509" w14:paraId="32F03148" w14:textId="1B022D91">
      <w:pPr>
        <w:pStyle w:val="Normal"/>
        <w:spacing w:line="360" w:lineRule="auto"/>
        <w:ind w:left="720"/>
        <w:jc w:val="center"/>
        <w:rPr>
          <w:rFonts w:ascii="Calibri" w:hAnsi="Calibri" w:eastAsia="Calibri" w:cs="Calibri"/>
          <w:noProof w:val="0"/>
          <w:sz w:val="24"/>
          <w:szCs w:val="24"/>
          <w:lang w:val="en-GB"/>
        </w:rPr>
      </w:pPr>
      <w:r w:rsidRPr="1EEBE509" w:rsidR="1EEBE509">
        <w:rPr>
          <w:sz w:val="24"/>
          <w:szCs w:val="24"/>
        </w:rPr>
        <w:t>Providing students with a sense of belonging and taking the time to offer them support during their time within the classroom can immensely create a positive effect on their overall learning and support. This is done by a practitioner by ensuring that all their students have the right support that they need to be academically successful. Building relationships and developing skills with the children can increase participation levels</w:t>
      </w:r>
      <w:r w:rsidRPr="1EEBE509" w:rsidR="1EEBE509">
        <w:rPr>
          <w:sz w:val="24"/>
          <w:szCs w:val="24"/>
        </w:rPr>
        <w:t xml:space="preserve"> and awareness in developing an individual's learning</w:t>
      </w:r>
      <w:r w:rsidRPr="1EEBE509" w:rsidR="1EEBE509">
        <w:rPr>
          <w:sz w:val="24"/>
          <w:szCs w:val="24"/>
        </w:rPr>
        <w:t>.  According to the Welsh Assembly Government (2018), in order to support and develop learning within th</w:t>
      </w:r>
      <w:r w:rsidRPr="1EEBE509" w:rsidR="1EEBE509">
        <w:rPr>
          <w:sz w:val="24"/>
          <w:szCs w:val="24"/>
        </w:rPr>
        <w:t>is</w:t>
      </w:r>
      <w:r w:rsidRPr="1EEBE509" w:rsidR="1EEBE509">
        <w:rPr>
          <w:sz w:val="24"/>
          <w:szCs w:val="24"/>
        </w:rPr>
        <w:t xml:space="preserve"> context, there are three overarching objectives that a practitioner must have knowledge of and act upon within their Key Stage 3 setting. Firstly, this is demonstrated through the framework used within the classroom. The framework used ensures that inclusivity is present for all through a unified approach to support all children of compulsory school age. It is underpinned with an integrative, collaborative process of assessment, planning and monitoring of which facilitates development within learning for each learner</w:t>
      </w:r>
      <w:r w:rsidRPr="1EEBE509" w:rsidR="1EEBE509">
        <w:rPr>
          <w:sz w:val="24"/>
          <w:szCs w:val="24"/>
        </w:rPr>
        <w:t xml:space="preserve"> (WAG, 2018)</w:t>
      </w:r>
      <w:r w:rsidRPr="1EEBE509" w:rsidR="1EEBE509">
        <w:rPr>
          <w:sz w:val="24"/>
          <w:szCs w:val="24"/>
        </w:rPr>
        <w:t xml:space="preserve">. This also is used by the practitioner in order to ensure that there </w:t>
      </w:r>
      <w:r w:rsidRPr="1EEBE509" w:rsidR="1EEBE509">
        <w:rPr>
          <w:sz w:val="24"/>
          <w:szCs w:val="24"/>
        </w:rPr>
        <w:t>are</w:t>
      </w:r>
      <w:r w:rsidRPr="1EEBE509" w:rsidR="1EEBE509">
        <w:rPr>
          <w:sz w:val="24"/>
          <w:szCs w:val="24"/>
        </w:rPr>
        <w:t xml:space="preserve"> early and effective interventions that are available should it be needed. For each child that has an additional learning need, there </w:t>
      </w:r>
      <w:r w:rsidRPr="1EEBE509" w:rsidR="1EEBE509">
        <w:rPr>
          <w:sz w:val="24"/>
          <w:szCs w:val="24"/>
        </w:rPr>
        <w:t>should be</w:t>
      </w:r>
      <w:r w:rsidRPr="1EEBE509" w:rsidR="1EEBE509">
        <w:rPr>
          <w:sz w:val="24"/>
          <w:szCs w:val="24"/>
        </w:rPr>
        <w:t xml:space="preserve"> a statutory Individual Development Plan that is supported and developed by the practitioner and stakeholders to ensure that the right support is tailored for each child. Lastly, ensuring that a fair and transparent system for providing </w:t>
      </w:r>
      <w:r w:rsidRPr="1EEBE509" w:rsidR="1EEBE509">
        <w:rPr>
          <w:sz w:val="24"/>
          <w:szCs w:val="24"/>
        </w:rPr>
        <w:t xml:space="preserve">advice and support for learners and their families is essential when considering the practitioners role in developing and supporting such learning. By resolving issues that may arise within the classroom, children are able to feel important and valued during their time within key stage 3 education. Ensuring that the family is on board within this process means that the child has a say and opinion when it comes to their learning. Estyn (2010) noted that through partnership with parents and stakeholders there has been a raise in attainment and individual standards in relation to the support and development of children in secondary schools. Therefore, this is seen as a vital element of supporting and developing learning in this context. It is an essential factor that needs to be carried out successfully, as research from previous reviews have described this process as a complex, bewildering and adversarial (WAG, 2018).  Therefore, the practitioner ensuring that they communicate with students and their families in ways which are sensitive, positive and non-judgemental can positively influence learning and development for the diversity within their classroom. </w:t>
      </w:r>
      <w:r>
        <w:br/>
      </w:r>
      <w:r>
        <w:br/>
      </w:r>
    </w:p>
    <w:p w:rsidR="003F12C2" w:rsidP="30EF479F" w:rsidRDefault="005C30E5" w14:paraId="54C062D3" w14:textId="589EFDB9">
      <w:pPr>
        <w:spacing w:line="360" w:lineRule="auto"/>
        <w:jc w:val="center"/>
        <w:rPr>
          <w:rFonts w:cs="Calibri" w:cstheme="minorAscii"/>
          <w:b w:val="1"/>
          <w:bCs w:val="1"/>
          <w:i w:val="1"/>
          <w:iCs w:val="1"/>
          <w:sz w:val="24"/>
          <w:szCs w:val="24"/>
        </w:rPr>
      </w:pP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rsidRPr="30EF479F" w:rsidR="30EF479F">
        <w:rPr>
          <w:rFonts w:cs="Calibri" w:cstheme="minorAscii"/>
          <w:b w:val="1"/>
          <w:bCs w:val="1"/>
          <w:i w:val="1"/>
          <w:iCs w:val="1"/>
          <w:sz w:val="24"/>
          <w:szCs w:val="24"/>
        </w:rPr>
        <w:t xml:space="preserve">Self-assessment.  </w:t>
      </w:r>
    </w:p>
    <w:p w:rsidR="1EEBE509" w:rsidP="30EF479F" w:rsidRDefault="1EEBE509" w14:paraId="0051BA73" w14:textId="0D714B91">
      <w:pPr>
        <w:pStyle w:val="Normal"/>
        <w:spacing w:line="360" w:lineRule="auto"/>
        <w:ind w:left="547" w:hanging="547"/>
        <w:jc w:val="center"/>
        <w:rPr>
          <w:rFonts w:cs="Calibri" w:cstheme="minorAscii"/>
          <w:b w:val="0"/>
          <w:bCs w:val="0"/>
          <w:i w:val="0"/>
          <w:iCs w:val="0"/>
          <w:sz w:val="24"/>
          <w:szCs w:val="24"/>
        </w:rPr>
      </w:pPr>
      <w:r w:rsidRPr="30EF479F" w:rsidR="30EF479F">
        <w:rPr>
          <w:rFonts w:cs="Calibri" w:cstheme="minorAscii"/>
          <w:b w:val="0"/>
          <w:bCs w:val="0"/>
          <w:i w:val="0"/>
          <w:iCs w:val="0"/>
          <w:sz w:val="24"/>
          <w:szCs w:val="24"/>
        </w:rPr>
        <w:t xml:space="preserve">In our current society, education in Wales is often seen as a system that has a high focus on the standards of which content of the curriculum is delivered to its learners. Looking at framework such as the School Effectiveness Framework (2010), self-assessment is at the core of this policy that seeks to transform educational standards and provision across key stage 3 in Wales over the next decade. According to McMillan and Hearn (2008) self-assessment within classrooms </w:t>
      </w:r>
      <w:r w:rsidRPr="30EF479F" w:rsidR="30EF479F">
        <w:rPr>
          <w:rFonts w:cs="Calibri" w:cstheme="minorAscii"/>
          <w:b w:val="0"/>
          <w:bCs w:val="0"/>
          <w:i w:val="0"/>
          <w:iCs w:val="0"/>
          <w:sz w:val="24"/>
          <w:szCs w:val="24"/>
        </w:rPr>
        <w:t xml:space="preserve">could </w:t>
      </w:r>
      <w:r w:rsidRPr="30EF479F" w:rsidR="30EF479F">
        <w:rPr>
          <w:rFonts w:cs="Calibri" w:cstheme="minorAscii"/>
          <w:b w:val="0"/>
          <w:bCs w:val="0"/>
          <w:i w:val="0"/>
          <w:iCs w:val="0"/>
          <w:sz w:val="24"/>
          <w:szCs w:val="24"/>
        </w:rPr>
        <w:t xml:space="preserve">stand alone in its promise to improve children's overall learning and development within the classroom. When correctly implemented by a practitioner, this process can advocate development, motivation, engagement, effort and goal setting for children within key stage 3. A powerful tool for a practitioner to use within their classroom is to give their learners the opportunity to guide their own learning and with their practitioner, create a shared vision and goals for improvement. According to WAG (2008) this ensures that there is a unity of purpose, and there is a level of consistency when it comes to their practice and collaboration with their learners. It has been previously defined by the likes of Andrade and Du as a process of formative assessment where students ‘reflect on and evaluate the quality of their work and their learning, judge the degree to which they reflect explicitly stated goals or criteria, identify strengths and weaknesses in their work, and revise accordingly’ (2007, p160).  This clarifies that engaging students within the formulation of criteria for themselves helps them to be actively involved in supporting and developing their own learning. Again, this reinforces that they have a voice when it comes to their own learning and are valued when it comes to their personal progress in the classroom. Self-evaluation can be portrayed in various ways within a classroom, and within key stage 3 can depend on the subject and the practitioner that teaches it. However, the outcomes for self-assessment are usually very similar and can be clearly demonstrated within the cycle in the diagram below. </w:t>
      </w:r>
    </w:p>
    <w:p w:rsidR="00A67C3A" w:rsidP="3F2DC0E6" w:rsidRDefault="00A67C3A" w14:paraId="7C321504" w14:textId="5FD60A3E">
      <w:pPr>
        <w:pStyle w:val="Normal"/>
        <w:spacing w:line="360" w:lineRule="auto"/>
        <w:rPr>
          <w:rFonts w:cs="Calibri" w:cstheme="minorAscii"/>
          <w:sz w:val="24"/>
          <w:szCs w:val="24"/>
        </w:rPr>
      </w:pPr>
    </w:p>
    <w:p w:rsidR="00A67C3A" w:rsidP="3F2DC0E6" w:rsidRDefault="00A67C3A" w14:paraId="42697219" w14:textId="01507C12">
      <w:pPr>
        <w:pStyle w:val="Normal"/>
        <w:spacing w:line="360" w:lineRule="auto"/>
        <w:rPr>
          <w:rFonts w:cs="Calibri" w:cstheme="minorAscii"/>
          <w:sz w:val="24"/>
          <w:szCs w:val="24"/>
        </w:rPr>
      </w:pPr>
    </w:p>
    <w:p w:rsidR="00A67C3A" w:rsidP="30EF479F" w:rsidRDefault="00A67C3A" w14:paraId="648A5430" w14:textId="5C644F79">
      <w:pPr>
        <w:pStyle w:val="Normal"/>
        <w:spacing w:line="360" w:lineRule="auto"/>
        <w:rPr>
          <w:rFonts w:cs="Calibri" w:cstheme="minorAscii"/>
          <w:sz w:val="24"/>
          <w:szCs w:val="24"/>
        </w:rPr>
      </w:pPr>
    </w:p>
    <w:p w:rsidR="30EF479F" w:rsidP="30EF479F" w:rsidRDefault="30EF479F" w14:paraId="4931F167" w14:textId="71EFA031">
      <w:pPr>
        <w:pStyle w:val="Normal"/>
        <w:spacing w:line="360" w:lineRule="auto"/>
        <w:rPr>
          <w:rFonts w:cs="Calibri" w:cstheme="minorAscii"/>
          <w:sz w:val="24"/>
          <w:szCs w:val="24"/>
        </w:rPr>
      </w:pPr>
    </w:p>
    <w:p w:rsidR="00A67C3A" w:rsidP="3F2DC0E6" w:rsidRDefault="00A67C3A" w14:paraId="0156C4CC" w14:textId="7E04990A">
      <w:pPr>
        <w:pStyle w:val="Normal"/>
        <w:spacing w:line="360" w:lineRule="auto"/>
        <w:jc w:val="center"/>
        <w:rPr>
          <w:rFonts w:cstheme="minorHAnsi"/>
          <w:sz w:val="24"/>
          <w:szCs w:val="24"/>
        </w:rPr>
      </w:pPr>
      <w:r>
        <w:drawing>
          <wp:inline wp14:editId="28EC21E6" wp14:anchorId="4312A670">
            <wp:extent cx="3379867" cy="2510236"/>
            <wp:effectExtent l="0" t="0" r="0" b="0"/>
            <wp:docPr id="1605876377" name="" title=""/>
            <wp:cNvGraphicFramePr>
              <a:graphicFrameLocks noChangeAspect="1"/>
            </wp:cNvGraphicFramePr>
            <a:graphic>
              <a:graphicData uri="http://schemas.openxmlformats.org/drawingml/2006/picture">
                <pic:pic>
                  <pic:nvPicPr>
                    <pic:cNvPr id="0" name=""/>
                    <pic:cNvPicPr/>
                  </pic:nvPicPr>
                  <pic:blipFill>
                    <a:blip r:embed="R3addb21fcd274ebb">
                      <a:extLst>
                        <a:ext xmlns:a="http://schemas.openxmlformats.org/drawingml/2006/main" uri="{28A0092B-C50C-407E-A947-70E740481C1C}">
                          <a14:useLocalDpi val="0"/>
                        </a:ext>
                      </a:extLst>
                    </a:blip>
                    <a:srcRect l="35088" t="20741" r="36980" b="40297"/>
                    <a:stretch>
                      <a:fillRect/>
                    </a:stretch>
                  </pic:blipFill>
                  <pic:spPr xmlns:pic="http://schemas.openxmlformats.org/drawingml/2006/picture">
                    <a:xfrm xmlns:a="http://schemas.openxmlformats.org/drawingml/2006/main" rot="0" flipH="0" flipV="0">
                      <a:off x="0" y="0"/>
                      <a:ext cx="3379867" cy="2510236"/>
                    </a:xfrm>
                    <a:prstGeom xmlns:a="http://schemas.openxmlformats.org/drawingml/2006/main" prst="rect">
                      <a:avLst/>
                    </a:prstGeom>
                  </pic:spPr>
                </pic:pic>
              </a:graphicData>
            </a:graphic>
          </wp:inline>
        </w:drawing>
      </w:r>
      <w:r w:rsidRPr="3F2DC0E6" w:rsidR="3F2DC0E6">
        <w:rPr>
          <w:rFonts w:cs="Calibri" w:cstheme="minorAscii"/>
          <w:sz w:val="24"/>
          <w:szCs w:val="24"/>
        </w:rPr>
        <w:t xml:space="preserve"> </w:t>
      </w:r>
      <w:r>
        <w:br/>
      </w:r>
      <w:r w:rsidRPr="3F2DC0E6" w:rsidR="3F2DC0E6">
        <w:rPr>
          <w:rFonts w:cs="Calibri" w:cstheme="minorAscii"/>
          <w:sz w:val="24"/>
          <w:szCs w:val="24"/>
        </w:rPr>
        <w:t xml:space="preserve"> </w:t>
      </w:r>
      <w:r w:rsidRPr="3F2DC0E6" w:rsidR="3F2DC0E6">
        <w:rPr>
          <w:rFonts w:cs="Calibri" w:cstheme="minorAscii"/>
          <w:sz w:val="16"/>
          <w:szCs w:val="16"/>
        </w:rPr>
        <w:t>Upton (2011)</w:t>
      </w:r>
    </w:p>
    <w:p w:rsidR="3F2DC0E6" w:rsidP="3F2DC0E6" w:rsidRDefault="3F2DC0E6" w14:paraId="367F08D6" w14:textId="391BFC93">
      <w:pPr>
        <w:pStyle w:val="Normal"/>
        <w:spacing w:line="360" w:lineRule="auto"/>
        <w:jc w:val="center"/>
        <w:rPr>
          <w:rFonts w:cs="Calibri" w:cstheme="minorAscii"/>
          <w:sz w:val="24"/>
          <w:szCs w:val="24"/>
        </w:rPr>
      </w:pPr>
      <w:r w:rsidRPr="3F2DC0E6" w:rsidR="3F2DC0E6">
        <w:rPr>
          <w:rFonts w:cs="Calibri" w:cstheme="minorAscii"/>
          <w:sz w:val="24"/>
          <w:szCs w:val="24"/>
        </w:rPr>
        <w:t xml:space="preserve">From the diagram above, the three elements of this cycle are all essential for students to build a successful and necessary self-assessment process. Paying attention to aspects of their behaviour, thinking and what they are doing in a classroom can relate to improvement in their development when supported by their practitioner. By successfully completing this process, students within key stage 3 in Wales can work towards and identify targeted performance levels. Bruce (2001) states that this notion gives students a meaningful idea of what they know and what they still need to learn. Together the student and practitioner can move forward, and each student has goals that are made in relation to their individual capabilities and can be supported based on their individual needs. Previous research from Rolheiser and Ross (2001) supports this notion as they stated that students who are taught self-evaluation skills are more likely to persist on difficult tasks, be more confident about their ability, and take greater responsibility for their work. It is solely the responsibility of the practitioner of the way in which they chose to incorporate this into their key stage 3 classroom.  However, from extensive research into the provisions put in place within policy for Wales, it is evident that there needs to be a clear rationale and a purpose of why the practitioner choses to deliver self-evaluation in such ways. According to Upton (2011), within secondary schools in Wales, mentoring of all pupils plays an important consolidatory role as it aids pupils to synthesise the information that is given to them by their subject teachers. Therefore, practitioners can use the feedback from this to influence and effect changes in future decisions that are related to their subject. Practitioners can also do this through the production and distribution of data collection such as surveys. Not only does this enable students to have a say in the subject, but it also provides effectiveness for the practitioner when it comes to the impact of school decisions. This is because practitioners can identify targets for improvements and can be selected </w:t>
      </w:r>
      <w:proofErr w:type="gramStart"/>
      <w:r w:rsidRPr="3F2DC0E6" w:rsidR="3F2DC0E6">
        <w:rPr>
          <w:rFonts w:cs="Calibri" w:cstheme="minorAscii"/>
          <w:sz w:val="24"/>
          <w:szCs w:val="24"/>
        </w:rPr>
        <w:t>through the use of</w:t>
      </w:r>
      <w:proofErr w:type="gramEnd"/>
      <w:r w:rsidRPr="3F2DC0E6" w:rsidR="3F2DC0E6">
        <w:rPr>
          <w:rFonts w:cs="Calibri" w:cstheme="minorAscii"/>
          <w:sz w:val="24"/>
          <w:szCs w:val="24"/>
        </w:rPr>
        <w:t xml:space="preserve"> various learning and teaching approaches and organisational strategies in the classroom. This reinforces the goal of successfully supporting and developing each student and ensuring that all pupils are working consistently and effectively in that subject.  However, it is important that when a practitioner makes such judgements from feedback of their pupils there is an element of validity in their decisions. Practitioners have previously been criticised for making decisions that are not reliable or free of bias (ERW, 2010).  Ensuring that there are clearly identified priorities, targets and timescales for pupils and the identification of steps that will need to be taken to address issues picked up within the classroom setting is a key way in which a practitioner can overcome such criticisms and ensure that each pupil is supported through their learning and development. </w:t>
      </w:r>
    </w:p>
    <w:p w:rsidR="3F2DC0E6" w:rsidP="3F2DC0E6" w:rsidRDefault="3F2DC0E6" w14:paraId="78810BF0" w14:textId="5A71EAAA">
      <w:pPr>
        <w:pStyle w:val="Normal"/>
        <w:spacing w:line="360" w:lineRule="auto"/>
        <w:jc w:val="center"/>
        <w:rPr>
          <w:rFonts w:cs="Calibri" w:cstheme="minorAscii"/>
          <w:sz w:val="24"/>
          <w:szCs w:val="24"/>
        </w:rPr>
      </w:pPr>
    </w:p>
    <w:p w:rsidR="3F2DC0E6" w:rsidP="3F2DC0E6" w:rsidRDefault="3F2DC0E6" w14:paraId="63BCED55" w14:textId="0AEF1711">
      <w:pPr>
        <w:pStyle w:val="Normal"/>
        <w:spacing w:line="360" w:lineRule="auto"/>
        <w:jc w:val="center"/>
        <w:rPr>
          <w:rFonts w:cs="Calibri" w:cstheme="minorAscii"/>
          <w:sz w:val="24"/>
          <w:szCs w:val="24"/>
        </w:rPr>
      </w:pPr>
    </w:p>
    <w:p w:rsidR="3F2DC0E6" w:rsidP="3F2DC0E6" w:rsidRDefault="3F2DC0E6" w14:paraId="1211B214" w14:textId="2169D879">
      <w:pPr>
        <w:pStyle w:val="Normal"/>
        <w:spacing w:line="360" w:lineRule="auto"/>
        <w:jc w:val="center"/>
        <w:rPr>
          <w:rFonts w:cs="Calibri" w:cstheme="minorAscii"/>
          <w:sz w:val="24"/>
          <w:szCs w:val="24"/>
        </w:rPr>
      </w:pPr>
    </w:p>
    <w:p w:rsidR="3F2DC0E6" w:rsidP="3F2DC0E6" w:rsidRDefault="3F2DC0E6" w14:paraId="7D094A46" w14:textId="68F57BD4">
      <w:pPr>
        <w:pStyle w:val="Normal"/>
        <w:spacing w:line="360" w:lineRule="auto"/>
        <w:jc w:val="center"/>
        <w:rPr>
          <w:rFonts w:cs="Calibri" w:cstheme="minorAscii"/>
          <w:sz w:val="24"/>
          <w:szCs w:val="24"/>
        </w:rPr>
      </w:pPr>
    </w:p>
    <w:p w:rsidR="3F2DC0E6" w:rsidP="3F2DC0E6" w:rsidRDefault="3F2DC0E6" w14:paraId="6F90B1B1" w14:textId="170DD825">
      <w:pPr>
        <w:pStyle w:val="Normal"/>
        <w:spacing w:line="360" w:lineRule="auto"/>
        <w:jc w:val="center"/>
        <w:rPr>
          <w:rFonts w:cs="Calibri" w:cstheme="minorAscii"/>
          <w:sz w:val="24"/>
          <w:szCs w:val="24"/>
        </w:rPr>
      </w:pPr>
    </w:p>
    <w:p w:rsidR="3F2DC0E6" w:rsidP="3F2DC0E6" w:rsidRDefault="3F2DC0E6" w14:paraId="68C790DE" w14:textId="664F965D">
      <w:pPr>
        <w:pStyle w:val="Normal"/>
        <w:spacing w:line="360" w:lineRule="auto"/>
        <w:jc w:val="center"/>
        <w:rPr>
          <w:rFonts w:cs="Calibri" w:cstheme="minorAscii"/>
          <w:sz w:val="24"/>
          <w:szCs w:val="24"/>
        </w:rPr>
      </w:pPr>
    </w:p>
    <w:p w:rsidR="3F2DC0E6" w:rsidP="3F2DC0E6" w:rsidRDefault="3F2DC0E6" w14:paraId="245EF950" w14:textId="6733405F">
      <w:pPr>
        <w:pStyle w:val="Normal"/>
        <w:spacing w:line="360" w:lineRule="auto"/>
        <w:jc w:val="center"/>
        <w:rPr>
          <w:rFonts w:cs="Calibri" w:cstheme="minorAscii"/>
          <w:sz w:val="24"/>
          <w:szCs w:val="24"/>
        </w:rPr>
      </w:pPr>
    </w:p>
    <w:p w:rsidR="3F2DC0E6" w:rsidP="3F2DC0E6" w:rsidRDefault="3F2DC0E6" w14:paraId="30299D9C" w14:textId="49C06168">
      <w:pPr>
        <w:pStyle w:val="Normal"/>
        <w:spacing w:line="360" w:lineRule="auto"/>
        <w:jc w:val="center"/>
        <w:rPr>
          <w:rFonts w:cs="Calibri" w:cstheme="minorAscii"/>
          <w:sz w:val="24"/>
          <w:szCs w:val="24"/>
        </w:rPr>
      </w:pPr>
    </w:p>
    <w:p w:rsidR="3F2DC0E6" w:rsidP="3F2DC0E6" w:rsidRDefault="3F2DC0E6" w14:paraId="6FAC86AD" w14:textId="7C7EC74E">
      <w:pPr>
        <w:pStyle w:val="Normal"/>
        <w:spacing w:line="360" w:lineRule="auto"/>
        <w:jc w:val="center"/>
        <w:rPr>
          <w:rFonts w:cs="Calibri" w:cstheme="minorAscii"/>
          <w:sz w:val="24"/>
          <w:szCs w:val="24"/>
        </w:rPr>
      </w:pPr>
    </w:p>
    <w:p w:rsidR="3F2DC0E6" w:rsidP="3F2DC0E6" w:rsidRDefault="3F2DC0E6" w14:paraId="35F354C9" w14:textId="1DB87154">
      <w:pPr>
        <w:pStyle w:val="Normal"/>
        <w:spacing w:line="360" w:lineRule="auto"/>
        <w:jc w:val="center"/>
        <w:rPr>
          <w:rFonts w:cs="Calibri" w:cstheme="minorAscii"/>
          <w:sz w:val="24"/>
          <w:szCs w:val="24"/>
        </w:rPr>
      </w:pPr>
    </w:p>
    <w:p w:rsidR="30EF479F" w:rsidP="30EF479F" w:rsidRDefault="30EF479F" w14:paraId="26E991E8" w14:textId="1301304B">
      <w:pPr>
        <w:pStyle w:val="Normal"/>
        <w:spacing w:line="360" w:lineRule="auto"/>
        <w:jc w:val="center"/>
        <w:rPr>
          <w:rFonts w:cs="Calibri" w:cstheme="minorAscii"/>
          <w:b w:val="1"/>
          <w:bCs w:val="1"/>
          <w:i w:val="1"/>
          <w:iCs w:val="1"/>
          <w:sz w:val="24"/>
          <w:szCs w:val="24"/>
        </w:rPr>
      </w:pPr>
    </w:p>
    <w:p w:rsidR="30EF479F" w:rsidP="30EF479F" w:rsidRDefault="30EF479F" w14:paraId="40CB25ED" w14:textId="2AEDCA1A">
      <w:pPr>
        <w:pStyle w:val="Normal"/>
        <w:spacing w:line="360" w:lineRule="auto"/>
        <w:jc w:val="center"/>
        <w:rPr>
          <w:rFonts w:cs="Calibri" w:cstheme="minorAscii"/>
          <w:b w:val="1"/>
          <w:bCs w:val="1"/>
          <w:i w:val="1"/>
          <w:iCs w:val="1"/>
          <w:sz w:val="24"/>
          <w:szCs w:val="24"/>
        </w:rPr>
      </w:pPr>
    </w:p>
    <w:p w:rsidR="30EF479F" w:rsidP="30EF479F" w:rsidRDefault="30EF479F" w14:paraId="3F3167DF" w14:textId="4689BA75">
      <w:pPr>
        <w:pStyle w:val="Normal"/>
        <w:spacing w:line="360" w:lineRule="auto"/>
        <w:jc w:val="center"/>
        <w:rPr>
          <w:rFonts w:cs="Calibri" w:cstheme="minorAscii"/>
          <w:b w:val="1"/>
          <w:bCs w:val="1"/>
          <w:i w:val="1"/>
          <w:iCs w:val="1"/>
          <w:sz w:val="24"/>
          <w:szCs w:val="24"/>
        </w:rPr>
      </w:pPr>
    </w:p>
    <w:p w:rsidR="3F2DC0E6" w:rsidP="30EF479F" w:rsidRDefault="3F2DC0E6" w14:paraId="7210B7EF" w14:textId="098A809F">
      <w:pPr>
        <w:pStyle w:val="Normal"/>
        <w:spacing w:line="360" w:lineRule="auto"/>
        <w:jc w:val="center"/>
        <w:rPr>
          <w:rFonts w:cs="Calibri" w:cstheme="minorAscii"/>
          <w:b w:val="0"/>
          <w:bCs w:val="0"/>
          <w:i w:val="0"/>
          <w:iCs w:val="0"/>
          <w:sz w:val="24"/>
          <w:szCs w:val="24"/>
        </w:rPr>
      </w:pPr>
      <w:r>
        <w:br/>
      </w:r>
      <w:r w:rsidRPr="30EF479F" w:rsidR="30EF479F">
        <w:rPr>
          <w:rFonts w:cs="Calibri" w:cstheme="minorAscii"/>
          <w:b w:val="1"/>
          <w:bCs w:val="1"/>
          <w:i w:val="1"/>
          <w:iCs w:val="1"/>
          <w:sz w:val="24"/>
          <w:szCs w:val="24"/>
        </w:rPr>
        <w:t>The Environment.</w:t>
      </w:r>
      <w:r>
        <w:br/>
      </w:r>
      <w:r w:rsidRPr="30EF479F" w:rsidR="30EF479F">
        <w:rPr>
          <w:rFonts w:cs="Calibri" w:cstheme="minorAscii"/>
          <w:b w:val="0"/>
          <w:bCs w:val="0"/>
          <w:i w:val="0"/>
          <w:iCs w:val="0"/>
          <w:sz w:val="24"/>
          <w:szCs w:val="24"/>
        </w:rPr>
        <w:t xml:space="preserve">An individual's surroundings can have an outstanding impact on the way that they process and learn within education. </w:t>
      </w:r>
      <w:r w:rsidRPr="30EF479F" w:rsidR="30EF479F">
        <w:rPr>
          <w:rFonts w:cs="Calibri" w:cstheme="minorAscii"/>
          <w:b w:val="0"/>
          <w:bCs w:val="0"/>
          <w:i w:val="0"/>
          <w:iCs w:val="0"/>
          <w:sz w:val="24"/>
          <w:szCs w:val="24"/>
        </w:rPr>
        <w:t>Educators from as early as the 17</w:t>
      </w:r>
      <w:r w:rsidRPr="30EF479F" w:rsidR="30EF479F">
        <w:rPr>
          <w:rFonts w:cs="Calibri" w:cstheme="minorAscii"/>
          <w:b w:val="0"/>
          <w:bCs w:val="0"/>
          <w:i w:val="0"/>
          <w:iCs w:val="0"/>
          <w:sz w:val="24"/>
          <w:szCs w:val="24"/>
          <w:vertAlign w:val="superscript"/>
        </w:rPr>
        <w:t>th</w:t>
      </w:r>
      <w:r w:rsidRPr="30EF479F" w:rsidR="30EF479F">
        <w:rPr>
          <w:rFonts w:cs="Calibri" w:cstheme="minorAscii"/>
          <w:b w:val="0"/>
          <w:bCs w:val="0"/>
          <w:i w:val="0"/>
          <w:iCs w:val="0"/>
          <w:sz w:val="24"/>
          <w:szCs w:val="24"/>
        </w:rPr>
        <w:t xml:space="preserve"> century have suspected this statement for decades, with research dating as far back as the likes of Rousseau. However, until recently there has been more evidence that shows how schools can potentially lift student development and support them by improving their learning environments (Learning </w:t>
      </w:r>
      <w:proofErr w:type="spellStart"/>
      <w:r w:rsidRPr="30EF479F" w:rsidR="30EF479F">
        <w:rPr>
          <w:rFonts w:cs="Calibri" w:cstheme="minorAscii"/>
          <w:b w:val="0"/>
          <w:bCs w:val="0"/>
          <w:i w:val="0"/>
          <w:iCs w:val="0"/>
          <w:sz w:val="24"/>
          <w:szCs w:val="24"/>
        </w:rPr>
        <w:t>Liftoff</w:t>
      </w:r>
      <w:proofErr w:type="spellEnd"/>
      <w:r w:rsidRPr="30EF479F" w:rsidR="30EF479F">
        <w:rPr>
          <w:rFonts w:cs="Calibri" w:cstheme="minorAscii"/>
          <w:b w:val="0"/>
          <w:bCs w:val="0"/>
          <w:i w:val="0"/>
          <w:iCs w:val="0"/>
          <w:sz w:val="24"/>
          <w:szCs w:val="24"/>
        </w:rPr>
        <w:t xml:space="preserve">, 2016). From this evidence, we can conclude that the environment can drive attention and in turn this leads to learning and memory development. However, in Wales there is a high percentage of schools that focus on the environment as a stimulant for children within the Foundation Phase. When considering key stage 3, Estyn (2018) have provided evidence that more secondary schools are making learning come alive by catering for all types of learners through practical methods. In turn this has boosted confidence levels and provided a high level of engagement from pupils that have previously refused to participate. </w:t>
      </w:r>
      <w:r w:rsidRPr="30EF479F" w:rsidR="30EF479F">
        <w:rPr>
          <w:rFonts w:cs="Calibri" w:cstheme="minorAscii"/>
          <w:b w:val="0"/>
          <w:bCs w:val="0"/>
          <w:i w:val="0"/>
          <w:iCs w:val="0"/>
          <w:sz w:val="24"/>
          <w:szCs w:val="24"/>
        </w:rPr>
        <w:t xml:space="preserve">Therefore, it is essential for the practitioner to foster an enabling environment for all pupils in their classroom when considering the environment supporting and developing learning. </w:t>
      </w:r>
      <w:r w:rsidRPr="30EF479F" w:rsidR="30EF479F">
        <w:rPr>
          <w:rFonts w:cs="Calibri" w:cstheme="minorAscii"/>
          <w:b w:val="0"/>
          <w:bCs w:val="0"/>
          <w:i w:val="0"/>
          <w:iCs w:val="0"/>
          <w:sz w:val="24"/>
          <w:szCs w:val="24"/>
        </w:rPr>
        <w:t>It is important that the role of the pupil is central when considering the environment around them, as demonstrated in the diagram below.</w:t>
      </w:r>
      <w:r>
        <w:br/>
      </w:r>
      <w:r>
        <w:drawing>
          <wp:inline wp14:editId="395A47A4" wp14:anchorId="5773AC84">
            <wp:extent cx="1650438" cy="1828800"/>
            <wp:effectExtent l="0" t="0" r="0" b="0"/>
            <wp:docPr id="1967771435" name="" title=""/>
            <wp:cNvGraphicFramePr>
              <a:graphicFrameLocks noChangeAspect="1"/>
            </wp:cNvGraphicFramePr>
            <a:graphic>
              <a:graphicData uri="http://schemas.openxmlformats.org/drawingml/2006/picture">
                <pic:pic>
                  <pic:nvPicPr>
                    <pic:cNvPr id="0" name=""/>
                    <pic:cNvPicPr/>
                  </pic:nvPicPr>
                  <pic:blipFill>
                    <a:blip r:embed="Rfcf8eeb649b54bb2">
                      <a:extLst>
                        <a:ext xmlns:a="http://schemas.openxmlformats.org/drawingml/2006/main" uri="{28A0092B-C50C-407E-A947-70E740481C1C}">
                          <a14:useLocalDpi val="0"/>
                        </a:ext>
                      </a:extLst>
                    </a:blip>
                    <a:srcRect l="38958" t="12941" r="40833" b="45882"/>
                    <a:stretch>
                      <a:fillRect/>
                    </a:stretch>
                  </pic:blipFill>
                  <pic:spPr xmlns:pic="http://schemas.openxmlformats.org/drawingml/2006/picture">
                    <a:xfrm xmlns:a="http://schemas.openxmlformats.org/drawingml/2006/main" rot="0" flipH="0" flipV="0">
                      <a:off x="0" y="0"/>
                      <a:ext cx="1650438" cy="1828800"/>
                    </a:xfrm>
                    <a:prstGeom xmlns:a="http://schemas.openxmlformats.org/drawingml/2006/main" prst="rect">
                      <a:avLst/>
                    </a:prstGeom>
                  </pic:spPr>
                </pic:pic>
              </a:graphicData>
            </a:graphic>
          </wp:inline>
        </w:drawing>
      </w:r>
      <w:proofErr w:type="gramStart"/>
      <w:proofErr w:type="gramEnd"/>
    </w:p>
    <w:p w:rsidR="3F2DC0E6" w:rsidP="30EF479F" w:rsidRDefault="3F2DC0E6" w14:paraId="51F6A55F" w14:textId="6157936C">
      <w:pPr>
        <w:pStyle w:val="Normal"/>
        <w:spacing w:line="360" w:lineRule="auto"/>
        <w:jc w:val="center"/>
        <w:rPr>
          <w:rFonts w:cs="Calibri" w:cstheme="minorAscii"/>
          <w:b w:val="0"/>
          <w:bCs w:val="0"/>
          <w:i w:val="0"/>
          <w:iCs w:val="0"/>
          <w:sz w:val="24"/>
          <w:szCs w:val="24"/>
        </w:rPr>
      </w:pPr>
      <w:r w:rsidRPr="30EF479F" w:rsidR="30EF479F">
        <w:rPr>
          <w:rFonts w:cs="Calibri" w:cstheme="minorAscii"/>
          <w:b w:val="0"/>
          <w:bCs w:val="0"/>
          <w:i w:val="0"/>
          <w:iCs w:val="0"/>
          <w:sz w:val="16"/>
          <w:szCs w:val="16"/>
        </w:rPr>
        <w:t>GMC (2012)</w:t>
      </w:r>
    </w:p>
    <w:p w:rsidR="3F2DC0E6" w:rsidP="30EF479F" w:rsidRDefault="3F2DC0E6" w14:paraId="2650E70F" w14:textId="16E0CAC2">
      <w:pPr>
        <w:pStyle w:val="Normal"/>
        <w:spacing w:line="360" w:lineRule="auto"/>
        <w:jc w:val="center"/>
        <w:rPr>
          <w:rFonts w:cs="Calibri" w:cstheme="minorAscii"/>
          <w:b w:val="0"/>
          <w:bCs w:val="0"/>
          <w:i w:val="0"/>
          <w:iCs w:val="0"/>
          <w:sz w:val="24"/>
          <w:szCs w:val="24"/>
        </w:rPr>
      </w:pPr>
    </w:p>
    <w:p w:rsidR="3F2DC0E6" w:rsidP="30EF479F" w:rsidRDefault="3F2DC0E6" w14:paraId="7DBF96C1" w14:textId="2E0C561C">
      <w:pPr>
        <w:pStyle w:val="Normal"/>
        <w:spacing w:line="360" w:lineRule="auto"/>
        <w:jc w:val="center"/>
        <w:rPr>
          <w:rFonts w:cs="Calibri" w:cstheme="minorAscii"/>
          <w:b w:val="0"/>
          <w:bCs w:val="0"/>
          <w:i w:val="0"/>
          <w:iCs w:val="0"/>
          <w:sz w:val="24"/>
          <w:szCs w:val="24"/>
        </w:rPr>
      </w:pPr>
      <w:r>
        <w:br/>
      </w:r>
      <w:r>
        <w:br/>
      </w:r>
      <w:r>
        <w:br/>
      </w:r>
      <w:r>
        <w:br/>
      </w:r>
      <w:r>
        <w:br/>
      </w:r>
      <w:r w:rsidRPr="30EF479F" w:rsidR="30EF479F">
        <w:rPr>
          <w:rFonts w:cs="Calibri" w:cstheme="minorAscii"/>
          <w:b w:val="0"/>
          <w:bCs w:val="0"/>
          <w:i w:val="0"/>
          <w:iCs w:val="0"/>
          <w:sz w:val="24"/>
          <w:szCs w:val="24"/>
        </w:rPr>
        <w:t xml:space="preserve">For key stage 3 in Wales, there is a focus on creating a positive environment for all learners. </w:t>
      </w:r>
      <w:proofErr w:type="gramStart"/>
      <w:r w:rsidRPr="30EF479F" w:rsidR="30EF479F">
        <w:rPr>
          <w:rFonts w:cs="Calibri" w:cstheme="minorAscii"/>
          <w:b w:val="0"/>
          <w:bCs w:val="0"/>
          <w:i w:val="0"/>
          <w:iCs w:val="0"/>
          <w:sz w:val="24"/>
          <w:szCs w:val="24"/>
        </w:rPr>
        <w:t>It is clear that the</w:t>
      </w:r>
      <w:proofErr w:type="gramEnd"/>
      <w:r w:rsidRPr="30EF479F" w:rsidR="30EF479F">
        <w:rPr>
          <w:rFonts w:cs="Calibri" w:cstheme="minorAscii"/>
          <w:b w:val="0"/>
          <w:bCs w:val="0"/>
          <w:i w:val="0"/>
          <w:iCs w:val="0"/>
          <w:sz w:val="24"/>
          <w:szCs w:val="24"/>
        </w:rPr>
        <w:t xml:space="preserve"> learning environment is both a physical structure, but also an emotional and intellectual entity (GMC, 2006). The emotional environment is an important factor to consider when discussing how this can enable the practitioner to support and develop the learners in their classroom. This is because the emotional environment can be referred to as the whole mood or atmosphere of the classroom setting and how the learners feel whilst they are within it. Bruce (2001) stated that relationships are what constitute the emotional environment. For a key stage 3 setting, this will include how pupils speak to one another, how they behave and are treated, and how inclusive the environment </w:t>
      </w:r>
      <w:proofErr w:type="gramStart"/>
      <w:r w:rsidRPr="30EF479F" w:rsidR="30EF479F">
        <w:rPr>
          <w:rFonts w:cs="Calibri" w:cstheme="minorAscii"/>
          <w:b w:val="0"/>
          <w:bCs w:val="0"/>
          <w:i w:val="0"/>
          <w:iCs w:val="0"/>
          <w:sz w:val="24"/>
          <w:szCs w:val="24"/>
        </w:rPr>
        <w:t>is.</w:t>
      </w:r>
      <w:proofErr w:type="gramEnd"/>
      <w:r w:rsidRPr="30EF479F" w:rsidR="30EF479F">
        <w:rPr>
          <w:rFonts w:cs="Calibri" w:cstheme="minorAscii"/>
          <w:b w:val="0"/>
          <w:bCs w:val="0"/>
          <w:i w:val="0"/>
          <w:iCs w:val="0"/>
          <w:sz w:val="24"/>
          <w:szCs w:val="24"/>
        </w:rPr>
        <w:t xml:space="preserve"> According to National Assembly Wales (2006), most of the pupils that a practitioner would need to consider for this statement is that of vulnerable learners. Defined by the LEA (2016) as children and young people at greater risk of poor educational outcomes, this means that there is a vast diversity of pupils that could fit into this category. However, </w:t>
      </w:r>
      <w:r w:rsidRPr="30EF479F" w:rsidR="30EF479F">
        <w:rPr>
          <w:rFonts w:cs="Calibri" w:cstheme="minorAscii"/>
          <w:b w:val="0"/>
          <w:bCs w:val="0"/>
          <w:i w:val="0"/>
          <w:iCs w:val="0"/>
          <w:sz w:val="24"/>
          <w:szCs w:val="24"/>
        </w:rPr>
        <w:t>looking at vulnerable learners from</w:t>
      </w:r>
      <w:r w:rsidRPr="30EF479F" w:rsidR="30EF479F">
        <w:rPr>
          <w:rFonts w:cs="Calibri" w:cstheme="minorAscii"/>
          <w:b w:val="0"/>
          <w:bCs w:val="0"/>
          <w:i w:val="0"/>
          <w:iCs w:val="0"/>
          <w:sz w:val="24"/>
          <w:szCs w:val="24"/>
        </w:rPr>
        <w:t xml:space="preserve"> a cultural perspective shows that the diversity of cultures within a community in the 21</w:t>
      </w:r>
      <w:r w:rsidRPr="30EF479F" w:rsidR="30EF479F">
        <w:rPr>
          <w:rFonts w:cs="Calibri" w:cstheme="minorAscii"/>
          <w:b w:val="0"/>
          <w:bCs w:val="0"/>
          <w:i w:val="0"/>
          <w:iCs w:val="0"/>
          <w:sz w:val="24"/>
          <w:szCs w:val="24"/>
          <w:vertAlign w:val="superscript"/>
        </w:rPr>
        <w:t>st</w:t>
      </w:r>
      <w:r w:rsidRPr="30EF479F" w:rsidR="30EF479F">
        <w:rPr>
          <w:rFonts w:cs="Calibri" w:cstheme="minorAscii"/>
          <w:b w:val="0"/>
          <w:bCs w:val="0"/>
          <w:i w:val="0"/>
          <w:iCs w:val="0"/>
          <w:sz w:val="24"/>
          <w:szCs w:val="24"/>
        </w:rPr>
        <w:t xml:space="preserve"> century comes in many forms. This includes the pupils within a classroom setting and according to Estyn (2018) one of the biggest trends in Welsh education has been the move towards a culture improvement. The role of the practitioner is to create an environment for pupils that promotes cultural diversity and is an important factor of meeting the needs of all pupils within the setting. This is because pupils that attend secondary schools in Wales come from a wide range of cultures and backgrounds. In order to successfully support and develop each learner, the practitioner must support the beliefs and values of each child whilst ensuring a diverse environment. According to the National Curriculum for Wales (2011) it is a statutory requirement for practitioners to </w:t>
      </w:r>
      <w:proofErr w:type="gramStart"/>
      <w:r w:rsidRPr="30EF479F" w:rsidR="30EF479F">
        <w:rPr>
          <w:rFonts w:cs="Calibri" w:cstheme="minorAscii"/>
          <w:b w:val="0"/>
          <w:bCs w:val="0"/>
          <w:i w:val="0"/>
          <w:iCs w:val="0"/>
          <w:sz w:val="24"/>
          <w:szCs w:val="24"/>
        </w:rPr>
        <w:t>take into account</w:t>
      </w:r>
      <w:proofErr w:type="gramEnd"/>
      <w:r w:rsidRPr="30EF479F" w:rsidR="30EF479F">
        <w:rPr>
          <w:rFonts w:cs="Calibri" w:cstheme="minorAscii"/>
          <w:b w:val="0"/>
          <w:bCs w:val="0"/>
          <w:i w:val="0"/>
          <w:iCs w:val="0"/>
          <w:sz w:val="24"/>
          <w:szCs w:val="24"/>
        </w:rPr>
        <w:t xml:space="preserve"> the teaching and practices of other principal religions, ensuring that vulnerable learners feel comfortable within a Welsh school setting. This can be successfully carried out by a practitioner by providing multicultural resources and displaying positive images that promote relationships between different races, cultures, gender, ages and abilities. Reassurance of a safe environment in which a pupil can be open and honest about their own values and beliefs without the fear that they will be exposed or outcasted can be a step in the right direction for a practitioner to be able to support and develop each pupil in their classroom. A practitioner can also support this by getting to know the pupils, forging a stronger connection with the pupils. Practitioners can then pass on their knowledge to other pupils by taking the time to share information about cultures and ensuring that peers within the classroom respect and embrace other cultures. This can be done through the promotion of positive attitudes to diversity and difference. Encouraging pupils to value elements of their own lives but to respect those who may have different values than their own. For pupils who do feel excluded, it is up to the practitioner to ensure this is resolved and in some cases work with the pupil and the families so that they can feel respected and included. Working with families and creating a strong partnership with them can correctly support the process of the pupil's development. Parents or carers can play a focal role in this as they can offer in-depth knowledge of the situation that the child is in. An example of this is the practitioner ensuring that there are plans and support put into place for pupils who have learnt English as an additional language can enable pupils to get the best possible outcome when it comes to their learning. </w:t>
      </w:r>
    </w:p>
    <w:p w:rsidR="30EF479F" w:rsidP="30EF479F" w:rsidRDefault="30EF479F" w14:paraId="74FCC352" w14:textId="6FCB05F3">
      <w:pPr>
        <w:pStyle w:val="Normal"/>
        <w:spacing w:line="360" w:lineRule="auto"/>
        <w:jc w:val="center"/>
        <w:rPr>
          <w:rFonts w:cs="Calibri" w:cstheme="minorAscii"/>
          <w:b w:val="0"/>
          <w:bCs w:val="0"/>
          <w:i w:val="0"/>
          <w:iCs w:val="0"/>
          <w:sz w:val="24"/>
          <w:szCs w:val="24"/>
        </w:rPr>
      </w:pPr>
      <w:r w:rsidRPr="30EF479F" w:rsidR="30EF479F">
        <w:rPr>
          <w:rFonts w:cs="Calibri" w:cstheme="minorAscii"/>
          <w:b w:val="0"/>
          <w:bCs w:val="0"/>
          <w:i w:val="0"/>
          <w:iCs w:val="0"/>
          <w:sz w:val="24"/>
          <w:szCs w:val="24"/>
        </w:rPr>
        <w:t xml:space="preserve">Following from this, an important factor to also consider when discussing the emotional environment within a classroom, is the importance of the pupils feeling safe and free from harm, bullying, verbal or physical abuse whilst in a practitioner's care. In Wales, the Future Generations Act (2015) encompasses a ‘more equal Wales and cohesive communities’, meaning that all individuals that reside in Wales should feel equal and part of a community, regardless of their beliefs, values, sexual orientation and their background and includes when pupils are in school. There has been research that suggests children who fall into the category of a vulnerable learner have lower attainment and attendance levels. With the correct support off the practitioner, this can be lowered and, in some cases, eliminated by providing a safe and welcoming environment for each pupil in the class. </w:t>
      </w:r>
      <w:r>
        <w:br/>
      </w:r>
      <w:r w:rsidRPr="30EF479F" w:rsidR="30EF479F">
        <w:rPr>
          <w:rFonts w:cs="Calibri" w:cstheme="minorAscii"/>
          <w:b w:val="0"/>
          <w:bCs w:val="0"/>
          <w:i w:val="0"/>
          <w:iCs w:val="0"/>
          <w:sz w:val="24"/>
          <w:szCs w:val="24"/>
        </w:rPr>
        <w:t xml:space="preserve">There are diverse ways in which you can look at the environment in relation to the practitioner supporting and developing a learner, however for the age group that is being considered in this portfolio, the emotional environment best suited the criteria. Factors that also influence development and support of the learner can be the indoor environment, outdoor environment and personal environment of the pupil. </w:t>
      </w:r>
      <w:r>
        <w:br/>
      </w:r>
    </w:p>
    <w:p w:rsidR="3F2DC0E6" w:rsidP="3F2DC0E6" w:rsidRDefault="3F2DC0E6" w14:paraId="564543D5" w14:textId="2939A758">
      <w:pPr>
        <w:pStyle w:val="Normal"/>
        <w:spacing w:line="360" w:lineRule="auto"/>
        <w:jc w:val="center"/>
        <w:rPr>
          <w:rFonts w:cs="Calibri" w:cstheme="minorAscii"/>
          <w:sz w:val="24"/>
          <w:szCs w:val="24"/>
        </w:rPr>
      </w:pPr>
      <w:r w:rsidRPr="3F2DC0E6" w:rsidR="3F2DC0E6">
        <w:rPr>
          <w:rFonts w:ascii="Calibri" w:hAnsi="Calibri" w:eastAsia="Calibri" w:cs="Calibri"/>
          <w:noProof w:val="0"/>
          <w:sz w:val="24"/>
          <w:szCs w:val="24"/>
          <w:lang w:val="en-GB"/>
        </w:rPr>
        <w:t xml:space="preserve"> </w:t>
      </w:r>
    </w:p>
    <w:p w:rsidR="00A67C3A" w:rsidP="3F2DC0E6" w:rsidRDefault="00A67C3A" w14:paraId="79F11A0C" w14:textId="2991338F">
      <w:pPr>
        <w:pStyle w:val="Normal"/>
        <w:spacing w:line="360" w:lineRule="auto"/>
        <w:jc w:val="center"/>
        <w:rPr>
          <w:rFonts w:cs="Calibri" w:cstheme="minorAscii"/>
          <w:sz w:val="24"/>
          <w:szCs w:val="24"/>
        </w:rPr>
      </w:pPr>
    </w:p>
    <w:p w:rsidR="30EF479F" w:rsidP="30EF479F" w:rsidRDefault="30EF479F" w14:paraId="16F28A77" w14:textId="1EADD53F">
      <w:pPr>
        <w:pStyle w:val="Normal"/>
        <w:ind w:left="0"/>
        <w:jc w:val="center"/>
        <w:rPr>
          <w:rFonts w:cs="Calibri" w:cstheme="minorAscii"/>
          <w:b w:val="1"/>
          <w:bCs w:val="1"/>
          <w:i w:val="1"/>
          <w:iCs w:val="1"/>
          <w:sz w:val="24"/>
          <w:szCs w:val="24"/>
        </w:rPr>
      </w:pPr>
    </w:p>
    <w:p w:rsidR="00A67C3A" w:rsidP="30EF479F" w:rsidRDefault="00A67C3A" w14:paraId="0EE3A785" w14:textId="11B51A5D">
      <w:pPr>
        <w:pStyle w:val="Normal"/>
        <w:ind w:left="0"/>
        <w:jc w:val="center"/>
        <w:rPr>
          <w:rFonts w:cs="Calibri" w:cstheme="minorAscii"/>
          <w:b w:val="1"/>
          <w:bCs w:val="1"/>
          <w:i w:val="1"/>
          <w:iCs w:val="1"/>
          <w:sz w:val="24"/>
          <w:szCs w:val="24"/>
        </w:rPr>
      </w:pPr>
      <w:r w:rsidRPr="30EF479F" w:rsidR="30EF479F">
        <w:rPr>
          <w:rFonts w:cs="Calibri" w:cstheme="minorAscii"/>
          <w:b w:val="1"/>
          <w:bCs w:val="1"/>
          <w:i w:val="1"/>
          <w:iCs w:val="1"/>
          <w:sz w:val="24"/>
          <w:szCs w:val="24"/>
        </w:rPr>
        <w:t>The Individual Learner.</w:t>
      </w:r>
    </w:p>
    <w:p w:rsidR="30EF479F" w:rsidP="30EF479F" w:rsidRDefault="30EF479F" w14:paraId="1F6F2B43" w14:textId="65DE54C5">
      <w:pPr>
        <w:pStyle w:val="Normal"/>
        <w:spacing w:line="360" w:lineRule="auto"/>
        <w:ind w:left="0"/>
        <w:jc w:val="center"/>
        <w:rPr>
          <w:rFonts w:cs="Calibri" w:cstheme="minorAscii"/>
          <w:b w:val="1"/>
          <w:bCs w:val="1"/>
          <w:i w:val="1"/>
          <w:iCs w:val="1"/>
          <w:sz w:val="24"/>
          <w:szCs w:val="24"/>
        </w:rPr>
      </w:pPr>
      <w:r w:rsidRPr="30EF479F" w:rsidR="30EF479F">
        <w:rPr>
          <w:rFonts w:cs="Calibri" w:cstheme="minorAscii"/>
          <w:b w:val="0"/>
          <w:bCs w:val="0"/>
          <w:i w:val="0"/>
          <w:iCs w:val="0"/>
          <w:sz w:val="24"/>
          <w:szCs w:val="24"/>
        </w:rPr>
        <w:t xml:space="preserve">As stated previously, inclusivity is a focal factor to consider when discussing how a practitioner can support and develop learning within an educational setting. It has also been stated that teaching in a way that recognises pupils’ entitlement to a learning experience that respects diversity, enables engagement, eliminates barriers and considers the needs of a variety of pupils without the element of exclusion. However, to elaborate from this, an important element that a practitioner must consider in order to support and develop learning within their setting is that they are not teaching their subject to a group of pupils who are all the same academically, but they are teaching a group of individuals with different educational experiences, abilities and learning needs which should always be recognised and respected. There are many conceptions on how many learning styles can be apparent within a classroom, however research from Rourke et al (2002) state that there are six ways in which an individual can learn new information, however the most common way of categorising these are through visual, audio and kinaesthetic learning. </w:t>
      </w:r>
    </w:p>
    <w:p w:rsidR="30EF479F" w:rsidP="30EF479F" w:rsidRDefault="30EF479F" w14:paraId="71795482" w14:textId="1C9101C7">
      <w:pPr>
        <w:pStyle w:val="Normal"/>
        <w:spacing w:line="360" w:lineRule="auto"/>
        <w:ind w:left="0"/>
        <w:jc w:val="center"/>
        <w:rPr>
          <w:rFonts w:cs="Calibri" w:cstheme="minorAscii"/>
          <w:b w:val="0"/>
          <w:bCs w:val="0"/>
          <w:i w:val="0"/>
          <w:iCs w:val="0"/>
          <w:sz w:val="24"/>
          <w:szCs w:val="24"/>
        </w:rPr>
      </w:pPr>
      <w:r w:rsidRPr="30EF479F" w:rsidR="30EF479F">
        <w:rPr>
          <w:rFonts w:cs="Calibri" w:cstheme="minorAscii"/>
          <w:b w:val="0"/>
          <w:bCs w:val="0"/>
          <w:i w:val="0"/>
          <w:iCs w:val="0"/>
          <w:sz w:val="24"/>
          <w:szCs w:val="24"/>
        </w:rPr>
        <w:t xml:space="preserve">According to Donaldson (2015), practitioners should be ensuring that they develop ambitious, capable learners, ready to learn throughout their lives. However, this poses the question of how can a practitioner ensure this when not all pupils learn the </w:t>
      </w:r>
      <w:proofErr w:type="gramStart"/>
      <w:r w:rsidRPr="30EF479F" w:rsidR="30EF479F">
        <w:rPr>
          <w:rFonts w:cs="Calibri" w:cstheme="minorAscii"/>
          <w:b w:val="0"/>
          <w:bCs w:val="0"/>
          <w:i w:val="0"/>
          <w:iCs w:val="0"/>
          <w:sz w:val="24"/>
          <w:szCs w:val="24"/>
        </w:rPr>
        <w:t>same?</w:t>
      </w:r>
      <w:proofErr w:type="gramEnd"/>
      <w:r w:rsidRPr="30EF479F" w:rsidR="30EF479F">
        <w:rPr>
          <w:rFonts w:cs="Calibri" w:cstheme="minorAscii"/>
          <w:b w:val="0"/>
          <w:bCs w:val="0"/>
          <w:i w:val="0"/>
          <w:iCs w:val="0"/>
          <w:sz w:val="24"/>
          <w:szCs w:val="24"/>
        </w:rPr>
        <w:t xml:space="preserve"> Research that has previously been carried out by the likes of Grinder (1989) suggests that in a typical group of 30 students in a key stage 3 setting, there are likely to be 22 that have enough of all three tendencies to be able to learn no matter how a lesson is presented. However, there is a small population of that classroom that will have difficulty learning. Around 20% of the group will favour one modality to the extent that they will have extreme difficulty learning in any form other than their preferred learning style.  </w:t>
      </w:r>
    </w:p>
    <w:p w:rsidR="30EF479F" w:rsidP="30EF479F" w:rsidRDefault="30EF479F" w14:paraId="287E1BF7" w14:textId="3BC8B335">
      <w:pPr>
        <w:pStyle w:val="Normal"/>
        <w:ind w:left="0"/>
        <w:jc w:val="center"/>
      </w:pPr>
      <w:r>
        <w:drawing>
          <wp:inline wp14:editId="31181531" wp14:anchorId="0A6D9F11">
            <wp:extent cx="4124457" cy="1221486"/>
            <wp:effectExtent l="0" t="0" r="0" b="0"/>
            <wp:docPr id="1237953760" name="" title=""/>
            <wp:cNvGraphicFramePr>
              <a:graphicFrameLocks noChangeAspect="1"/>
            </wp:cNvGraphicFramePr>
            <a:graphic>
              <a:graphicData uri="http://schemas.openxmlformats.org/drawingml/2006/picture">
                <pic:pic>
                  <pic:nvPicPr>
                    <pic:cNvPr id="0" name=""/>
                    <pic:cNvPicPr/>
                  </pic:nvPicPr>
                  <pic:blipFill>
                    <a:blip r:embed="R2bff04c31ffa40af">
                      <a:extLst>
                        <a:ext xmlns:a="http://schemas.openxmlformats.org/drawingml/2006/main" uri="{28A0092B-C50C-407E-A947-70E740481C1C}">
                          <a14:useLocalDpi val="0"/>
                        </a:ext>
                      </a:extLst>
                    </a:blip>
                    <a:srcRect l="24791" t="20392" r="33541" b="56470"/>
                    <a:stretch>
                      <a:fillRect/>
                    </a:stretch>
                  </pic:blipFill>
                  <pic:spPr xmlns:pic="http://schemas.openxmlformats.org/drawingml/2006/picture">
                    <a:xfrm xmlns:a="http://schemas.openxmlformats.org/drawingml/2006/main" rot="0" flipH="0" flipV="0">
                      <a:off x="0" y="0"/>
                      <a:ext cx="4124457" cy="1221486"/>
                    </a:xfrm>
                    <a:prstGeom xmlns:a="http://schemas.openxmlformats.org/drawingml/2006/main" prst="rect">
                      <a:avLst/>
                    </a:prstGeom>
                  </pic:spPr>
                </pic:pic>
              </a:graphicData>
            </a:graphic>
          </wp:inline>
        </w:drawing>
      </w:r>
    </w:p>
    <w:p w:rsidR="30EF479F" w:rsidP="30EF479F" w:rsidRDefault="30EF479F" w14:paraId="01ABEA32" w14:textId="28D44136">
      <w:pPr>
        <w:pStyle w:val="Normal"/>
        <w:ind w:left="0"/>
        <w:jc w:val="center"/>
      </w:pPr>
    </w:p>
    <w:p w:rsidR="30EF479F" w:rsidP="30EF479F" w:rsidRDefault="30EF479F" w14:paraId="60D02318" w14:textId="7D0160A5">
      <w:pPr>
        <w:pStyle w:val="Normal"/>
        <w:ind w:left="0"/>
        <w:jc w:val="center"/>
        <w:rPr>
          <w:rFonts w:ascii="Arial" w:hAnsi="Arial" w:eastAsia="Arial" w:cs="Arial"/>
          <w:noProof w:val="0"/>
          <w:sz w:val="24"/>
          <w:szCs w:val="24"/>
          <w:lang w:val="en-GB"/>
        </w:rPr>
      </w:pPr>
    </w:p>
    <w:p w:rsidR="30EF479F" w:rsidP="30EF479F" w:rsidRDefault="30EF479F" w14:paraId="576A9727" w14:textId="31095D1D">
      <w:pPr>
        <w:pStyle w:val="Normal"/>
        <w:spacing w:line="360" w:lineRule="auto"/>
        <w:ind w:left="0"/>
        <w:jc w:val="center"/>
        <w:rPr>
          <w:rFonts w:cs="Calibri" w:cstheme="minorAscii"/>
          <w:b w:val="0"/>
          <w:bCs w:val="0"/>
          <w:i w:val="0"/>
          <w:iCs w:val="0"/>
          <w:sz w:val="24"/>
          <w:szCs w:val="24"/>
        </w:rPr>
      </w:pPr>
      <w:r>
        <w:br/>
      </w:r>
      <w:r w:rsidRPr="30EF479F" w:rsidR="30EF479F">
        <w:rPr>
          <w:rFonts w:cs="Calibri" w:cstheme="minorAscii"/>
          <w:b w:val="0"/>
          <w:bCs w:val="0"/>
          <w:i w:val="0"/>
          <w:iCs w:val="0"/>
          <w:sz w:val="24"/>
          <w:szCs w:val="24"/>
        </w:rPr>
        <w:t xml:space="preserve">The table above taken from Wilmot (2006) explains in more detail the learning styles that can be seen in a classroom setting, and how pupils with that preferred learning style would like to learn. Within the Welsh curriculum, it is essential for a practitioner to observe and evaluate the learners within their context. By doing so, the practitioner can see how the pupils learn and through evaluation, can adopt the best learning approaches so that all children have the equal opportunity to learn and develop. An example of ways in which a practitioner can eliminate and take control of a classroom with different learning styles and still respect the individual learner is by allowing enough time in between tasks for pupils to complete their work. By mixing group work and individual work can also strengthen this process, </w:t>
      </w:r>
      <w:proofErr w:type="gramStart"/>
      <w:r w:rsidRPr="30EF479F" w:rsidR="30EF479F">
        <w:rPr>
          <w:rFonts w:cs="Calibri" w:cstheme="minorAscii"/>
          <w:b w:val="0"/>
          <w:bCs w:val="0"/>
          <w:i w:val="0"/>
          <w:iCs w:val="0"/>
          <w:sz w:val="24"/>
          <w:szCs w:val="24"/>
        </w:rPr>
        <w:t>due to the fact that</w:t>
      </w:r>
      <w:proofErr w:type="gramEnd"/>
      <w:r w:rsidRPr="30EF479F" w:rsidR="30EF479F">
        <w:rPr>
          <w:rFonts w:cs="Calibri" w:cstheme="minorAscii"/>
          <w:b w:val="0"/>
          <w:bCs w:val="0"/>
          <w:i w:val="0"/>
          <w:iCs w:val="0"/>
          <w:sz w:val="24"/>
          <w:szCs w:val="24"/>
        </w:rPr>
        <w:t xml:space="preserve"> different learning styles can support and help each other through when there is difficulty. </w:t>
      </w:r>
    </w:p>
    <w:p w:rsidR="30EF479F" w:rsidP="30EF479F" w:rsidRDefault="30EF479F" w14:paraId="4AC44679" w14:textId="19771196">
      <w:pPr>
        <w:pStyle w:val="Normal"/>
        <w:spacing w:line="360" w:lineRule="auto"/>
        <w:ind w:left="0"/>
        <w:jc w:val="center"/>
        <w:rPr>
          <w:rFonts w:cs="Calibri" w:cstheme="minorAscii"/>
          <w:b w:val="0"/>
          <w:bCs w:val="0"/>
          <w:i w:val="0"/>
          <w:iCs w:val="0"/>
          <w:sz w:val="24"/>
          <w:szCs w:val="24"/>
        </w:rPr>
      </w:pPr>
      <w:r w:rsidRPr="30EF479F" w:rsidR="30EF479F">
        <w:rPr>
          <w:rFonts w:cs="Calibri" w:cstheme="minorAscii"/>
          <w:b w:val="0"/>
          <w:bCs w:val="0"/>
          <w:i w:val="0"/>
          <w:iCs w:val="0"/>
          <w:sz w:val="24"/>
          <w:szCs w:val="24"/>
        </w:rPr>
        <w:t xml:space="preserve">To conclude, there are various ways in which a practitioner can use their role within the classroom setting to ensure that each child is able to be supported and develop their overall learning. There </w:t>
      </w:r>
      <w:proofErr w:type="gramStart"/>
      <w:r w:rsidRPr="30EF479F" w:rsidR="30EF479F">
        <w:rPr>
          <w:rFonts w:cs="Calibri" w:cstheme="minorAscii"/>
          <w:b w:val="0"/>
          <w:bCs w:val="0"/>
          <w:i w:val="0"/>
          <w:iCs w:val="0"/>
          <w:sz w:val="24"/>
          <w:szCs w:val="24"/>
        </w:rPr>
        <w:t>is</w:t>
      </w:r>
      <w:proofErr w:type="gramEnd"/>
      <w:r w:rsidRPr="30EF479F" w:rsidR="30EF479F">
        <w:rPr>
          <w:rFonts w:cs="Calibri" w:cstheme="minorAscii"/>
          <w:b w:val="0"/>
          <w:bCs w:val="0"/>
          <w:i w:val="0"/>
          <w:iCs w:val="0"/>
          <w:sz w:val="24"/>
          <w:szCs w:val="24"/>
        </w:rPr>
        <w:t xml:space="preserve"> sufficient policies that are in place to help guide practitioners in their role, and how to put this into practice. However, on occasions policies do not tend to cater for all pupils needs when it comes to framework such as ‘Successful Futures’ as not all pupils have the tendencies to be part of a society where everyone is working towards the same goal. With this being said however, with the correct support and aid for development off practitioners, each pupil in the key stage 3 setting can have the right start and quality education inclusively. </w:t>
      </w:r>
    </w:p>
    <w:p w:rsidR="30EF479F" w:rsidP="30EF479F" w:rsidRDefault="30EF479F" w14:paraId="3EB12DE9" w14:textId="125BA014">
      <w:pPr>
        <w:pStyle w:val="Normal"/>
        <w:ind w:left="0"/>
      </w:pPr>
    </w:p>
    <w:p w:rsidR="00A67C3A" w:rsidP="1EEBE509" w:rsidRDefault="00A67C3A" w14:paraId="0E712C7E" w14:textId="32CA311A">
      <w:pPr>
        <w:ind w:left="0"/>
        <w:rPr>
          <w:rFonts w:cs="Calibri" w:cstheme="minorAscii"/>
          <w:sz w:val="24"/>
          <w:szCs w:val="24"/>
        </w:rPr>
      </w:pPr>
    </w:p>
    <w:p w:rsidR="00A67C3A" w:rsidP="30EF479F" w:rsidRDefault="00A67C3A" w14:paraId="1501E42B" w14:textId="1B892C0A">
      <w:pPr>
        <w:pStyle w:val="Normal"/>
        <w:ind w:left="0"/>
        <w:rPr>
          <w:rFonts w:cs="Calibri" w:cstheme="minorAscii"/>
          <w:sz w:val="24"/>
          <w:szCs w:val="24"/>
        </w:rPr>
      </w:pPr>
    </w:p>
    <w:p w:rsidR="003F12C2" w:rsidP="003F12C2" w:rsidRDefault="003F12C2" w14:paraId="18FDB601" w14:textId="583BF2F8">
      <w:pPr>
        <w:rPr>
          <w:rFonts w:cstheme="minorHAnsi"/>
          <w:sz w:val="24"/>
          <w:szCs w:val="24"/>
        </w:rPr>
      </w:pPr>
    </w:p>
    <w:p w:rsidR="003F12C2" w:rsidP="003F12C2" w:rsidRDefault="003F12C2" w14:paraId="0EE4ED30" w14:textId="7F6BFCC9">
      <w:pPr>
        <w:rPr>
          <w:rFonts w:cstheme="minorHAnsi"/>
          <w:sz w:val="24"/>
          <w:szCs w:val="24"/>
        </w:rPr>
      </w:pPr>
    </w:p>
    <w:p w:rsidR="003F12C2" w:rsidP="003F12C2" w:rsidRDefault="003F12C2" w14:paraId="6CCDAD9E" w14:textId="298A7751">
      <w:pPr>
        <w:rPr>
          <w:rFonts w:cstheme="minorHAnsi"/>
          <w:sz w:val="24"/>
          <w:szCs w:val="24"/>
        </w:rPr>
      </w:pPr>
    </w:p>
    <w:p w:rsidRPr="003F12C2" w:rsidR="003F12C2" w:rsidP="003F12C2" w:rsidRDefault="003F12C2" w14:paraId="40102E13" w14:textId="77777777">
      <w:pPr>
        <w:rPr>
          <w:rFonts w:cstheme="minorHAnsi"/>
          <w:sz w:val="24"/>
          <w:szCs w:val="24"/>
        </w:rPr>
      </w:pPr>
    </w:p>
    <w:p w:rsidRPr="003F12C2" w:rsidR="003F12C2" w:rsidP="51E92973" w:rsidRDefault="003F12C2" w14:paraId="73B3DAB8" w14:textId="1FDF15E5">
      <w:pPr>
        <w:pStyle w:val="NoSpacing"/>
        <w:ind w:left="360"/>
        <w:jc w:val="both"/>
        <w:rPr>
          <w:rFonts w:ascii="Arial" w:hAnsi="Arial" w:cs="Arial"/>
        </w:rPr>
      </w:pPr>
    </w:p>
    <w:p w:rsidR="003F12C2" w:rsidP="30EF479F" w:rsidRDefault="003F12C2" w14:paraId="7F389B23" w14:textId="16ECA520">
      <w:pPr>
        <w:pStyle w:val="Normal"/>
        <w:ind w:left="360"/>
        <w:jc w:val="both"/>
        <w:rPr>
          <w:rFonts w:ascii="Arial" w:hAnsi="Arial" w:cs="Arial"/>
        </w:rPr>
      </w:pPr>
    </w:p>
    <w:p w:rsidR="00251611" w:rsidP="003F12C2" w:rsidRDefault="00251611" w14:paraId="121146D3" w14:textId="3BD6BE55">
      <w:pPr>
        <w:rPr>
          <w:rFonts w:cstheme="minorHAnsi"/>
          <w:sz w:val="24"/>
          <w:szCs w:val="24"/>
        </w:rPr>
      </w:pPr>
    </w:p>
    <w:p w:rsidRPr="00251611" w:rsidR="00251611" w:rsidP="30EF479F" w:rsidRDefault="00251611" w14:paraId="5F843F60" w14:textId="2C6ACA68">
      <w:pPr>
        <w:pStyle w:val="Normal"/>
        <w:spacing w:line="360" w:lineRule="auto"/>
        <w:rPr>
          <w:rFonts w:cs="Calibri" w:cstheme="minorAscii"/>
          <w:b w:val="1"/>
          <w:bCs w:val="1"/>
          <w:sz w:val="24"/>
          <w:szCs w:val="24"/>
        </w:rPr>
      </w:pPr>
      <w:r w:rsidRPr="51E92973">
        <w:rPr>
          <w:rFonts w:cs="Calibri" w:cstheme="minorAscii"/>
          <w:b w:val="1"/>
          <w:bCs w:val="1"/>
          <w:sz w:val="24"/>
          <w:szCs w:val="24"/>
        </w:rPr>
        <w:t>References</w:t>
      </w:r>
      <w:r>
        <w:br/>
      </w:r>
      <w:r w:rsidRPr="3F2DC0E6" w:rsidR="1EEBE509">
        <w:rPr>
          <w:rFonts w:ascii="Calibri" w:hAnsi="Calibri" w:eastAsia="Calibri" w:cs="Calibri"/>
          <w:noProof w:val="0"/>
          <w:sz w:val="24"/>
          <w:szCs w:val="24"/>
          <w:lang w:val="en-GB"/>
        </w:rPr>
        <w:t>Andrade, H. &amp; Du, Y. (2007).</w:t>
      </w:r>
      <w:r w:rsidRPr="30EF479F" w:rsidR="1EEBE509">
        <w:rPr>
          <w:rFonts w:ascii="Calibri" w:hAnsi="Calibri" w:eastAsia="Calibri" w:cs="Calibri"/>
          <w:i w:val="1"/>
          <w:iCs w:val="1"/>
          <w:noProof w:val="0"/>
          <w:sz w:val="24"/>
          <w:szCs w:val="24"/>
          <w:lang w:val="en-GB"/>
        </w:rPr>
        <w:t xml:space="preserve"> Student responses to criteria-referenced self-Assessment. Assessment and Evaluation in Higher Education.</w:t>
      </w:r>
      <w:r w:rsidRPr="3F2DC0E6" w:rsidR="1EEBE509">
        <w:rPr>
          <w:rFonts w:ascii="Calibri" w:hAnsi="Calibri" w:eastAsia="Calibri" w:cs="Calibri"/>
          <w:noProof w:val="0"/>
          <w:sz w:val="24"/>
          <w:szCs w:val="24"/>
          <w:lang w:val="en-GB"/>
        </w:rPr>
        <w:t xml:space="preserve"> 32 (2), 159- 181.</w:t>
      </w:r>
      <w:r>
        <w:br/>
      </w:r>
      <w:r w:rsidRPr="3F2DC0E6" w:rsidR="3F2DC0E6">
        <w:rPr>
          <w:rFonts w:ascii="Calibri" w:hAnsi="Calibri" w:eastAsia="Calibri" w:cs="Calibri"/>
          <w:noProof w:val="0"/>
          <w:sz w:val="24"/>
          <w:szCs w:val="24"/>
          <w:lang w:val="en-GB"/>
        </w:rPr>
        <w:t xml:space="preserve">Bruce, L. B. (2001). </w:t>
      </w:r>
      <w:r w:rsidRPr="30EF479F" w:rsidR="3F2DC0E6">
        <w:rPr>
          <w:rFonts w:ascii="Calibri" w:hAnsi="Calibri" w:eastAsia="Calibri" w:cs="Calibri"/>
          <w:i w:val="1"/>
          <w:iCs w:val="1"/>
          <w:noProof w:val="0"/>
          <w:sz w:val="24"/>
          <w:szCs w:val="24"/>
          <w:lang w:val="en-GB"/>
        </w:rPr>
        <w:t>Student Self-Assessment: Making Standards Come Alive</w:t>
      </w:r>
      <w:r w:rsidRPr="3F2DC0E6" w:rsidR="3F2DC0E6">
        <w:rPr>
          <w:rFonts w:ascii="Calibri" w:hAnsi="Calibri" w:eastAsia="Calibri" w:cs="Calibri"/>
          <w:noProof w:val="0"/>
          <w:sz w:val="24"/>
          <w:szCs w:val="24"/>
          <w:lang w:val="en-GB"/>
        </w:rPr>
        <w:t xml:space="preserve">. Classroom Leadership (5)1. </w:t>
      </w:r>
      <w:r>
        <w:br/>
      </w:r>
      <w:r w:rsidRPr="127747E6" w:rsidR="127747E6">
        <w:rPr>
          <w:rFonts w:ascii="Calibri" w:hAnsi="Calibri" w:eastAsia="Calibri" w:cs="Calibri"/>
          <w:noProof w:val="0"/>
          <w:sz w:val="24"/>
          <w:szCs w:val="24"/>
          <w:lang w:val="en-GB"/>
        </w:rPr>
        <w:t xml:space="preserve">Donaldson, G. (2015). </w:t>
      </w:r>
      <w:r w:rsidRPr="30EF479F" w:rsidR="127747E6">
        <w:rPr>
          <w:rFonts w:ascii="Calibri" w:hAnsi="Calibri" w:eastAsia="Calibri" w:cs="Calibri"/>
          <w:i w:val="1"/>
          <w:iCs w:val="1"/>
          <w:noProof w:val="0"/>
          <w:sz w:val="24"/>
          <w:szCs w:val="24"/>
          <w:lang w:val="en-GB"/>
        </w:rPr>
        <w:t xml:space="preserve">Successful Futures. Independent Review of Curriculum and Assessment </w:t>
      </w:r>
      <w:r w:rsidRPr="30EF479F" w:rsidR="127747E6">
        <w:rPr>
          <w:rFonts w:ascii="Calibri" w:hAnsi="Calibri" w:eastAsia="Calibri" w:cs="Calibri"/>
          <w:i w:val="1"/>
          <w:iCs w:val="1"/>
          <w:noProof w:val="0"/>
          <w:sz w:val="24"/>
          <w:szCs w:val="24"/>
          <w:lang w:val="en-GB"/>
        </w:rPr>
        <w:t xml:space="preserve">Arrangements in </w:t>
      </w:r>
      <w:r w:rsidRPr="30EF479F" w:rsidR="127747E6">
        <w:rPr>
          <w:rFonts w:ascii="Calibri" w:hAnsi="Calibri" w:eastAsia="Calibri" w:cs="Calibri"/>
          <w:i w:val="1"/>
          <w:iCs w:val="1"/>
          <w:noProof w:val="0"/>
          <w:sz w:val="24"/>
          <w:szCs w:val="24"/>
          <w:lang w:val="en-GB"/>
        </w:rPr>
        <w:t>Wales</w:t>
      </w:r>
      <w:r w:rsidRPr="127747E6" w:rsidR="127747E6">
        <w:rPr>
          <w:rFonts w:ascii="Calibri" w:hAnsi="Calibri" w:eastAsia="Calibri" w:cs="Calibri"/>
          <w:noProof w:val="0"/>
          <w:sz w:val="24"/>
          <w:szCs w:val="24"/>
          <w:lang w:val="en-GB"/>
        </w:rPr>
        <w:t>.</w:t>
      </w:r>
      <w:r w:rsidRPr="127747E6" w:rsidR="127747E6">
        <w:rPr>
          <w:rFonts w:ascii="Calibri" w:hAnsi="Calibri" w:eastAsia="Calibri" w:cs="Calibri"/>
          <w:noProof w:val="0"/>
          <w:sz w:val="24"/>
          <w:szCs w:val="24"/>
          <w:lang w:val="en-GB"/>
        </w:rPr>
        <w:t xml:space="preserve"> Wales: Crown Copyright.</w:t>
      </w:r>
      <w:r>
        <w:br/>
      </w:r>
      <w:r w:rsidRPr="3F2DC0E6" w:rsidR="3F2DC0E6">
        <w:rPr>
          <w:rFonts w:ascii="Calibri" w:hAnsi="Calibri" w:eastAsia="Calibri" w:cs="Calibri"/>
          <w:noProof w:val="0"/>
          <w:sz w:val="24"/>
          <w:szCs w:val="24"/>
          <w:lang w:val="en-GB"/>
        </w:rPr>
        <w:t>ERW. (2010).</w:t>
      </w:r>
      <w:r w:rsidRPr="30EF479F" w:rsidR="3F2DC0E6">
        <w:rPr>
          <w:rFonts w:ascii="Calibri" w:hAnsi="Calibri" w:eastAsia="Calibri" w:cs="Calibri"/>
          <w:i w:val="1"/>
          <w:iCs w:val="1"/>
          <w:noProof w:val="0"/>
          <w:sz w:val="24"/>
          <w:szCs w:val="24"/>
          <w:lang w:val="en-GB"/>
        </w:rPr>
        <w:t xml:space="preserve"> </w:t>
      </w:r>
      <w:r w:rsidRPr="30EF479F" w:rsidR="3F2DC0E6">
        <w:rPr>
          <w:rFonts w:ascii="Calibri" w:hAnsi="Calibri" w:eastAsia="Calibri" w:cs="Calibri"/>
          <w:i w:val="1"/>
          <w:iCs w:val="1"/>
          <w:noProof w:val="0"/>
          <w:sz w:val="24"/>
          <w:szCs w:val="24"/>
          <w:lang w:val="en-GB"/>
        </w:rPr>
        <w:t>Self-evaluation Cycle for Governing Bodies.</w:t>
      </w:r>
      <w:r w:rsidRPr="3F2DC0E6" w:rsidR="3F2DC0E6">
        <w:rPr>
          <w:rFonts w:ascii="Calibri" w:hAnsi="Calibri" w:eastAsia="Calibri" w:cs="Calibri"/>
          <w:noProof w:val="0"/>
          <w:sz w:val="24"/>
          <w:szCs w:val="24"/>
          <w:lang w:val="en-GB"/>
        </w:rPr>
        <w:t xml:space="preserve"> Powys</w:t>
      </w:r>
      <w:r w:rsidRPr="3F2DC0E6" w:rsidR="3F2DC0E6">
        <w:rPr>
          <w:rFonts w:ascii="Calibri" w:hAnsi="Calibri" w:eastAsia="Calibri" w:cs="Calibri"/>
          <w:noProof w:val="0"/>
          <w:sz w:val="19"/>
          <w:szCs w:val="19"/>
          <w:lang w:val="en-GB"/>
        </w:rPr>
        <w:t>.</w:t>
      </w:r>
      <w:r>
        <w:br/>
      </w:r>
      <w:r w:rsidRPr="3F2DC0E6" w:rsidR="1EEBE509">
        <w:rPr>
          <w:rFonts w:ascii="Calibri" w:hAnsi="Calibri" w:eastAsia="Calibri" w:cs="Calibri"/>
          <w:noProof w:val="0"/>
          <w:sz w:val="24"/>
          <w:szCs w:val="24"/>
          <w:lang w:val="en-GB"/>
        </w:rPr>
        <w:t>Estyn</w:t>
      </w:r>
      <w:r w:rsidRPr="3F2DC0E6" w:rsidR="1EEBE509">
        <w:rPr>
          <w:rFonts w:ascii="Calibri" w:hAnsi="Calibri" w:eastAsia="Calibri" w:cs="Calibri"/>
          <w:noProof w:val="0"/>
          <w:sz w:val="24"/>
          <w:szCs w:val="24"/>
          <w:lang w:val="en-GB"/>
        </w:rPr>
        <w:t>. (</w:t>
      </w:r>
      <w:r w:rsidRPr="3F2DC0E6" w:rsidR="1EEBE509">
        <w:rPr>
          <w:rFonts w:ascii="Calibri" w:hAnsi="Calibri" w:eastAsia="Calibri" w:cs="Calibri"/>
          <w:noProof w:val="0"/>
          <w:sz w:val="24"/>
          <w:szCs w:val="24"/>
          <w:lang w:val="en-GB"/>
        </w:rPr>
        <w:t>2009</w:t>
      </w:r>
      <w:r w:rsidRPr="3F2DC0E6" w:rsidR="1EEBE509">
        <w:rPr>
          <w:rFonts w:ascii="Calibri" w:hAnsi="Calibri" w:eastAsia="Calibri" w:cs="Calibri"/>
          <w:noProof w:val="0"/>
          <w:sz w:val="24"/>
          <w:szCs w:val="24"/>
          <w:lang w:val="en-GB"/>
        </w:rPr>
        <w:t>).</w:t>
      </w:r>
      <w:r w:rsidRPr="3F2DC0E6" w:rsidR="1EEBE509">
        <w:rPr>
          <w:rFonts w:ascii="Calibri" w:hAnsi="Calibri" w:eastAsia="Calibri" w:cs="Calibri"/>
          <w:noProof w:val="0"/>
          <w:sz w:val="24"/>
          <w:szCs w:val="24"/>
          <w:lang w:val="en-GB"/>
        </w:rPr>
        <w:t xml:space="preserve"> </w:t>
      </w:r>
      <w:r w:rsidRPr="30EF479F" w:rsidR="1EEBE509">
        <w:rPr>
          <w:rFonts w:ascii="Calibri" w:hAnsi="Calibri" w:eastAsia="Calibri" w:cs="Calibri"/>
          <w:i w:val="1"/>
          <w:iCs w:val="1"/>
          <w:noProof w:val="0"/>
          <w:sz w:val="24"/>
          <w:szCs w:val="24"/>
          <w:lang w:val="en-GB"/>
        </w:rPr>
        <w:t>The impact of RAISE 2008-2009</w:t>
      </w:r>
      <w:r w:rsidRPr="30EF479F" w:rsidR="1EEBE509">
        <w:rPr>
          <w:rFonts w:ascii="Calibri" w:hAnsi="Calibri" w:eastAsia="Calibri" w:cs="Calibri"/>
          <w:i w:val="1"/>
          <w:iCs w:val="1"/>
          <w:noProof w:val="0"/>
          <w:sz w:val="24"/>
          <w:szCs w:val="24"/>
          <w:lang w:val="en-GB"/>
        </w:rPr>
        <w:t xml:space="preserve">. </w:t>
      </w:r>
      <w:r>
        <w:br/>
      </w:r>
      <w:r w:rsidRPr="3F2DC0E6" w:rsidR="1EEBE509">
        <w:rPr>
          <w:rFonts w:ascii="Calibri" w:hAnsi="Calibri" w:eastAsia="Calibri" w:cs="Calibri"/>
          <w:noProof w:val="0"/>
          <w:sz w:val="24"/>
          <w:szCs w:val="24"/>
          <w:lang w:val="en-GB"/>
        </w:rPr>
        <w:t xml:space="preserve">Estyn. (2010). </w:t>
      </w:r>
      <w:r w:rsidRPr="30EF479F" w:rsidR="1EEBE509">
        <w:rPr>
          <w:rFonts w:ascii="Calibri" w:hAnsi="Calibri" w:eastAsia="Calibri" w:cs="Calibri"/>
          <w:i w:val="1"/>
          <w:iCs w:val="1"/>
          <w:noProof w:val="0"/>
          <w:sz w:val="24"/>
          <w:szCs w:val="24"/>
          <w:lang w:val="en-GB"/>
        </w:rPr>
        <w:t>Tackling child poverty and disadvantage in schools</w:t>
      </w:r>
      <w:r w:rsidRPr="3F2DC0E6" w:rsidR="1EEBE509">
        <w:rPr>
          <w:rFonts w:ascii="Calibri" w:hAnsi="Calibri" w:eastAsia="Calibri" w:cs="Calibri"/>
          <w:noProof w:val="0"/>
          <w:sz w:val="24"/>
          <w:szCs w:val="24"/>
          <w:lang w:val="en-GB"/>
        </w:rPr>
        <w:t xml:space="preserve">.  </w:t>
      </w:r>
      <w:r>
        <w:br/>
      </w:r>
      <w:r w:rsidRPr="30EF479F" w:rsidR="30EF479F">
        <w:rPr>
          <w:rFonts w:ascii="Calibri" w:hAnsi="Calibri" w:eastAsia="Calibri" w:cs="Calibri"/>
          <w:noProof w:val="0"/>
          <w:sz w:val="24"/>
          <w:szCs w:val="24"/>
          <w:lang w:val="en-GB"/>
        </w:rPr>
        <w:t xml:space="preserve">Estyn. (2018). </w:t>
      </w:r>
      <w:proofErr w:type="spellStart"/>
      <w:r w:rsidRPr="30EF479F" w:rsidR="30EF479F">
        <w:rPr>
          <w:rFonts w:ascii="Calibri" w:hAnsi="Calibri" w:eastAsia="Calibri" w:cs="Calibri"/>
          <w:noProof w:val="0"/>
          <w:sz w:val="19"/>
          <w:szCs w:val="19"/>
          <w:lang w:val="en-GB"/>
        </w:rPr>
        <w:t>Estyn.gov.wales</w:t>
      </w:r>
      <w:proofErr w:type="spellEnd"/>
      <w:r w:rsidRPr="30EF479F" w:rsidR="30EF479F">
        <w:rPr>
          <w:rFonts w:ascii="Calibri" w:hAnsi="Calibri" w:eastAsia="Calibri" w:cs="Calibri"/>
          <w:noProof w:val="0"/>
          <w:sz w:val="19"/>
          <w:szCs w:val="19"/>
          <w:lang w:val="en-GB"/>
        </w:rPr>
        <w:t xml:space="preserve">. </w:t>
      </w:r>
      <w:r w:rsidRPr="30EF479F" w:rsidR="30EF479F">
        <w:rPr>
          <w:rFonts w:ascii="Calibri" w:hAnsi="Calibri" w:eastAsia="Calibri" w:cs="Calibri"/>
          <w:i w:val="1"/>
          <w:iCs w:val="1"/>
          <w:noProof w:val="0"/>
          <w:sz w:val="19"/>
          <w:szCs w:val="19"/>
          <w:lang w:val="en-GB"/>
        </w:rPr>
        <w:t>Making learning experiential | Estyn</w:t>
      </w:r>
      <w:r w:rsidRPr="30EF479F" w:rsidR="30EF479F">
        <w:rPr>
          <w:rFonts w:ascii="Calibri" w:hAnsi="Calibri" w:eastAsia="Calibri" w:cs="Calibri"/>
          <w:noProof w:val="0"/>
          <w:sz w:val="19"/>
          <w:szCs w:val="19"/>
          <w:lang w:val="en-GB"/>
        </w:rPr>
        <w:t>. [online] Available at: https://www.estyn.gov.wales/effective-practice/making-learning-experiential [Accessed 7 Apr. 2019].</w:t>
      </w:r>
      <w:r>
        <w:br/>
      </w:r>
      <w:r w:rsidRPr="51E92973" w:rsidR="51E92973">
        <w:rPr>
          <w:rFonts w:ascii="Calibri" w:hAnsi="Calibri" w:eastAsia="Calibri" w:cs="Calibri" w:asciiTheme="minorAscii" w:hAnsiTheme="minorAscii" w:eastAsiaTheme="minorAscii" w:cstheme="minorAscii"/>
          <w:noProof w:val="0"/>
          <w:sz w:val="24"/>
          <w:szCs w:val="24"/>
          <w:lang w:val="en-GB"/>
        </w:rPr>
        <w:t xml:space="preserve">Frederickson, N. and Cline, T. (2002). </w:t>
      </w:r>
      <w:r w:rsidRPr="30EF479F" w:rsidR="51E92973">
        <w:rPr>
          <w:rFonts w:ascii="Calibri" w:hAnsi="Calibri" w:eastAsia="Calibri" w:cs="Calibri" w:asciiTheme="minorAscii" w:hAnsiTheme="minorAscii" w:eastAsiaTheme="minorAscii" w:cstheme="minorAscii"/>
          <w:i w:val="1"/>
          <w:iCs w:val="1"/>
          <w:noProof w:val="0"/>
          <w:sz w:val="24"/>
          <w:szCs w:val="24"/>
          <w:lang w:val="en-GB"/>
        </w:rPr>
        <w:t>Special educational needs inclusion and diversity: a textbook</w:t>
      </w:r>
      <w:r w:rsidRPr="51E92973" w:rsidR="51E92973">
        <w:rPr>
          <w:rFonts w:ascii="Calibri" w:hAnsi="Calibri" w:eastAsia="Calibri" w:cs="Calibri" w:asciiTheme="minorAscii" w:hAnsiTheme="minorAscii" w:eastAsiaTheme="minorAscii" w:cstheme="minorAscii"/>
          <w:noProof w:val="0"/>
          <w:sz w:val="24"/>
          <w:szCs w:val="24"/>
          <w:lang w:val="en-GB"/>
        </w:rPr>
        <w:t xml:space="preserve">. </w:t>
      </w:r>
      <w:proofErr w:type="spellStart"/>
      <w:r w:rsidRPr="51E92973" w:rsidR="51E92973">
        <w:rPr>
          <w:rFonts w:ascii="Calibri" w:hAnsi="Calibri" w:eastAsia="Calibri" w:cs="Calibri" w:asciiTheme="minorAscii" w:hAnsiTheme="minorAscii" w:eastAsiaTheme="minorAscii" w:cstheme="minorAscii"/>
          <w:noProof w:val="0"/>
          <w:sz w:val="24"/>
          <w:szCs w:val="24"/>
          <w:lang w:val="en-GB"/>
        </w:rPr>
        <w:t>Bukingham</w:t>
      </w:r>
      <w:proofErr w:type="spellEnd"/>
      <w:r w:rsidRPr="51E92973" w:rsidR="51E92973">
        <w:rPr>
          <w:rFonts w:ascii="Calibri" w:hAnsi="Calibri" w:eastAsia="Calibri" w:cs="Calibri" w:asciiTheme="minorAscii" w:hAnsiTheme="minorAscii" w:eastAsiaTheme="minorAscii" w:cstheme="minorAscii"/>
          <w:noProof w:val="0"/>
          <w:sz w:val="24"/>
          <w:szCs w:val="24"/>
          <w:lang w:val="en-GB"/>
        </w:rPr>
        <w:t xml:space="preserve">. </w:t>
      </w:r>
      <w:proofErr w:type="spellStart"/>
      <w:r w:rsidRPr="51E92973" w:rsidR="51E92973">
        <w:rPr>
          <w:rFonts w:ascii="Calibri" w:hAnsi="Calibri" w:eastAsia="Calibri" w:cs="Calibri" w:asciiTheme="minorAscii" w:hAnsiTheme="minorAscii" w:eastAsiaTheme="minorAscii" w:cstheme="minorAscii"/>
          <w:noProof w:val="0"/>
          <w:sz w:val="24"/>
          <w:szCs w:val="24"/>
          <w:lang w:val="en-GB"/>
        </w:rPr>
        <w:t>Philadephia</w:t>
      </w:r>
      <w:proofErr w:type="spellEnd"/>
      <w:r w:rsidRPr="51E92973" w:rsidR="51E92973">
        <w:rPr>
          <w:rFonts w:ascii="Calibri" w:hAnsi="Calibri" w:eastAsia="Calibri" w:cs="Calibri" w:asciiTheme="minorAscii" w:hAnsiTheme="minorAscii" w:eastAsiaTheme="minorAscii" w:cstheme="minorAscii"/>
          <w:noProof w:val="0"/>
          <w:sz w:val="24"/>
          <w:szCs w:val="24"/>
          <w:lang w:val="en-GB"/>
        </w:rPr>
        <w:t>: Open University Press.</w:t>
      </w:r>
      <w:r>
        <w:br/>
      </w:r>
      <w:r w:rsidRPr="30EF479F" w:rsidR="30EF479F">
        <w:rPr>
          <w:rFonts w:ascii="Calibri" w:hAnsi="Calibri" w:eastAsia="Calibri" w:cs="Calibri"/>
          <w:noProof w:val="0"/>
          <w:sz w:val="22"/>
          <w:szCs w:val="22"/>
          <w:lang w:val="en-GB"/>
        </w:rPr>
        <w:t>GMC (2006). Good Medical Practice, General Medical Council.</w:t>
      </w:r>
      <w:r w:rsidR="008F64A2">
        <w:rPr>
          <w:rFonts w:ascii="Arial" w:hAnsi="Arial" w:cs="Arial"/>
          <w:color w:val="000000"/>
          <w:sz w:val="20"/>
          <w:szCs w:val="20"/>
          <w:shd w:val="clear" w:color="auto" w:fill="FFFFFF"/>
        </w:rPr>
        <w:br/>
      </w:r>
      <w:r w:rsidRPr="51E92973" w:rsidR="009D200F">
        <w:rPr>
          <w:rFonts w:ascii="Calibri" w:hAnsi="Calibri" w:eastAsia="Calibri" w:cs="Calibri" w:asciiTheme="minorAscii" w:hAnsiTheme="minorAscii" w:eastAsiaTheme="minorAscii" w:cstheme="minorAscii"/>
          <w:color w:val="000000"/>
          <w:sz w:val="24"/>
          <w:szCs w:val="24"/>
          <w:shd w:val="clear" w:color="auto" w:fill="FFFFFF"/>
        </w:rPr>
        <w:t>OECD (2017). </w:t>
      </w:r>
      <w:r w:rsidRPr="30EF479F" w:rsidR="009D200F">
        <w:rPr>
          <w:rFonts w:ascii="Calibri" w:hAnsi="Calibri" w:eastAsia="Calibri" w:cs="Calibri" w:asciiTheme="minorAscii" w:hAnsiTheme="minorAscii" w:eastAsiaTheme="minorAscii" w:cstheme="minorAscii"/>
          <w:i w:val="1"/>
          <w:iCs w:val="1"/>
          <w:color w:val="000000"/>
          <w:sz w:val="24"/>
          <w:szCs w:val="24"/>
          <w:shd w:val="clear" w:color="auto" w:fill="FFFFFF"/>
        </w:rPr>
        <w:t>The Welsh Education Reform Journey, A Rapid Policy Assessment</w:t>
      </w:r>
      <w:r w:rsidRPr="51E92973" w:rsidR="009D200F">
        <w:rPr>
          <w:rFonts w:ascii="Calibri" w:hAnsi="Calibri" w:eastAsia="Calibri" w:cs="Calibri" w:asciiTheme="minorAscii" w:hAnsiTheme="minorAscii" w:eastAsiaTheme="minorAscii" w:cstheme="minorAscii"/>
          <w:color w:val="000000"/>
          <w:sz w:val="24"/>
          <w:szCs w:val="24"/>
          <w:shd w:val="clear" w:color="auto" w:fill="FFFFFF"/>
        </w:rPr>
        <w:t>. OECD Publis</w:t>
      </w:r>
      <w:r w:rsidRPr="51E92973" w:rsidR="009D200F">
        <w:rPr>
          <w:rFonts w:ascii="Calibri" w:hAnsi="Calibri" w:eastAsia="Calibri" w:cs="Calibri" w:asciiTheme="minorAscii" w:hAnsiTheme="minorAscii" w:eastAsiaTheme="minorAscii" w:cstheme="minorAscii"/>
          <w:color w:val="000000"/>
          <w:sz w:val="24"/>
          <w:szCs w:val="24"/>
          <w:shd w:val="clear" w:color="auto" w:fill="FFFFFF"/>
        </w:rPr>
        <w:t>hing.</w:t>
      </w:r>
      <w:r>
        <w:br/>
      </w:r>
      <w:r w:rsidRPr="51E92973" w:rsidR="51E92973">
        <w:rPr>
          <w:rFonts w:ascii="Calibri" w:hAnsi="Calibri" w:eastAsia="Calibri" w:cs="Calibri" w:asciiTheme="minorAscii" w:hAnsiTheme="minorAscii" w:eastAsiaTheme="minorAscii" w:cstheme="minorAscii"/>
          <w:color w:val="000000" w:themeColor="text1" w:themeTint="FF" w:themeShade="FF"/>
          <w:sz w:val="24"/>
          <w:szCs w:val="24"/>
        </w:rPr>
        <w:t>National Assembly for Wales (2006).</w:t>
      </w:r>
      <w:r w:rsidRPr="30EF479F" w:rsidR="51E92973">
        <w:rPr>
          <w:rFonts w:ascii="Calibri" w:hAnsi="Calibri" w:eastAsia="Calibri" w:cs="Calibri" w:asciiTheme="minorAscii" w:hAnsiTheme="minorAscii" w:eastAsiaTheme="minorAscii" w:cstheme="minorAscii"/>
          <w:i w:val="1"/>
          <w:iCs w:val="1"/>
          <w:color w:val="000000" w:themeColor="text1" w:themeTint="FF" w:themeShade="FF"/>
          <w:sz w:val="24"/>
          <w:szCs w:val="24"/>
        </w:rPr>
        <w:t xml:space="preserve"> </w:t>
      </w:r>
      <w:r w:rsidRPr="30EF479F" w:rsidR="51E92973">
        <w:rPr>
          <w:rFonts w:ascii="Calibri" w:hAnsi="Calibri" w:eastAsia="Calibri" w:cs="Calibri" w:asciiTheme="minorAscii" w:hAnsiTheme="minorAscii" w:eastAsiaTheme="minorAscii" w:cstheme="minorAscii"/>
          <w:i w:val="1"/>
          <w:iCs w:val="1"/>
          <w:noProof w:val="0"/>
          <w:sz w:val="24"/>
          <w:szCs w:val="24"/>
          <w:lang w:val="en-GB"/>
        </w:rPr>
        <w:t>Inclusion and Pupil Support.</w:t>
      </w:r>
      <w:r w:rsidRPr="51E92973" w:rsidR="51E92973">
        <w:rPr>
          <w:rFonts w:ascii="Calibri" w:hAnsi="Calibri" w:eastAsia="Calibri" w:cs="Calibri" w:asciiTheme="minorAscii" w:hAnsiTheme="minorAscii" w:eastAsiaTheme="minorAscii" w:cstheme="minorAscii"/>
          <w:noProof w:val="0"/>
          <w:sz w:val="24"/>
          <w:szCs w:val="24"/>
          <w:lang w:val="en-GB"/>
        </w:rPr>
        <w:t xml:space="preserve"> Crown Copyright.</w:t>
      </w:r>
      <w:r>
        <w:br/>
      </w:r>
      <w:r w:rsidRPr="0F258B0E" w:rsidR="0F258B0E">
        <w:rPr>
          <w:rFonts w:ascii="Calibri" w:hAnsi="Calibri" w:eastAsia="Calibri" w:cs="Calibri" w:asciiTheme="minorAscii" w:hAnsiTheme="minorAscii" w:eastAsiaTheme="minorAscii" w:cstheme="minorAscii"/>
          <w:noProof w:val="0"/>
          <w:sz w:val="24"/>
          <w:szCs w:val="24"/>
          <w:lang w:val="en-GB"/>
        </w:rPr>
        <w:t xml:space="preserve">National Assembly for Wales (2015). </w:t>
      </w:r>
      <w:r w:rsidRPr="30EF479F" w:rsidR="0F258B0E">
        <w:rPr>
          <w:rFonts w:ascii="Calibri" w:hAnsi="Calibri" w:eastAsia="Calibri" w:cs="Calibri"/>
          <w:i w:val="1"/>
          <w:iCs w:val="1"/>
          <w:noProof w:val="0"/>
          <w:sz w:val="24"/>
          <w:szCs w:val="24"/>
          <w:lang w:val="en-GB"/>
        </w:rPr>
        <w:t>SEN statistics: Numbers of pupils, budgeted expenditure, and academic achievemen</w:t>
      </w:r>
      <w:r w:rsidRPr="0F258B0E" w:rsidR="0F258B0E">
        <w:rPr>
          <w:rFonts w:ascii="Calibri" w:hAnsi="Calibri" w:eastAsia="Calibri" w:cs="Calibri"/>
          <w:noProof w:val="0"/>
          <w:sz w:val="24"/>
          <w:szCs w:val="24"/>
          <w:lang w:val="en-GB"/>
        </w:rPr>
        <w:t>t. Cardiff: Crown Copyright.</w:t>
      </w:r>
      <w:r>
        <w:br/>
      </w:r>
      <w:r w:rsidRPr="3F2DC0E6" w:rsidR="3F2DC0E6">
        <w:rPr>
          <w:rFonts w:ascii="Calibri" w:hAnsi="Calibri" w:eastAsia="Calibri" w:cs="Calibri"/>
          <w:noProof w:val="0"/>
          <w:sz w:val="24"/>
          <w:szCs w:val="24"/>
          <w:lang w:val="en-GB"/>
        </w:rPr>
        <w:t xml:space="preserve">Rolheiser, C., and J. A. Ross. (2001). Student Self-Evaluation: What Research Says and What Practice Shows. </w:t>
      </w:r>
      <w:r>
        <w:br/>
      </w:r>
      <w:r w:rsidRPr="3F2DC0E6" w:rsidR="3F2DC0E6">
        <w:rPr>
          <w:rFonts w:ascii="Calibri" w:hAnsi="Calibri" w:eastAsia="Calibri" w:cs="Calibri"/>
          <w:noProof w:val="0"/>
          <w:sz w:val="24"/>
          <w:szCs w:val="24"/>
          <w:lang w:val="en-GB"/>
        </w:rPr>
        <w:t xml:space="preserve">Upton, S. (2011). </w:t>
      </w:r>
      <w:r w:rsidRPr="30EF479F" w:rsidR="3F2DC0E6">
        <w:rPr>
          <w:rFonts w:ascii="Calibri" w:hAnsi="Calibri" w:eastAsia="Calibri" w:cs="Calibri"/>
          <w:i w:val="1"/>
          <w:iCs w:val="1"/>
          <w:noProof w:val="0"/>
          <w:sz w:val="24"/>
          <w:szCs w:val="24"/>
          <w:lang w:val="en-GB"/>
        </w:rPr>
        <w:t xml:space="preserve">Making a difference at Key Stage 3. Learning from five successful schools. </w:t>
      </w:r>
      <w:r w:rsidRPr="3F2DC0E6" w:rsidR="3F2DC0E6">
        <w:rPr>
          <w:rFonts w:ascii="Calibri" w:hAnsi="Calibri" w:eastAsia="Calibri" w:cs="Calibri"/>
          <w:noProof w:val="0"/>
          <w:sz w:val="24"/>
          <w:szCs w:val="24"/>
          <w:lang w:val="en-GB"/>
        </w:rPr>
        <w:t>Cardiff: The Institute of Welsh Affairs.</w:t>
      </w:r>
      <w:r>
        <w:br/>
      </w:r>
      <w:r w:rsidRPr="3F2DC0E6" w:rsidR="1EEBE509">
        <w:rPr>
          <w:rFonts w:ascii="Calibri" w:hAnsi="Calibri" w:eastAsia="Calibri" w:cs="Calibri"/>
          <w:noProof w:val="0"/>
          <w:sz w:val="24"/>
          <w:szCs w:val="24"/>
          <w:lang w:val="en-GB"/>
        </w:rPr>
        <w:t xml:space="preserve">Welsh Assembly Government. (2008). </w:t>
      </w:r>
      <w:r w:rsidRPr="30EF479F" w:rsidR="1EEBE509">
        <w:rPr>
          <w:rFonts w:ascii="Calibri" w:hAnsi="Calibri" w:eastAsia="Calibri" w:cs="Calibri"/>
          <w:i w:val="1"/>
          <w:iCs w:val="1"/>
          <w:noProof w:val="0"/>
          <w:sz w:val="24"/>
          <w:szCs w:val="24"/>
          <w:lang w:val="en-GB"/>
        </w:rPr>
        <w:t>School Effectiveness Framework. Building effective learning communities together.</w:t>
      </w:r>
      <w:r w:rsidRPr="3F2DC0E6" w:rsidR="1EEBE509">
        <w:rPr>
          <w:rFonts w:ascii="Calibri" w:hAnsi="Calibri" w:eastAsia="Calibri" w:cs="Calibri"/>
          <w:noProof w:val="0"/>
          <w:sz w:val="24"/>
          <w:szCs w:val="24"/>
          <w:lang w:val="en-GB"/>
        </w:rPr>
        <w:t xml:space="preserve"> Cardiff. Crown Copyright.</w:t>
      </w:r>
      <w:r w:rsidR="009D200F">
        <w:rPr>
          <w:rFonts w:ascii="Arial" w:hAnsi="Arial" w:cs="Arial"/>
          <w:color w:val="000000"/>
          <w:sz w:val="20"/>
          <w:szCs w:val="20"/>
          <w:shd w:val="clear" w:color="auto" w:fill="FFFFFF"/>
        </w:rPr>
        <w:br/>
      </w:r>
      <w:r w:rsidRPr="51E92973" w:rsidR="008F64A2">
        <w:rPr>
          <w:rFonts w:ascii="Calibri" w:hAnsi="Calibri" w:eastAsia="Calibri" w:cs="Calibri" w:asciiTheme="minorAscii" w:hAnsiTheme="minorAscii" w:eastAsiaTheme="minorAscii" w:cstheme="minorAscii"/>
          <w:color w:val="000000"/>
          <w:sz w:val="24"/>
          <w:szCs w:val="24"/>
          <w:shd w:val="clear" w:color="auto" w:fill="FFFFFF"/>
        </w:rPr>
        <w:t xml:space="preserve">Welsh Assembly </w:t>
      </w:r>
      <w:r w:rsidRPr="51E92973" w:rsidR="002A646C">
        <w:rPr>
          <w:rFonts w:ascii="Calibri" w:hAnsi="Calibri" w:eastAsia="Calibri" w:cs="Calibri" w:asciiTheme="minorAscii" w:hAnsiTheme="minorAscii" w:eastAsiaTheme="minorAscii" w:cstheme="minorAscii"/>
          <w:color w:val="000000"/>
          <w:sz w:val="24"/>
          <w:szCs w:val="24"/>
          <w:shd w:val="clear" w:color="auto" w:fill="FFFFFF"/>
        </w:rPr>
        <w:t>Government</w:t>
      </w:r>
      <w:r w:rsidRPr="51E92973" w:rsidR="008F64A2">
        <w:rPr>
          <w:rFonts w:ascii="Calibri" w:hAnsi="Calibri" w:eastAsia="Calibri" w:cs="Calibri" w:asciiTheme="minorAscii" w:hAnsiTheme="minorAscii" w:eastAsiaTheme="minorAscii" w:cstheme="minorAscii"/>
          <w:color w:val="000000"/>
          <w:sz w:val="24"/>
          <w:szCs w:val="24"/>
          <w:shd w:val="clear" w:color="auto" w:fill="FFFFFF"/>
        </w:rPr>
        <w:t>. (2011). </w:t>
      </w:r>
      <w:r w:rsidRPr="30EF479F" w:rsidR="008F64A2">
        <w:rPr>
          <w:rFonts w:ascii="Calibri" w:hAnsi="Calibri" w:eastAsia="Calibri" w:cs="Calibri" w:asciiTheme="minorAscii" w:hAnsiTheme="minorAscii" w:eastAsiaTheme="minorAscii" w:cstheme="minorAscii"/>
          <w:i w:val="1"/>
          <w:iCs w:val="1"/>
          <w:color w:val="000000"/>
          <w:sz w:val="24"/>
          <w:szCs w:val="24"/>
          <w:shd w:val="clear" w:color="auto" w:fill="FFFFFF"/>
        </w:rPr>
        <w:t>Revised professional standards for education practitioners in Wales.</w:t>
      </w:r>
      <w:r w:rsidRPr="51E92973" w:rsidR="008F64A2">
        <w:rPr>
          <w:rFonts w:ascii="Calibri" w:hAnsi="Calibri" w:eastAsia="Calibri" w:cs="Calibri" w:asciiTheme="minorAscii" w:hAnsiTheme="minorAscii" w:eastAsiaTheme="minorAscii" w:cstheme="minorAscii"/>
          <w:color w:val="000000"/>
          <w:sz w:val="24"/>
          <w:szCs w:val="24"/>
          <w:shd w:val="clear" w:color="auto" w:fill="FFFFFF"/>
        </w:rPr>
        <w:t xml:space="preserve"> </w:t>
      </w:r>
      <w:r w:rsidRPr="51E92973" w:rsidR="00251649">
        <w:rPr>
          <w:rFonts w:ascii="Calibri" w:hAnsi="Calibri" w:eastAsia="Calibri" w:cs="Calibri" w:asciiTheme="minorAscii" w:hAnsiTheme="minorAscii" w:eastAsiaTheme="minorAscii" w:cstheme="minorAscii"/>
          <w:color w:val="000000"/>
          <w:sz w:val="24"/>
          <w:szCs w:val="24"/>
          <w:shd w:val="clear" w:color="auto" w:fill="FFFFFF"/>
        </w:rPr>
        <w:t xml:space="preserve">Cardiff. </w:t>
      </w:r>
      <w:r w:rsidRPr="51E92973" w:rsidR="008F64A2">
        <w:rPr>
          <w:rFonts w:ascii="Calibri" w:hAnsi="Calibri" w:eastAsia="Calibri" w:cs="Calibri" w:asciiTheme="minorAscii" w:hAnsiTheme="minorAscii" w:eastAsiaTheme="minorAscii" w:cstheme="minorAscii"/>
          <w:color w:val="000000"/>
          <w:sz w:val="24"/>
          <w:szCs w:val="24"/>
          <w:shd w:val="clear" w:color="auto" w:fill="FFFFFF"/>
        </w:rPr>
        <w:t>Crown Copyright.</w:t>
      </w:r>
    </w:p>
    <w:sectPr w:rsidRPr="00251611" w:rsidR="00251611">
      <w:headerReference w:type="even" r:id="rId7"/>
      <w:headerReference w:type="default" r:id="rId8"/>
      <w:footerReference w:type="even" r:id="rId9"/>
      <w:footerReference w:type="default" r:id="rId10"/>
      <w:headerReference w:type="first" r:id="rId11"/>
      <w:footerReference w:type="first" r:id="rId1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2541C" w:rsidP="003F12C2" w:rsidRDefault="00C2541C" w14:paraId="3C8C8C8D" w14:textId="77777777">
      <w:pPr>
        <w:spacing w:after="0" w:line="240" w:lineRule="auto"/>
      </w:pPr>
      <w:r>
        <w:separator/>
      </w:r>
    </w:p>
  </w:endnote>
  <w:endnote w:type="continuationSeparator" w:id="0">
    <w:p w:rsidR="00C2541C" w:rsidP="003F12C2" w:rsidRDefault="00C2541C" w14:paraId="4530FD8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A6896" w:rsidRDefault="00FA6896" w14:paraId="4B0EA7BA"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2377509"/>
      <w:docPartObj>
        <w:docPartGallery w:val="Page Numbers (Bottom of Page)"/>
        <w:docPartUnique/>
      </w:docPartObj>
    </w:sdtPr>
    <w:sdtEndPr>
      <w:rPr>
        <w:noProof/>
      </w:rPr>
    </w:sdtEndPr>
    <w:sdtContent>
      <w:p w:rsidR="00FA6896" w:rsidRDefault="00FA6896" w14:paraId="3D8C912F" w14:textId="2FD4A2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FA6896" w:rsidRDefault="00FA6896" w14:paraId="5B9D33A9"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A6896" w:rsidRDefault="00FA6896" w14:paraId="1094F52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2541C" w:rsidP="003F12C2" w:rsidRDefault="00C2541C" w14:paraId="6B930E97" w14:textId="77777777">
      <w:pPr>
        <w:spacing w:after="0" w:line="240" w:lineRule="auto"/>
      </w:pPr>
      <w:r>
        <w:separator/>
      </w:r>
    </w:p>
  </w:footnote>
  <w:footnote w:type="continuationSeparator" w:id="0">
    <w:p w:rsidR="00C2541C" w:rsidP="003F12C2" w:rsidRDefault="00C2541C" w14:paraId="3A1FF2B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A6896" w:rsidRDefault="00FA6896" w14:paraId="2F94806E"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12C2" w:rsidRDefault="003F12C2" w14:paraId="437D6C44" w14:textId="1F53F3A8">
    <w:pPr>
      <w:pStyle w:val="Header"/>
    </w:pPr>
    <w:r>
      <w:rPr/>
      <w:t>Education, Society and Policy:</w:t>
    </w:r>
    <w:r>
      <w:rPr/>
      <w:t xml:space="preserve">                </w:t>
    </w:r>
    <w:r>
      <w:tab/>
    </w:r>
    <w:r>
      <w:rPr/>
      <w:t>Laura Hutchings</w:t>
    </w:r>
    <w:r>
      <w:rPr/>
      <w:t xml:space="preserve">                          </w:t>
    </w:r>
    <w:r>
      <w:tab/>
    </w:r>
    <w:r>
      <w:rPr/>
      <w:t>Katie Hancock, P130333.</w:t>
    </w:r>
    <w:r>
      <w:br/>
    </w:r>
    <w:r>
      <w:rPr/>
      <w:t>Contemporary Classrooms.</w:t>
    </w:r>
    <w:r>
      <w:ptab w:alignment="center" w:relativeTo="margin" w:leader="none"/>
    </w:r>
    <w:r>
      <w:ptab w:alignment="right" w:relativeTo="margin" w:leader="none"/>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A6896" w:rsidRDefault="00FA6896" w14:paraId="3161FDAC"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CFB0E7D"/>
    <w:multiLevelType w:val="hybridMultilevel"/>
    <w:tmpl w:val="25047EA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B334C1F"/>
    <w:multiLevelType w:val="multilevel"/>
    <w:tmpl w:val="06C278B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73891F13"/>
    <w:multiLevelType w:val="hybridMultilevel"/>
    <w:tmpl w:val="C74C69AE"/>
    <w:lvl w:ilvl="0" w:tplc="D0C0DEF0">
      <w:start w:val="1"/>
      <w:numFmt w:val="bullet"/>
      <w:lvlText w:val="•"/>
      <w:lvlJc w:val="left"/>
      <w:pPr>
        <w:tabs>
          <w:tab w:val="num" w:pos="720"/>
        </w:tabs>
        <w:ind w:left="720" w:hanging="360"/>
      </w:pPr>
      <w:rPr>
        <w:rFonts w:hint="default" w:ascii="Arial" w:hAnsi="Arial"/>
      </w:rPr>
    </w:lvl>
    <w:lvl w:ilvl="1" w:tplc="42BCAAB0" w:tentative="1">
      <w:start w:val="1"/>
      <w:numFmt w:val="bullet"/>
      <w:lvlText w:val="•"/>
      <w:lvlJc w:val="left"/>
      <w:pPr>
        <w:tabs>
          <w:tab w:val="num" w:pos="1440"/>
        </w:tabs>
        <w:ind w:left="1440" w:hanging="360"/>
      </w:pPr>
      <w:rPr>
        <w:rFonts w:hint="default" w:ascii="Arial" w:hAnsi="Arial"/>
      </w:rPr>
    </w:lvl>
    <w:lvl w:ilvl="2" w:tplc="CD500E06" w:tentative="1">
      <w:start w:val="1"/>
      <w:numFmt w:val="bullet"/>
      <w:lvlText w:val="•"/>
      <w:lvlJc w:val="left"/>
      <w:pPr>
        <w:tabs>
          <w:tab w:val="num" w:pos="2160"/>
        </w:tabs>
        <w:ind w:left="2160" w:hanging="360"/>
      </w:pPr>
      <w:rPr>
        <w:rFonts w:hint="default" w:ascii="Arial" w:hAnsi="Arial"/>
      </w:rPr>
    </w:lvl>
    <w:lvl w:ilvl="3" w:tplc="61E63566" w:tentative="1">
      <w:start w:val="1"/>
      <w:numFmt w:val="bullet"/>
      <w:lvlText w:val="•"/>
      <w:lvlJc w:val="left"/>
      <w:pPr>
        <w:tabs>
          <w:tab w:val="num" w:pos="2880"/>
        </w:tabs>
        <w:ind w:left="2880" w:hanging="360"/>
      </w:pPr>
      <w:rPr>
        <w:rFonts w:hint="default" w:ascii="Arial" w:hAnsi="Arial"/>
      </w:rPr>
    </w:lvl>
    <w:lvl w:ilvl="4" w:tplc="0284E028" w:tentative="1">
      <w:start w:val="1"/>
      <w:numFmt w:val="bullet"/>
      <w:lvlText w:val="•"/>
      <w:lvlJc w:val="left"/>
      <w:pPr>
        <w:tabs>
          <w:tab w:val="num" w:pos="3600"/>
        </w:tabs>
        <w:ind w:left="3600" w:hanging="360"/>
      </w:pPr>
      <w:rPr>
        <w:rFonts w:hint="default" w:ascii="Arial" w:hAnsi="Arial"/>
      </w:rPr>
    </w:lvl>
    <w:lvl w:ilvl="5" w:tplc="19763A78" w:tentative="1">
      <w:start w:val="1"/>
      <w:numFmt w:val="bullet"/>
      <w:lvlText w:val="•"/>
      <w:lvlJc w:val="left"/>
      <w:pPr>
        <w:tabs>
          <w:tab w:val="num" w:pos="4320"/>
        </w:tabs>
        <w:ind w:left="4320" w:hanging="360"/>
      </w:pPr>
      <w:rPr>
        <w:rFonts w:hint="default" w:ascii="Arial" w:hAnsi="Arial"/>
      </w:rPr>
    </w:lvl>
    <w:lvl w:ilvl="6" w:tplc="A07C34A6" w:tentative="1">
      <w:start w:val="1"/>
      <w:numFmt w:val="bullet"/>
      <w:lvlText w:val="•"/>
      <w:lvlJc w:val="left"/>
      <w:pPr>
        <w:tabs>
          <w:tab w:val="num" w:pos="5040"/>
        </w:tabs>
        <w:ind w:left="5040" w:hanging="360"/>
      </w:pPr>
      <w:rPr>
        <w:rFonts w:hint="default" w:ascii="Arial" w:hAnsi="Arial"/>
      </w:rPr>
    </w:lvl>
    <w:lvl w:ilvl="7" w:tplc="558C308A" w:tentative="1">
      <w:start w:val="1"/>
      <w:numFmt w:val="bullet"/>
      <w:lvlText w:val="•"/>
      <w:lvlJc w:val="left"/>
      <w:pPr>
        <w:tabs>
          <w:tab w:val="num" w:pos="5760"/>
        </w:tabs>
        <w:ind w:left="5760" w:hanging="360"/>
      </w:pPr>
      <w:rPr>
        <w:rFonts w:hint="default" w:ascii="Arial" w:hAnsi="Arial"/>
      </w:rPr>
    </w:lvl>
    <w:lvl w:ilvl="8" w:tplc="A7BEA220" w:tentative="1">
      <w:start w:val="1"/>
      <w:numFmt w:val="bullet"/>
      <w:lvlText w:val="•"/>
      <w:lvlJc w:val="left"/>
      <w:pPr>
        <w:tabs>
          <w:tab w:val="num" w:pos="6480"/>
        </w:tabs>
        <w:ind w:left="6480" w:hanging="360"/>
      </w:pPr>
      <w:rPr>
        <w:rFonts w:hint="default" w:ascii="Arial" w:hAnsi="Arial"/>
      </w:rPr>
    </w:lvl>
  </w:abstractNum>
  <w:num w:numId="4">
    <w:abstractNumId w:val="3"/>
  </w:num>
  <w:num w:numId="1">
    <w:abstractNumId w:val="0"/>
  </w:num>
  <w:num w:numId="2">
    <w:abstractNumId w:val="2"/>
  </w:num>
  <w:num w:numId="3">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2C2"/>
    <w:rsid w:val="000D48E6"/>
    <w:rsid w:val="000D7813"/>
    <w:rsid w:val="000F050B"/>
    <w:rsid w:val="000F2011"/>
    <w:rsid w:val="001060C2"/>
    <w:rsid w:val="00123ABA"/>
    <w:rsid w:val="001731DB"/>
    <w:rsid w:val="001A0E6C"/>
    <w:rsid w:val="001A6DD2"/>
    <w:rsid w:val="00212298"/>
    <w:rsid w:val="00217DA8"/>
    <w:rsid w:val="00220F3F"/>
    <w:rsid w:val="00251611"/>
    <w:rsid w:val="00251649"/>
    <w:rsid w:val="00270807"/>
    <w:rsid w:val="002A646C"/>
    <w:rsid w:val="002C3817"/>
    <w:rsid w:val="00356FE3"/>
    <w:rsid w:val="003C099D"/>
    <w:rsid w:val="003F12C2"/>
    <w:rsid w:val="00414CDD"/>
    <w:rsid w:val="004A51E8"/>
    <w:rsid w:val="004B39D2"/>
    <w:rsid w:val="005753A5"/>
    <w:rsid w:val="005A16B1"/>
    <w:rsid w:val="005C30E5"/>
    <w:rsid w:val="00604653"/>
    <w:rsid w:val="00637F9F"/>
    <w:rsid w:val="00683610"/>
    <w:rsid w:val="00692B7F"/>
    <w:rsid w:val="006B4BA1"/>
    <w:rsid w:val="006F6168"/>
    <w:rsid w:val="0074306C"/>
    <w:rsid w:val="007464DA"/>
    <w:rsid w:val="0076093F"/>
    <w:rsid w:val="0077725D"/>
    <w:rsid w:val="007912A3"/>
    <w:rsid w:val="007D2BC8"/>
    <w:rsid w:val="007F2679"/>
    <w:rsid w:val="00846BD4"/>
    <w:rsid w:val="00850B2F"/>
    <w:rsid w:val="008E591F"/>
    <w:rsid w:val="008F64A2"/>
    <w:rsid w:val="00904E53"/>
    <w:rsid w:val="00910FD0"/>
    <w:rsid w:val="00912A9C"/>
    <w:rsid w:val="009476B2"/>
    <w:rsid w:val="00947CD9"/>
    <w:rsid w:val="00953AF7"/>
    <w:rsid w:val="009B7C36"/>
    <w:rsid w:val="009D200F"/>
    <w:rsid w:val="00A66FC8"/>
    <w:rsid w:val="00A67C3A"/>
    <w:rsid w:val="00AB3A7E"/>
    <w:rsid w:val="00AF7FFA"/>
    <w:rsid w:val="00B26433"/>
    <w:rsid w:val="00B43FE2"/>
    <w:rsid w:val="00B550AF"/>
    <w:rsid w:val="00B776C6"/>
    <w:rsid w:val="00B96127"/>
    <w:rsid w:val="00BB3789"/>
    <w:rsid w:val="00BC2757"/>
    <w:rsid w:val="00BE11A6"/>
    <w:rsid w:val="00BE294D"/>
    <w:rsid w:val="00C125E1"/>
    <w:rsid w:val="00C2541C"/>
    <w:rsid w:val="00C33C16"/>
    <w:rsid w:val="00C73030"/>
    <w:rsid w:val="00CB0C2E"/>
    <w:rsid w:val="00D0392A"/>
    <w:rsid w:val="00D32BB7"/>
    <w:rsid w:val="00D50B1A"/>
    <w:rsid w:val="00DA45A0"/>
    <w:rsid w:val="00DE5395"/>
    <w:rsid w:val="00E33154"/>
    <w:rsid w:val="00F10CA8"/>
    <w:rsid w:val="00F27726"/>
    <w:rsid w:val="00F83BD9"/>
    <w:rsid w:val="00F90888"/>
    <w:rsid w:val="00F96169"/>
    <w:rsid w:val="00FA6896"/>
    <w:rsid w:val="05E4A3E6"/>
    <w:rsid w:val="0F258B0E"/>
    <w:rsid w:val="127747E6"/>
    <w:rsid w:val="1EEBE509"/>
    <w:rsid w:val="1FFB2168"/>
    <w:rsid w:val="30EF479F"/>
    <w:rsid w:val="3F2DC0E6"/>
    <w:rsid w:val="51E92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2E153"/>
  <w15:chartTrackingRefBased/>
  <w15:docId w15:val="{55B826C2-27F0-4174-85D5-5CC9539009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3F12C2"/>
    <w:pPr>
      <w:tabs>
        <w:tab w:val="center" w:pos="4513"/>
        <w:tab w:val="right" w:pos="9026"/>
      </w:tabs>
      <w:spacing w:after="0" w:line="240" w:lineRule="auto"/>
    </w:pPr>
  </w:style>
  <w:style w:type="character" w:styleId="HeaderChar" w:customStyle="1">
    <w:name w:val="Header Char"/>
    <w:basedOn w:val="DefaultParagraphFont"/>
    <w:link w:val="Header"/>
    <w:uiPriority w:val="99"/>
    <w:rsid w:val="003F12C2"/>
  </w:style>
  <w:style w:type="paragraph" w:styleId="Footer">
    <w:name w:val="footer"/>
    <w:basedOn w:val="Normal"/>
    <w:link w:val="FooterChar"/>
    <w:uiPriority w:val="99"/>
    <w:unhideWhenUsed/>
    <w:rsid w:val="003F12C2"/>
    <w:pPr>
      <w:tabs>
        <w:tab w:val="center" w:pos="4513"/>
        <w:tab w:val="right" w:pos="9026"/>
      </w:tabs>
      <w:spacing w:after="0" w:line="240" w:lineRule="auto"/>
    </w:pPr>
  </w:style>
  <w:style w:type="character" w:styleId="FooterChar" w:customStyle="1">
    <w:name w:val="Footer Char"/>
    <w:basedOn w:val="DefaultParagraphFont"/>
    <w:link w:val="Footer"/>
    <w:uiPriority w:val="99"/>
    <w:rsid w:val="003F12C2"/>
  </w:style>
  <w:style w:type="paragraph" w:styleId="NoSpacing">
    <w:name w:val="No Spacing"/>
    <w:link w:val="NoSpacingChar"/>
    <w:uiPriority w:val="1"/>
    <w:qFormat/>
    <w:rsid w:val="003F12C2"/>
    <w:pPr>
      <w:spacing w:after="0" w:line="240" w:lineRule="auto"/>
    </w:pPr>
    <w:rPr>
      <w:rFonts w:ascii="Calibri" w:hAnsi="Calibri" w:eastAsia="Calibri" w:cs="Times New Roman"/>
      <w:lang w:val="en-US"/>
    </w:rPr>
  </w:style>
  <w:style w:type="character" w:styleId="NoSpacingChar" w:customStyle="1">
    <w:name w:val="No Spacing Char"/>
    <w:link w:val="NoSpacing"/>
    <w:uiPriority w:val="1"/>
    <w:locked/>
    <w:rsid w:val="003F12C2"/>
    <w:rPr>
      <w:rFonts w:ascii="Calibri" w:hAnsi="Calibri" w:eastAsia="Calibri" w:cs="Times New Roman"/>
      <w:lang w:val="en-US"/>
    </w:rPr>
  </w:style>
  <w:style w:type="paragraph" w:styleId="paragraph" w:customStyle="1">
    <w:name w:val="paragraph"/>
    <w:basedOn w:val="Normal"/>
    <w:rsid w:val="003C099D"/>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3C099D"/>
  </w:style>
  <w:style w:type="character" w:styleId="eop" w:customStyle="1">
    <w:name w:val="eop"/>
    <w:basedOn w:val="DefaultParagraphFont"/>
    <w:rsid w:val="003C09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1135599">
      <w:bodyDiv w:val="1"/>
      <w:marLeft w:val="0"/>
      <w:marRight w:val="0"/>
      <w:marTop w:val="0"/>
      <w:marBottom w:val="0"/>
      <w:divBdr>
        <w:top w:val="none" w:sz="0" w:space="0" w:color="auto"/>
        <w:left w:val="none" w:sz="0" w:space="0" w:color="auto"/>
        <w:bottom w:val="none" w:sz="0" w:space="0" w:color="auto"/>
        <w:right w:val="none" w:sz="0" w:space="0" w:color="auto"/>
      </w:divBdr>
      <w:divsChild>
        <w:div w:id="806053177">
          <w:marLeft w:val="446"/>
          <w:marRight w:val="0"/>
          <w:marTop w:val="0"/>
          <w:marBottom w:val="0"/>
          <w:divBdr>
            <w:top w:val="none" w:sz="0" w:space="0" w:color="auto"/>
            <w:left w:val="none" w:sz="0" w:space="0" w:color="auto"/>
            <w:bottom w:val="none" w:sz="0" w:space="0" w:color="auto"/>
            <w:right w:val="none" w:sz="0" w:space="0" w:color="auto"/>
          </w:divBdr>
        </w:div>
        <w:div w:id="425998837">
          <w:marLeft w:val="446"/>
          <w:marRight w:val="0"/>
          <w:marTop w:val="0"/>
          <w:marBottom w:val="0"/>
          <w:divBdr>
            <w:top w:val="none" w:sz="0" w:space="0" w:color="auto"/>
            <w:left w:val="none" w:sz="0" w:space="0" w:color="auto"/>
            <w:bottom w:val="none" w:sz="0" w:space="0" w:color="auto"/>
            <w:right w:val="none" w:sz="0" w:space="0" w:color="auto"/>
          </w:divBdr>
        </w:div>
        <w:div w:id="1684043217">
          <w:marLeft w:val="446"/>
          <w:marRight w:val="0"/>
          <w:marTop w:val="0"/>
          <w:marBottom w:val="0"/>
          <w:divBdr>
            <w:top w:val="none" w:sz="0" w:space="0" w:color="auto"/>
            <w:left w:val="none" w:sz="0" w:space="0" w:color="auto"/>
            <w:bottom w:val="none" w:sz="0" w:space="0" w:color="auto"/>
            <w:right w:val="none" w:sz="0" w:space="0" w:color="auto"/>
          </w:divBdr>
        </w:div>
        <w:div w:id="1275401416">
          <w:marLeft w:val="446"/>
          <w:marRight w:val="0"/>
          <w:marTop w:val="0"/>
          <w:marBottom w:val="0"/>
          <w:divBdr>
            <w:top w:val="none" w:sz="0" w:space="0" w:color="auto"/>
            <w:left w:val="none" w:sz="0" w:space="0" w:color="auto"/>
            <w:bottom w:val="none" w:sz="0" w:space="0" w:color="auto"/>
            <w:right w:val="none" w:sz="0" w:space="0" w:color="auto"/>
          </w:divBdr>
        </w:div>
      </w:divsChild>
    </w:div>
    <w:div w:id="1600018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footer" Target="footer3.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3.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theme" Target="theme/theme1.xml" Id="rId14" /><Relationship Type="http://schemas.openxmlformats.org/officeDocument/2006/relationships/glossaryDocument" Target="/word/glossary/document.xml" Id="Rebb846876f434ab7" /><Relationship Type="http://schemas.openxmlformats.org/officeDocument/2006/relationships/image" Target="/media/image2.png" Id="Rb3d4d191a7f641a2" /><Relationship Type="http://schemas.openxmlformats.org/officeDocument/2006/relationships/image" Target="/media/image3.png" Id="R48cb5b078f2448e2" /><Relationship Type="http://schemas.openxmlformats.org/officeDocument/2006/relationships/image" Target="/media/image4.png" Id="R3addb21fcd274ebb" /><Relationship Type="http://schemas.openxmlformats.org/officeDocument/2006/relationships/image" Target="/media/image5.png" Id="Rfcf8eeb649b54bb2" /><Relationship Type="http://schemas.openxmlformats.org/officeDocument/2006/relationships/image" Target="/media/image6.png" Id="R2bff04c31ffa40a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ad3a78f-9e14-4536-ad98-891b63fb3997}"/>
      </w:docPartPr>
      <w:docPartBody>
        <w:p w14:paraId="2787F93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Luke Williams</dc:creator>
  <keywords/>
  <dc:description/>
  <lastModifiedBy>Luke Williams (Student)</lastModifiedBy>
  <revision>92</revision>
  <dcterms:created xsi:type="dcterms:W3CDTF">2019-04-08T12:21:00.0000000Z</dcterms:created>
  <dcterms:modified xsi:type="dcterms:W3CDTF">2019-05-02T18:09:16.0613482Z</dcterms:modified>
</coreProperties>
</file>