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before="212"/>
        <w:jc w:val="center"/>
        <w:rPr>
          <w:rFonts w:ascii="Arial" w:hAnsi="Arial"/>
          <w:b w:val="1"/>
          <w:bCs w:val="1"/>
          <w:sz w:val="56"/>
          <w:szCs w:val="56"/>
        </w:rPr>
      </w:pPr>
      <w:r>
        <w:rPr>
          <w:rFonts w:ascii="Arial" w:hAnsi="Arial"/>
          <w:b w:val="1"/>
          <w:bCs w:val="1"/>
          <w:sz w:val="56"/>
          <w:szCs w:val="56"/>
        </w:rPr>
        <w:drawing xmlns:a="http://schemas.openxmlformats.org/drawingml/2006/main">
          <wp:inline distT="0" distB="0" distL="0" distR="0">
            <wp:extent cx="3524325" cy="1404938"/>
            <wp:effectExtent l="0" t="0" r="0" b="0"/>
            <wp:docPr id="1073741825" name="officeArt object" descr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4" descr="Picture 4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325" cy="140493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Body"/>
        <w:spacing w:before="212"/>
        <w:jc w:val="center"/>
        <w:rPr>
          <w:rFonts w:ascii="Arial" w:hAnsi="Arial"/>
          <w:b w:val="1"/>
          <w:bCs w:val="1"/>
          <w:sz w:val="36"/>
          <w:szCs w:val="36"/>
        </w:rPr>
      </w:pPr>
    </w:p>
    <w:p>
      <w:pPr>
        <w:pStyle w:val="Body"/>
        <w:spacing w:before="212"/>
        <w:rPr>
          <w:rFonts w:ascii="Arial" w:hAnsi="Arial"/>
          <w:b w:val="1"/>
          <w:bCs w:val="1"/>
          <w:sz w:val="56"/>
          <w:szCs w:val="56"/>
        </w:rPr>
      </w:pPr>
    </w:p>
    <w:p>
      <w:pPr>
        <w:pStyle w:val="Body"/>
        <w:spacing w:before="212"/>
        <w:rPr>
          <w:rFonts w:ascii="Arial" w:cs="Arial" w:hAnsi="Arial" w:eastAsia="Arial"/>
          <w:b w:val="1"/>
          <w:bCs w:val="1"/>
          <w:sz w:val="48"/>
          <w:szCs w:val="48"/>
        </w:rPr>
      </w:pPr>
      <w:r>
        <w:rPr>
          <w:rFonts w:ascii="Arial" w:hAnsi="Arial"/>
          <w:b w:val="1"/>
          <w:bCs w:val="1"/>
          <w:sz w:val="48"/>
          <w:szCs w:val="48"/>
          <w:rtl w:val="0"/>
        </w:rPr>
        <w:t>COD MODIWL: ECAD4018C</w:t>
      </w:r>
    </w:p>
    <w:p>
      <w:pPr>
        <w:pStyle w:val="Body"/>
        <w:spacing w:before="212"/>
        <w:rPr>
          <w:rFonts w:ascii="Arial" w:cs="Arial" w:hAnsi="Arial" w:eastAsia="Arial"/>
          <w:b w:val="1"/>
          <w:bCs w:val="1"/>
          <w:sz w:val="48"/>
          <w:szCs w:val="48"/>
        </w:rPr>
      </w:pPr>
    </w:p>
    <w:p>
      <w:pPr>
        <w:pStyle w:val="Body"/>
        <w:spacing w:before="3"/>
        <w:rPr>
          <w:rFonts w:ascii="Arial" w:cs="Arial" w:hAnsi="Arial" w:eastAsia="Arial"/>
          <w:b w:val="1"/>
          <w:bCs w:val="1"/>
          <w:sz w:val="48"/>
          <w:szCs w:val="48"/>
        </w:rPr>
      </w:pPr>
      <w:r>
        <w:rPr>
          <w:rFonts w:ascii="Arial" w:hAnsi="Arial"/>
          <w:b w:val="1"/>
          <w:bCs w:val="1"/>
          <w:sz w:val="48"/>
          <w:szCs w:val="48"/>
          <w:rtl w:val="0"/>
          <w:lang w:val="de-DE"/>
        </w:rPr>
        <w:t>ENW'R MYFYRIWR:</w:t>
      </w:r>
      <w:r>
        <w:rPr>
          <w:rFonts w:ascii="Arial" w:hAnsi="Arial"/>
          <w:b w:val="1"/>
          <w:bCs w:val="1"/>
          <w:sz w:val="48"/>
          <w:szCs w:val="48"/>
          <w:rtl w:val="0"/>
          <w:lang w:val="en-US"/>
        </w:rPr>
        <w:t xml:space="preserve"> Chelsea James</w:t>
      </w:r>
    </w:p>
    <w:p>
      <w:pPr>
        <w:pStyle w:val="Body"/>
        <w:spacing w:before="3"/>
        <w:rPr>
          <w:rFonts w:ascii="Arial" w:cs="Arial" w:hAnsi="Arial" w:eastAsia="Arial"/>
          <w:b w:val="1"/>
          <w:bCs w:val="1"/>
          <w:sz w:val="48"/>
          <w:szCs w:val="48"/>
        </w:rPr>
      </w:pPr>
    </w:p>
    <w:p>
      <w:pPr>
        <w:pStyle w:val="Body"/>
        <w:spacing w:before="3"/>
        <w:rPr>
          <w:rFonts w:ascii="Arial" w:cs="Arial" w:hAnsi="Arial" w:eastAsia="Arial"/>
          <w:b w:val="1"/>
          <w:bCs w:val="1"/>
          <w:sz w:val="48"/>
          <w:szCs w:val="48"/>
        </w:rPr>
      </w:pPr>
      <w:r>
        <w:rPr>
          <w:rFonts w:ascii="Arial" w:hAnsi="Arial"/>
          <w:b w:val="1"/>
          <w:bCs w:val="1"/>
          <w:sz w:val="48"/>
          <w:szCs w:val="48"/>
          <w:rtl w:val="0"/>
          <w:lang w:val="de-DE"/>
        </w:rPr>
        <w:t>RHIF MYFYRWYR:</w:t>
      </w:r>
      <w:r>
        <w:rPr>
          <w:rFonts w:ascii="Arial" w:hAnsi="Arial"/>
          <w:b w:val="1"/>
          <w:bCs w:val="1"/>
          <w:sz w:val="48"/>
          <w:szCs w:val="48"/>
          <w:rtl w:val="0"/>
          <w:lang w:val="en-US"/>
        </w:rPr>
        <w:t xml:space="preserve"> 2416587</w:t>
      </w:r>
    </w:p>
    <w:p>
      <w:pPr>
        <w:pStyle w:val="Body"/>
        <w:rPr>
          <w:rFonts w:ascii="Arial" w:cs="Arial" w:hAnsi="Arial" w:eastAsia="Arial"/>
          <w:b w:val="1"/>
          <w:bCs w:val="1"/>
          <w:sz w:val="47"/>
          <w:szCs w:val="47"/>
        </w:rPr>
      </w:pPr>
    </w:p>
    <w:p>
      <w:pPr>
        <w:pStyle w:val="Body"/>
        <w:ind w:left="100" w:firstLine="0"/>
        <w:jc w:val="center"/>
        <w:rPr>
          <w:rFonts w:ascii="Arial" w:cs="Arial" w:hAnsi="Arial" w:eastAsia="Arial"/>
          <w:b w:val="1"/>
          <w:bCs w:val="1"/>
          <w:sz w:val="47"/>
          <w:szCs w:val="47"/>
        </w:rPr>
      </w:pPr>
    </w:p>
    <w:p>
      <w:pPr>
        <w:pStyle w:val="Body"/>
        <w:ind w:left="100" w:firstLine="0"/>
        <w:rPr>
          <w:rFonts w:ascii="Arial" w:cs="Arial" w:hAnsi="Arial" w:eastAsia="Arial"/>
          <w:b w:val="1"/>
          <w:bCs w:val="1"/>
          <w:sz w:val="47"/>
          <w:szCs w:val="47"/>
        </w:rPr>
      </w:pPr>
    </w:p>
    <w:p>
      <w:pPr>
        <w:pStyle w:val="Body"/>
        <w:ind w:left="100" w:firstLine="0"/>
        <w:rPr>
          <w:rFonts w:ascii="Arial" w:cs="Arial" w:hAnsi="Arial" w:eastAsia="Arial"/>
          <w:b w:val="1"/>
          <w:bCs w:val="1"/>
          <w:sz w:val="47"/>
          <w:szCs w:val="47"/>
        </w:rPr>
      </w:pPr>
    </w:p>
    <w:p>
      <w:pPr>
        <w:pStyle w:val="Body"/>
        <w:jc w:val="center"/>
        <w:rPr>
          <w:rFonts w:ascii="Arial" w:cs="Arial" w:hAnsi="Arial" w:eastAsia="Arial"/>
          <w:b w:val="1"/>
          <w:bCs w:val="1"/>
          <w:sz w:val="40"/>
          <w:szCs w:val="40"/>
        </w:rPr>
      </w:pPr>
    </w:p>
    <w:p>
      <w:pPr>
        <w:pStyle w:val="Body"/>
        <w:jc w:val="center"/>
        <w:rPr>
          <w:rFonts w:ascii="Arial" w:cs="Arial" w:hAnsi="Arial" w:eastAsia="Arial"/>
          <w:b w:val="1"/>
          <w:bCs w:val="1"/>
          <w:sz w:val="40"/>
          <w:szCs w:val="40"/>
        </w:rPr>
      </w:pPr>
    </w:p>
    <w:p>
      <w:pPr>
        <w:pStyle w:val="Body"/>
        <w:rPr>
          <w:sz w:val="16"/>
          <w:szCs w:val="16"/>
        </w:rPr>
      </w:pPr>
    </w:p>
    <w:p>
      <w:pPr>
        <w:pStyle w:val="Body"/>
        <w:rPr>
          <w:sz w:val="16"/>
          <w:szCs w:val="16"/>
        </w:rPr>
      </w:pP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</w:rPr>
        <w:t>Targedau o fy aseiniad blaenorol</w:t>
      </w:r>
    </w:p>
    <w:p>
      <w:pPr>
        <w:pStyle w:val="Body"/>
        <w:rPr>
          <w:b w:val="1"/>
          <w:bCs w:val="1"/>
        </w:rPr>
      </w:pP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1d7"/>
        <w:tblLayout w:type="fixed"/>
      </w:tblPr>
      <w:tblGrid>
        <w:gridCol w:w="4508"/>
        <w:gridCol w:w="4508"/>
      </w:tblGrid>
      <w:tr>
        <w:tblPrEx>
          <w:shd w:val="clear" w:color="auto" w:fill="cad1d7"/>
        </w:tblPrEx>
        <w:trPr>
          <w:trHeight w:val="570" w:hRule="atLeast"/>
        </w:trPr>
        <w:tc>
          <w:tcPr>
            <w:tcW w:type="dxa" w:w="4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hd w:val="nil" w:color="auto" w:fill="auto"/>
                <w:rtl w:val="0"/>
              </w:rPr>
              <w:t>Targed</w:t>
            </w:r>
          </w:p>
        </w:tc>
        <w:tc>
          <w:tcPr>
            <w:tcW w:type="dxa" w:w="4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</w:rPr>
              <w:t xml:space="preserve">Sut yr wyf wedi mynd i'r afael </w:t>
            </w:r>
            <w:r>
              <w:rPr>
                <w:b w:val="1"/>
                <w:bCs w:val="1"/>
                <w:shd w:val="nil" w:color="auto" w:fill="auto"/>
                <w:rtl w:val="0"/>
              </w:rPr>
              <w:t xml:space="preserve">â </w:t>
            </w: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hyn yn y gwaith hwn</w:t>
            </w:r>
          </w:p>
        </w:tc>
      </w:tr>
      <w:tr>
        <w:tblPrEx>
          <w:shd w:val="clear" w:color="auto" w:fill="cad1d7"/>
        </w:tblPrEx>
        <w:trPr>
          <w:trHeight w:val="810" w:hRule="atLeast"/>
        </w:trPr>
        <w:tc>
          <w:tcPr>
            <w:tcW w:type="dxa" w:w="4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sz w:val="16"/>
                <w:szCs w:val="16"/>
                <w:shd w:val="nil" w:color="auto" w:fill="auto"/>
              </w:rPr>
            </w:pPr>
          </w:p>
          <w:p>
            <w:pPr>
              <w:pStyle w:val="Body"/>
              <w:spacing w:after="0" w:line="240" w:lineRule="auto"/>
            </w:pPr>
            <w:r>
              <w:rPr>
                <w:sz w:val="16"/>
                <w:szCs w:val="16"/>
                <w:shd w:val="nil" w:color="auto" w:fill="auto"/>
                <w:rtl w:val="0"/>
                <w:lang w:val="en-US"/>
              </w:rPr>
              <w:t xml:space="preserve">I ddarllen yn ehangach ac i gyfeirnodi yn union yn </w:t>
            </w:r>
            <w:r>
              <w:rPr>
                <w:sz w:val="16"/>
                <w:szCs w:val="16"/>
                <w:shd w:val="nil" w:color="auto" w:fill="auto"/>
                <w:rtl w:val="0"/>
                <w:lang w:val="en-US"/>
              </w:rPr>
              <w:t>ô</w:t>
            </w:r>
            <w:r>
              <w:rPr>
                <w:sz w:val="16"/>
                <w:szCs w:val="16"/>
                <w:shd w:val="nil" w:color="auto" w:fill="auto"/>
                <w:rtl w:val="0"/>
                <w:lang w:val="en-US"/>
              </w:rPr>
              <w:t>l y canllawiau cyfeirnodi.</w:t>
            </w:r>
            <w:r>
              <w:rPr>
                <w:sz w:val="16"/>
                <w:szCs w:val="16"/>
                <w:shd w:val="nil" w:color="auto" w:fill="auto"/>
              </w:rPr>
            </w:r>
          </w:p>
        </w:tc>
        <w:tc>
          <w:tcPr>
            <w:tcW w:type="dxa" w:w="4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2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Rwyf wedi edrych ar draws fy ngwaith a</w:t>
            </w: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2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2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 llyfr ar gyfer cyfeirnodi.</w:t>
            </w:r>
          </w:p>
        </w:tc>
      </w:tr>
      <w:tr>
        <w:tblPrEx>
          <w:shd w:val="clear" w:color="auto" w:fill="cad1d7"/>
        </w:tblPrEx>
        <w:trPr>
          <w:trHeight w:val="810" w:hRule="atLeast"/>
        </w:trPr>
        <w:tc>
          <w:tcPr>
            <w:tcW w:type="dxa" w:w="4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sz w:val="16"/>
                <w:szCs w:val="16"/>
                <w:shd w:val="nil" w:color="auto" w:fill="auto"/>
              </w:rPr>
            </w:pPr>
          </w:p>
          <w:p>
            <w:pPr>
              <w:pStyle w:val="Body"/>
              <w:spacing w:after="0" w:line="240" w:lineRule="auto"/>
            </w:pPr>
            <w:r>
              <w:rPr>
                <w:sz w:val="16"/>
                <w:szCs w:val="16"/>
                <w:shd w:val="nil" w:color="auto" w:fill="auto"/>
                <w:rtl w:val="0"/>
                <w:lang w:val="en-US"/>
              </w:rPr>
              <w:t>I gyflwyno gwybodaeth iawn i</w:t>
            </w:r>
            <w:r>
              <w:rPr>
                <w:sz w:val="16"/>
                <w:szCs w:val="16"/>
                <w:shd w:val="nil" w:color="auto" w:fill="auto"/>
                <w:rtl w:val="0"/>
                <w:lang w:val="en-US"/>
              </w:rPr>
              <w:t>’</w:t>
            </w:r>
            <w:r>
              <w:rPr>
                <w:sz w:val="16"/>
                <w:szCs w:val="16"/>
                <w:shd w:val="nil" w:color="auto" w:fill="auto"/>
                <w:rtl w:val="0"/>
                <w:lang w:val="en-US"/>
              </w:rPr>
              <w:t>r darllenydd gyda disgrifiadau cryno ond manwl a gan ddefnyddio atodion os yn addas.</w:t>
            </w:r>
            <w:r>
              <w:rPr>
                <w:sz w:val="16"/>
                <w:szCs w:val="16"/>
                <w:shd w:val="nil" w:color="auto" w:fill="auto"/>
              </w:rPr>
            </w:r>
          </w:p>
        </w:tc>
        <w:tc>
          <w:tcPr>
            <w:tcW w:type="dxa" w:w="4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2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 wneud yn si</w:t>
            </w: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2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ŵ</w:t>
            </w: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2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 rydw i wedi eddy h yn unig ar y gwaith sy</w:t>
            </w: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2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2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n berthnasol.</w:t>
            </w:r>
          </w:p>
        </w:tc>
      </w:tr>
      <w:tr>
        <w:tblPrEx>
          <w:shd w:val="clear" w:color="auto" w:fill="cad1d7"/>
        </w:tblPrEx>
        <w:trPr>
          <w:trHeight w:val="1010" w:hRule="atLeast"/>
        </w:trPr>
        <w:tc>
          <w:tcPr>
            <w:tcW w:type="dxa" w:w="4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sz w:val="16"/>
                <w:szCs w:val="16"/>
                <w:shd w:val="nil" w:color="auto" w:fill="auto"/>
              </w:rPr>
            </w:pPr>
            <w:r>
              <w:rPr>
                <w:sz w:val="16"/>
                <w:szCs w:val="16"/>
                <w:rtl w:val="0"/>
                <w:lang w:val="en-US"/>
              </w:rPr>
              <w:t>I ddatblygu eto ar yr arddull academaidd o ysgrifennu (cyfeirnodi a defnyddio berfau cryno addas- Noda Whitehead (2010)</w:t>
            </w:r>
            <w:r>
              <w:rPr>
                <w:sz w:val="16"/>
                <w:szCs w:val="16"/>
                <w:rtl w:val="0"/>
                <w:lang w:val="en-US"/>
              </w:rPr>
              <w:t>…</w:t>
            </w:r>
            <w:r>
              <w:rPr>
                <w:sz w:val="16"/>
                <w:szCs w:val="16"/>
                <w:rtl w:val="0"/>
                <w:lang w:val="en-US"/>
              </w:rPr>
              <w:t>.., Ychwanega Llywodraeth Cymru (2010)</w:t>
            </w:r>
            <w:r>
              <w:rPr>
                <w:sz w:val="16"/>
                <w:szCs w:val="16"/>
                <w:rtl w:val="0"/>
                <w:lang w:val="en-US"/>
              </w:rPr>
              <w:t>…</w:t>
            </w:r>
          </w:p>
          <w:p>
            <w:pPr>
              <w:pStyle w:val="Body"/>
              <w:spacing w:after="0" w:line="240" w:lineRule="auto"/>
            </w:pPr>
            <w:r>
              <w:rPr>
                <w:sz w:val="16"/>
                <w:szCs w:val="16"/>
                <w:shd w:val="nil" w:color="auto" w:fill="auto"/>
              </w:rPr>
            </w:r>
          </w:p>
        </w:tc>
        <w:tc>
          <w:tcPr>
            <w:tcW w:type="dxa" w:w="4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2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Rwyf wedi darllen ar draws fy ngwaith i gwneud yn si</w:t>
            </w: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2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ŵ</w:t>
            </w: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2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 bod dwi wedi gwneud hyn yn gorau fy ngallu.</w:t>
            </w:r>
          </w:p>
        </w:tc>
      </w:tr>
    </w:tbl>
    <w:p>
      <w:pPr>
        <w:pStyle w:val="Body"/>
        <w:widowControl w:val="0"/>
        <w:spacing w:line="240" w:lineRule="auto"/>
        <w:rPr>
          <w:b w:val="1"/>
          <w:bCs w:val="1"/>
        </w:rPr>
      </w:pPr>
    </w:p>
    <w:p>
      <w:pPr>
        <w:pStyle w:val="Body"/>
        <w:rPr>
          <w:sz w:val="16"/>
          <w:szCs w:val="16"/>
        </w:rPr>
      </w:pPr>
    </w:p>
    <w:p>
      <w:pPr>
        <w:pStyle w:val="Body"/>
        <w:rPr>
          <w:sz w:val="16"/>
          <w:szCs w:val="16"/>
        </w:rPr>
      </w:pPr>
    </w:p>
    <w:p>
      <w:pPr>
        <w:pStyle w:val="Body"/>
      </w:pPr>
      <w:r>
        <w:rPr>
          <w:sz w:val="16"/>
          <w:szCs w:val="16"/>
        </w:rPr>
        <w:br w:type="page"/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s-ES_tradnl"/>
        </w:rPr>
        <w:t>Creu proffil cymunedol ar gyfer eich ysgol PAP1. Gan ddefnyddio llenyddiaeth berthnasol, awgrymwch ffyrdd y gallai'r ysgol ddefnyddio ei lleoliad a'i chymuned i gefnogi dysgu disgyblion.</w:t>
      </w:r>
    </w:p>
    <w:p>
      <w:pPr>
        <w:pStyle w:val="Body"/>
        <w:rPr>
          <w:b w:val="1"/>
          <w:bCs w:val="1"/>
        </w:rPr>
      </w:pP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Amcan y prosiect hwn yw darganfod a yw ysgol Y wedi ymrwymo i ddatblygu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amgylchedd dysgu mwy ymatebol ac yn gynhwysol, sydd </w:t>
      </w:r>
      <w:r>
        <w:rPr>
          <w:rFonts w:ascii="Arial" w:hAnsi="Arial" w:hint="default"/>
          <w:sz w:val="22"/>
          <w:szCs w:val="22"/>
          <w:rtl w:val="0"/>
          <w:lang w:val="fr-FR"/>
        </w:rPr>
        <w:t>â’</w:t>
      </w:r>
      <w:r>
        <w:rPr>
          <w:rFonts w:ascii="Arial" w:hAnsi="Arial"/>
          <w:sz w:val="22"/>
          <w:szCs w:val="22"/>
          <w:rtl w:val="0"/>
          <w:lang w:val="de-DE"/>
        </w:rPr>
        <w:t>r gallu i gynnig ar gyfer anghenion amrywiol ei disgyblion. Gallai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ysgol greu awyrgylch dysgu gofalus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annog datblygiad meddyliol, cymdeithasol ac emosiynol trwy ddatblygiad parhaus. Mae integreiddio cymorth arbenigol ar gyfer disgyblion ag anghenion arbennig, gyda ffocws ar iaith a diwylliant Cymraeg, yn hanfodol er mwyn cyflawni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amcan hwn, gan ei fod yn adlewyrchu ymrwymiad yr ysgol i flaenoriaethau addysg cenedlaethol a gwerthoedd lleol. Rhaid inni sicrhau a yw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ysgol wedi gwneud ymdrech gyson i feithrin amgylchedd cydweithredol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nl-NL"/>
        </w:rPr>
        <w:t>n annog staff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 xml:space="preserve">r gymuned ehangach i gymryd rhan yn y broses addysgol.Yn </w:t>
      </w:r>
      <w:r>
        <w:rPr>
          <w:rFonts w:ascii="Arial" w:hAnsi="Arial" w:hint="default"/>
          <w:sz w:val="22"/>
          <w:szCs w:val="22"/>
          <w:rtl w:val="0"/>
        </w:rPr>
        <w:t>ô</w:t>
      </w:r>
      <w:r>
        <w:rPr>
          <w:rFonts w:ascii="Arial" w:hAnsi="Arial"/>
          <w:sz w:val="22"/>
          <w:szCs w:val="22"/>
          <w:rtl w:val="0"/>
          <w:lang w:val="en-US"/>
        </w:rPr>
        <w:t>l canllawiau moesegol Cymdeithas Ymchwil Addysgol Prydain (BERA) ar gyfer ymchwil addysgol, mae Ysgol Y yn rhoi blaenoriaeth uchel i les ei disgyblion, gan sicrhau bod pob ymdrech ymchwil a datblygiad yn parchu hawliau, preifatrwydd a hanghenion unigol y disgyblion (BERA, 2018).</w:t>
      </w:r>
      <w:r>
        <w:rPr>
          <w:rFonts w:ascii="Arial" w:hAnsi="Arial" w:hint="default"/>
          <w:sz w:val="22"/>
          <w:szCs w:val="22"/>
          <w:rtl w:val="0"/>
        </w:rPr>
        <w:t> </w:t>
      </w:r>
    </w:p>
    <w:p>
      <w:pPr>
        <w:pStyle w:val="Default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s-ES_tradnl"/>
        </w:rPr>
        <w:t>Wedi lleoli yn dre hanesyddol yn dre yn Castell Nedd Port Talbot,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sv-SE"/>
        </w:rPr>
        <w:t>r ysgol hon yn gwasanaethu fel canolfan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gymuned leol, gan gynnig cyfleoedd addysgol a chymdeithasol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w disgyblion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u teuluoedd. Gyda phenderfyniad i feithrin amgylchedd maethlon,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 xml:space="preserve">r sefydliad yn cynnig dull holistaidd o ddysgu, gan ganolbwyntio ar ragoriaeth academaidd a datblygiad personol. Mae'r ysgol, sydd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</w:rPr>
        <w:t xml:space="preserve">chysylltiadau dwfn </w:t>
      </w:r>
      <w:r>
        <w:rPr>
          <w:rFonts w:ascii="Arial" w:hAnsi="Arial" w:hint="default"/>
          <w:sz w:val="22"/>
          <w:szCs w:val="22"/>
          <w:rtl w:val="0"/>
        </w:rPr>
        <w:t>â</w:t>
      </w:r>
      <w:r>
        <w:rPr>
          <w:rFonts w:ascii="Arial" w:hAnsi="Arial"/>
          <w:sz w:val="22"/>
          <w:szCs w:val="22"/>
          <w:rtl w:val="0"/>
          <w:lang w:val="en-US"/>
        </w:rPr>
        <w:t>'r gymuned, yn cynnig amrywiaeth o opsiynau addysgol i blant o bob cefndir, gan bwysleisio cyfrifoldeb cymdeithasol, llwyddiant academaidd, a lles cyffredinol. Mae'r proffil hwn yn archwilio athroniaeth addysgol yr ysgol a'i heffaith fuddiol ar fyfyrwyr a'r gymuned yn gyffredinol, gan ddadansoddi'r astudiaethau Estyn diweddaraf, gwefan yr ysgol, a chyllid y cyngor lleol.</w:t>
      </w:r>
      <w:r>
        <w:rPr>
          <w:rFonts w:ascii="Arial" w:hAnsi="Arial" w:hint="default"/>
          <w:sz w:val="22"/>
          <w:szCs w:val="22"/>
          <w:rtl w:val="0"/>
        </w:rPr>
        <w:t> </w:t>
      </w:r>
    </w:p>
    <w:p>
      <w:pPr>
        <w:pStyle w:val="Default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ysgol yn darparu cwricwlwm eang, cywrain sydd wedi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i addasu i anghenion ei disgyblion, gan ystyried anghenion y gymuned leol a blaenoriaethau cenedlaethol.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Cwricwlwm ar gyfer Cymru (2022) a ddatblygwyd gan Lywodraeth Cymru yn rhoi pwyslais cryf ar werth cwricwlwm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heriol yn feddyliol ac yn berthnasol i dwf personol disgyblion. Trwy ddarparu amrywiaeth o gyrsiau, megis iaith a diwylliant Cymraeg,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hanfodol i hunaniaeth yr ysgol a gwerthoedd y gymuned,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s-ES_tradnl"/>
        </w:rPr>
        <w:t>r ysgol hon yn cynnal y syniadau hyn.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Un cydran bwysig o amcanion yr ysgol yw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 xml:space="preserve">r pwyslais ar iaith a diwylliant Cymraeg. Yn ogystal </w:t>
      </w:r>
      <w:r>
        <w:rPr>
          <w:rFonts w:ascii="Arial" w:hAnsi="Arial" w:hint="default"/>
          <w:sz w:val="22"/>
          <w:szCs w:val="22"/>
          <w:rtl w:val="0"/>
          <w:lang w:val="fr-FR"/>
        </w:rPr>
        <w:t>â’</w:t>
      </w:r>
      <w:r>
        <w:rPr>
          <w:rFonts w:ascii="Arial" w:hAnsi="Arial"/>
          <w:sz w:val="22"/>
          <w:szCs w:val="22"/>
          <w:rtl w:val="0"/>
          <w:lang w:val="en-US"/>
        </w:rPr>
        <w:t>i ddysgu fel pwnc, mae Cymraeg yn cael ei gynnwys mewn gweithgareddau dyddiol, gan helpu i hyrwyddo a chadw diwylliant lleol ac yn paratoi disgyblion ar gyfer bywyd mewn cymdeithas ehangach. Er mwyn sicrhau bod disgyblion yn cael eu paratoi i gyfrannu i gymdeithas ddwyieithog, mae hyn yn unol ag amcanion addysg cenedlaethol.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r ysgol yn arbennig o dda wrth helpu disgyblion ag anghenion ychwanegol, yn </w:t>
      </w:r>
      <w:r>
        <w:rPr>
          <w:rFonts w:ascii="Arial" w:hAnsi="Arial" w:hint="default"/>
          <w:sz w:val="22"/>
          <w:szCs w:val="22"/>
          <w:rtl w:val="0"/>
        </w:rPr>
        <w:t>ô</w:t>
      </w:r>
      <w:r>
        <w:rPr>
          <w:rFonts w:ascii="Arial" w:hAnsi="Arial"/>
          <w:sz w:val="22"/>
          <w:szCs w:val="22"/>
          <w:rtl w:val="0"/>
          <w:lang w:val="en-US"/>
        </w:rPr>
        <w:t>l asesiad Estyn. Mae gan bob plentyn y cyfle i ffynnu diolch i ddiwylliant croesawgar yr ysgol, waeth beth yw eu gallu academaidd neu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u problemau emosiynol.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ysgol yn cefnogi disgyblion ag anghenion addysgol arbennig yn effeithiol trwy gyfuno cymorth mewn grwpiau bach, triniaethau wedi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u teilwra, a chydlynu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dynn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</w:rPr>
        <w:t>phroffesiynolion allanol.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de-DE"/>
        </w:rPr>
        <w:t>Ar wah</w:t>
      </w:r>
      <w:r>
        <w:rPr>
          <w:rFonts w:ascii="Arial" w:hAnsi="Arial" w:hint="default"/>
          <w:sz w:val="22"/>
          <w:szCs w:val="22"/>
          <w:rtl w:val="0"/>
        </w:rPr>
        <w:t>â</w:t>
      </w:r>
      <w:r>
        <w:rPr>
          <w:rFonts w:ascii="Arial" w:hAnsi="Arial"/>
          <w:sz w:val="22"/>
          <w:szCs w:val="22"/>
          <w:rtl w:val="0"/>
        </w:rPr>
        <w:t>n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cymorth addysgol,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ysgol yn rhoi llawer o sylw i iechyd emosiynol a chymdeithasol. Mae rhaglen gofal pastoral yr ysgol yn adnabyddus am gynnig amgylchedd diogel ac anogaeth i ddisgyblion lle gallant ffynnu.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cwricwlwm yn cynnwys rhaglenni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cefnogi ehangder a iechyd meddwl, gan helpu disgyblion i oresgyn rhwystrau o fewn a thu allan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ystafell ddosbarth.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Er bod yr ysgol yn gwneud cynnydd gwych, mae rhai meysydd lle gall disgyblion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gymuned gyfan elwa o ddatblygiad ychwanegol. Un maes o bwyslais yw gwella cyfleusterau ar gyfer dysgu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gysylltiedig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n-US"/>
        </w:rPr>
        <w:t>gwaith a addysg galwedigaethol. Ar gyfer disgyblion h</w:t>
      </w:r>
      <w:r>
        <w:rPr>
          <w:rFonts w:ascii="Arial" w:hAnsi="Arial" w:hint="default"/>
          <w:sz w:val="22"/>
          <w:szCs w:val="22"/>
          <w:rtl w:val="0"/>
        </w:rPr>
        <w:t>ŷ</w:t>
      </w:r>
      <w:r>
        <w:rPr>
          <w:rFonts w:ascii="Arial" w:hAnsi="Arial"/>
          <w:sz w:val="22"/>
          <w:szCs w:val="22"/>
          <w:rtl w:val="0"/>
        </w:rPr>
        <w:t>n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 xml:space="preserve">n gallu elwa o brofiad ymarferol a go iawn, gall partneriaethau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de-DE"/>
        </w:rPr>
        <w:t>chwmn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</w:rPr>
        <w:t>au lleol ac addysg uwch gynnig llwybrau mwy cyfeiriadol tuag at yrfa.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 xml:space="preserve">Yn ogystal, gall cynyddu cyfleoedd dysgu awyr agored wella iechyd meddwl a chorfforol y plant. Byddai mwy o addysg awyr agored yn unol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n-US"/>
        </w:rPr>
        <w:t>Deddf Lles Cenedlaethau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Dyfodol (Cymru) 2015 gan Lywodraeth Cymru,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pwysleisio gwerth datblygu amgylcheddau dysgu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cefnogi cynaliadwyedd a iechyd.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Mae adroddiad Estyn yn s</w:t>
      </w:r>
      <w:r>
        <w:rPr>
          <w:rFonts w:ascii="Arial" w:hAnsi="Arial" w:hint="default"/>
          <w:sz w:val="22"/>
          <w:szCs w:val="22"/>
          <w:rtl w:val="0"/>
        </w:rPr>
        <w:t>ô</w:t>
      </w:r>
      <w:r>
        <w:rPr>
          <w:rFonts w:ascii="Arial" w:hAnsi="Arial"/>
          <w:sz w:val="22"/>
          <w:szCs w:val="22"/>
          <w:rtl w:val="0"/>
          <w:lang w:val="en-US"/>
        </w:rPr>
        <w:t>n bod 173 o ddisgyblion rhwng 3 a 11 oed ar gofrestr yr ysgol. Maent wedi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u rhannu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saith dosbarth, un ohonynt yn dosbarth oedran cymysg. Ar gyfartaledd, dros y tri blynedd diwethaf, mae 18% o ddisgyblion wedi bod yn gymwys i dderbyn prydau ysgol am ddim, sydd yn debyg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cyfartaledd cenedlaethol. Mae 23% o ddisgyblion ar gofrestr anghenion addysgol arbennig,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ychydig yn uwch na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nl-NL"/>
        </w:rPr>
        <w:t>r canran genedlaethol o 21%. Tua 62% o ddisgyblion yn dod o gartrefi lle mae Cymraeg yn cael ei siarad. Mae bron pob un yn dod o gefndiroedd Prydain Wyn ac mae dim ond ychydig yn dod o gefndiroedd eraill.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bwysig ystyried bod yr adroddiad Estyn bellach yn hen oherwydd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ysgol yn cael ei harchwilio eto eleni (2025) (Estyn, 2020).</w:t>
      </w:r>
    </w:p>
    <w:p>
      <w:pPr>
        <w:pStyle w:val="Default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s-ES_tradnl"/>
        </w:rPr>
        <w:t>Pan edrychwn ar y wefan Fy Ysgol Leol (Fy Ysgol Leol, Llywodreath Cymru 2023), gallwn weld y ffigurau diweddaraf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w cymharu (2024). Ar hyn o bryd mae 183 o ddisgyblion rhwng 7 a 11 oed yn yr ysgol. Gwelsom fod y nifer o ddisgyblion yn ymgorffori yn yr ysgol wedi cynyddu ychydig ers 2019. Ar hyn o bryd mae 30.9% o ddisgyblion yn derbyn prydau ysgol am ddim, sydd yn debyg i gyfanrwydd y awdurdod lleol, sydd ar 29.7%, ond sydd ychydig yn uwch na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cyfartaledd cenedlaethol sydd ar 22.9%. Unwaith eto,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a-DK"/>
        </w:rPr>
        <w:t>r rhan fwyaf 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nl-NL"/>
        </w:rPr>
        <w:t>r ysgol yn dod o gefndiroedd Prydain Wyn ac mae dim ond 5.3% yn dod o gefndiroedd eraill.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data diweddaraf (2023), gwelsom fod presenoldeb yn sefyll ar 89.6%. Dywedodd dadl gyda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a-DK"/>
        </w:rPr>
        <w:t>r Ysgrifennydd Addysg, Lynne Neagle, fod presenoldeb mewn ysgolion cynradd ar ei isaf erioed oherwydd pandemig COVID-19. (BBC, 2022)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Er mwyn sicrhau bod disgyblion yn llwyddo yn academaidd ac yn bersonol, mae Ysgol Y yn deall pwysigrwydd meithrin perthnasoedd cryf gyda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gymuned rhieni a gofalwyr. Mae cynnwys rhieni a gofalwyr yn hanfodol i ddiwylliant y ysgol oherwydd ei fod yn gwella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berthynas rhwng y cartref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ysgol ac yn meithrin awyrgylch gefnogol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disgyblion.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ysgol yn cydnabod ardaloedd lle mae posibilrwydd o welliant, tra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defnyddio amrywiaeth o dechnegau i gynnal ac atgyfnerthu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cysylltiadau hyn.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Mae cyfathrebu rheolaidd yn strategaeth ymgysylltu hanfodol.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ysgol yn sicrhau bod rhieni yn cael gwybodaeth am ddatblygiad eu plant, gweithgareddau sydd i ddod, a unrhyw faterion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ymwneud </w:t>
      </w:r>
      <w:r>
        <w:rPr>
          <w:rFonts w:ascii="Arial" w:hAnsi="Arial" w:hint="default"/>
          <w:sz w:val="22"/>
          <w:szCs w:val="22"/>
          <w:rtl w:val="0"/>
          <w:lang w:val="fr-FR"/>
        </w:rPr>
        <w:t>â’</w:t>
      </w:r>
      <w:r>
        <w:rPr>
          <w:rFonts w:ascii="Arial" w:hAnsi="Arial"/>
          <w:sz w:val="22"/>
          <w:szCs w:val="22"/>
          <w:rtl w:val="0"/>
        </w:rPr>
        <w:t>r ysgol. Drwy gydol y flwyddyn ysgol, cynhelir cyfarfodydd rheolaidd rhwng rhieni a disgyblion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rhoi cyfle i rieni drafod datblygiad cymdeithasol ac ymadroddol eu plant. Drwy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cyfarfodydd hyn, gall athrawon ddarparu cefnogaeth ac wybodaeth ynghylch sut y gall rhieni helpu eu plant i ddysgu gartref, a fydd yn hanfodol i greu sgwrs dwyffordd rhwng yr ysgol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teuluoedd (Llywodraeth Cymru, 2021). At hynny,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ysgol yn hysbysu rhieni am ddigwyddiadau ysgol a llwyddiannau drwy negeseuon a adnoddau ar-lein.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Trwy weithgareddau ychwanegol fel digwyddiadau chwaraeon, cyfarfodydd cymunedol, a ymgyrchoedd codi arian,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ysgol hefyd yn annog ymgysylltiad rhieni. Trwy annog rhieni i gymryd rhan mewn gweithgareddau 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fath,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r ysgol yn rhoi cyfle iddynt gysylltu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n-US"/>
        </w:rPr>
        <w:t>theuluoedd eraill a staff yr ysgol,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hanfodol ar gyfer datblygu hinsawdd bositif yn yr ysgol (Llywodraeth Cymru, 2015).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Fodd bynnag, gallai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ysgol wneud gwelliannau mewn rhai meysydd o ran cyfranogiad rhieni. Er enghraifft, byddai darparu adnoddau ar gyfer cyfathrebu mewn mwy nag un iaith a chyfarfodydd mwy hyblyg yn gallu sicrhau bod teuluoedd o wahanol gefndiroedd yn teimlo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fwy yn rhan 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r ysgol. Dylai ysgolion leihau rhwystrau i gyfranogiad rhieni, yn enwedig i rieni o gefndiroedd difreintiedig neu rai sydd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</w:rPr>
        <w:t xml:space="preserve">mynediad cyfyngedig i adnoddau, yn </w:t>
      </w:r>
      <w:r>
        <w:rPr>
          <w:rFonts w:ascii="Arial" w:hAnsi="Arial" w:hint="default"/>
          <w:sz w:val="22"/>
          <w:szCs w:val="22"/>
          <w:rtl w:val="0"/>
        </w:rPr>
        <w:t>ô</w:t>
      </w:r>
      <w:r>
        <w:rPr>
          <w:rFonts w:ascii="Arial" w:hAnsi="Arial"/>
          <w:sz w:val="22"/>
          <w:szCs w:val="22"/>
          <w:rtl w:val="0"/>
        </w:rPr>
        <w:t>l Canllawiau Gwella Ysgolion Llywodraeth Cymru (2021). Trwy allgymorth wedi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i dargedu, gallai darparu cymorth i rieni o blant sydd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nl-NL"/>
        </w:rPr>
        <w:t>anghenion addysgol arbennig hefyd gynyddu cyfranogiad (Llywodraeth Cymru, 2017).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Mae myfyrwyr yn cyflawni canlyniadau academaidd a chymdeithasol gwell pan fydd rhieni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cymryd rhan weithredol yn eu haddysg. Oherwydd ei fod yn meithrin agwedd gadarnhaol tuag at ddysgu ac yn cynyddu cymhelliant, mae ymchwil wedi dangos cysylltiad uniongyrchol rhwng cyfranogiad rhieni a gwelliant mewn cyflawniadau disgyblion (Jeynes, 2007). Yn ogystal, mae cydweithio rhwng ysgolion a rhieni yn meithrin cymuned gryfach, mwy cydlynus, a teimlad o gyfrifoldeb ar y cyd (Henderson &amp; Mapp, 2002).</w:t>
      </w:r>
    </w:p>
    <w:p>
      <w:pPr>
        <w:pStyle w:val="Default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Mae Ysgol Y yn deall pwysigrwydd defnyddio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gymdogaeth gyfagos i wella dysgu drwy roi profiadau ymarferol i blant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cysylltu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hyn maen nhw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s-ES_tradnl"/>
        </w:rPr>
        <w:t xml:space="preserve">n ei ddysgu yn y dosbarth </w:t>
      </w:r>
      <w:r>
        <w:rPr>
          <w:rFonts w:ascii="Arial" w:hAnsi="Arial" w:hint="default"/>
          <w:sz w:val="22"/>
          <w:szCs w:val="22"/>
          <w:rtl w:val="0"/>
          <w:lang w:val="fr-FR"/>
        </w:rPr>
        <w:t>â’</w:t>
      </w:r>
      <w:r>
        <w:rPr>
          <w:rFonts w:ascii="Arial" w:hAnsi="Arial"/>
          <w:sz w:val="22"/>
          <w:szCs w:val="22"/>
          <w:rtl w:val="0"/>
        </w:rPr>
        <w:t xml:space="preserve">u hamgylchedd. Yn ogystal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</w:rPr>
        <w:t>rhoi bywyd i bynciau,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dull hwn yn hyrwyddo teimlad cryfach o gymuned a pherthyn. Mae Theori Systemau Ecologaeth Bronfenbrenner a nifer o bolis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</w:rPr>
        <w:t>au addysg Llywodraeth Cymru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pwysleisio pwysigrwydd dysgu sydd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</w:rPr>
        <w:t>chyd-destun, yn cefnogi defnyddio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ardal leol fel adnodd addysgol.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Mae taith ysgol a gweithgareddau awyr agored yn ddau 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s-ES_tradnl"/>
        </w:rPr>
        <w:t>r prif ffyrdd y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ysgol yn ymgorffori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gymuned yn y cwricwlwm. Drwy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 xml:space="preserve">r teithiau hyn, mae disgyblion yn gallu ymchwilio i lefydd hanesyddol lleol, ardaloedd naturiol, a henebion diwylliannol. Er enghraifft, gellid gwella gwybodaeth disgyblion o ddaearyddiaeth, hanes, a gwyddoniaeth amgylcheddol drwy deithiau ysgol i safleoedd hanesyddol lleol neu deithiau cerdded mewn natur. </w:t>
      </w:r>
      <w:r>
        <w:rPr>
          <w:rFonts w:ascii="Arial" w:hAnsi="Arial" w:hint="default"/>
          <w:sz w:val="22"/>
          <w:szCs w:val="22"/>
          <w:rtl w:val="1"/>
          <w:lang w:val="ar-SA" w:bidi="ar-SA"/>
        </w:rPr>
        <w:t>“</w:t>
      </w:r>
      <w:r>
        <w:rPr>
          <w:rFonts w:ascii="Arial" w:hAnsi="Arial"/>
          <w:sz w:val="22"/>
          <w:szCs w:val="22"/>
          <w:rtl w:val="0"/>
          <w:lang w:val="en-US"/>
        </w:rPr>
        <w:t>Learning should not be confined to the classroom but should take place in a variety of environments,</w:t>
      </w:r>
      <w:r>
        <w:rPr>
          <w:rFonts w:ascii="Arial" w:hAnsi="Arial" w:hint="default"/>
          <w:sz w:val="22"/>
          <w:szCs w:val="22"/>
          <w:rtl w:val="0"/>
        </w:rPr>
        <w:t xml:space="preserve">” </w:t>
      </w:r>
      <w:r>
        <w:rPr>
          <w:rFonts w:ascii="Arial" w:hAnsi="Arial"/>
          <w:sz w:val="22"/>
          <w:szCs w:val="22"/>
          <w:rtl w:val="0"/>
        </w:rPr>
        <w:t xml:space="preserve">yn </w:t>
      </w:r>
      <w:r>
        <w:rPr>
          <w:rFonts w:ascii="Arial" w:hAnsi="Arial" w:hint="default"/>
          <w:sz w:val="22"/>
          <w:szCs w:val="22"/>
          <w:rtl w:val="0"/>
        </w:rPr>
        <w:t>ô</w:t>
      </w:r>
      <w:r>
        <w:rPr>
          <w:rFonts w:ascii="Arial" w:hAnsi="Arial"/>
          <w:sz w:val="22"/>
          <w:szCs w:val="22"/>
          <w:rtl w:val="0"/>
        </w:rPr>
        <w:t>l Cwricwlwm Cymru Llywodraeth Cymru (2022),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pwysleisio pwysigrwydd dysgu trwy brofiad. Mae hyn yn cael ei gefnogi gan ddysgu awyr agored a dysgu wedi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pt-PT"/>
        </w:rPr>
        <w:t>i seilio ar le,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a-DK"/>
        </w:rPr>
        <w:t>n cynnig profiadau ymarferol i fyfyrwyr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atgyfnerthu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cysyniadau a ddysgwyd yn y dosbarth, gan arwain at well dealltwriaeth ac ymgysylltiad.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Trwy gynnwys rhieni, awdurdodau lleol, a sefydliadau yn y broses addysgol,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ysgol hefyd yn elwa 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 xml:space="preserve">r gymuned leol. Gall disgyblion ddysgu gan broffesiynolion sydd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</w:rPr>
        <w:t>phrofiad ymarferol drwy bartneru gyda busnesau lleol neu wahodd aelodau 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gymuned i mewn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dosbarth. Gall disgyblion gymryd rhan mewn mentrau ychwanegol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gysylltiedig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n-US"/>
        </w:rPr>
        <w:t>chyfrifoldeb cymdeithasol, cynaliadwyedd, neu faterion lleol fel rhan 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 xml:space="preserve">u cyfranogiad yn y gymuned. Er enghraifft, gallai disgyblion gymryd rhan mewn digwyddiadau codi arian ar gyfer prosiectau cymunedol neu gydweithio ar fentrau cadwraeth gyda sefydliadau amgylcheddol lleol. Yn ogystal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n-US"/>
        </w:rPr>
        <w:t>gwella dysgu disgyblion,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r mathau hyn o weithgareddau yn cryfhau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cysylltiadau rhwng yr ysgol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gymuned ehangach, gan amlygu pwysigrwydd cyfrifoldeb ar y cyd yn addysg (Llywodraeth Cymru, 2015).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Er bod defnydd yr ysgol 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ardal yn werthfawr, mae yna le i ddatblygu ymhellach. Un argymhelliad fyddai cynyddu cydweithrediadau gyda chwmn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</w:rPr>
        <w:t>au lleol, sefydliadau academaidd, a sefydliadau diwylliannol er mwyn darparu mwy o gyfleon dysgu arbenigol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disgyblion. Gallai cyfleoedd dysgu galwedigaethol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gysylltiedig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s-ES_tradnl"/>
        </w:rPr>
        <w:t>busnesau rhanbarthol, fel y celfyddydau creadigol, lletygarwch, neu ffermio, fod yn fanteisiol i ddisgyblion blwyddyn derfynol.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 xml:space="preserve">r Cwricwlwm Cenedlaethol ar gyfer Cymru (2015) yn annog ysgolion i gysylltu dysgu academaidd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n-US"/>
        </w:rPr>
        <w:t xml:space="preserve">chymwysiadau ymarferol, a gallai cydweithrediad agosach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s-ES_tradnl"/>
        </w:rPr>
        <w:t>busnesau lleol ddarparu sgiliau i ddisgyblion a fydd yn gwella eu siawns o ddod o hyd i swyddi yn y dyfodol.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Yn ogystal,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hanfodol cynyddu mynediad pob plentyn at ddysgu awyr agored, waeth beth yw eu statws economaidd. I sicrhau bod pob disgybl yn cael y cyfle i ddysgu y tu allan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ystafell ddosbarth, dylai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ysgol ystyried creu rhaglen ddysgu awyr agored systematig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cael ei hymgorffori ym mhob maes pwnc, o wyddoniaeth i gelf. Byddai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 xml:space="preserve">r strategaeth hon yn gydnaws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</w:rPr>
        <w:t>Deddf Lles Generasiynau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a-DK"/>
        </w:rPr>
        <w:t>r Dyfodol (Cymru) 2015,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pwysleisio pwysigrwydd dysgu mewn modd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s-ES_tradnl"/>
        </w:rPr>
        <w:t xml:space="preserve">n meithrin cynaliadwyedd a lles ar gyfer y dyfodol. Yn ogystal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n-US"/>
        </w:rPr>
        <w:t>meithrin datblygiad academaidd, mae addysg awyr agored yn gwella iechyd corfforol a meddyliol disgyblion ac yn eu paratoi gyda sgiliau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goroesi trwy gydol eu bywyd (Beames et al., 2012).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Mae strategaeth yr ysgol ar gyfer integreiddio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s-ES_tradnl"/>
        </w:rPr>
        <w:t>r amgylchedd lleol i ddysgu yn cael ei chefnogi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n feddygol gan Ddamcaniaeth Systemau Ecologaeth Bronfenbrenner. Yn </w:t>
      </w:r>
      <w:r>
        <w:rPr>
          <w:rFonts w:ascii="Arial" w:hAnsi="Arial" w:hint="default"/>
          <w:sz w:val="22"/>
          <w:szCs w:val="22"/>
          <w:rtl w:val="0"/>
        </w:rPr>
        <w:t>ô</w:t>
      </w:r>
      <w:r>
        <w:rPr>
          <w:rFonts w:ascii="Arial" w:hAnsi="Arial"/>
          <w:sz w:val="22"/>
          <w:szCs w:val="22"/>
          <w:rtl w:val="0"/>
          <w:lang w:val="de-DE"/>
        </w:rPr>
        <w:t>l Bronfenbrenner, mae rhyngweithiadau rhwng gwahanol systemau amgylcheddol</w:t>
      </w:r>
      <w:r>
        <w:rPr>
          <w:rFonts w:ascii="Arial" w:hAnsi="Arial" w:hint="default"/>
          <w:sz w:val="22"/>
          <w:szCs w:val="22"/>
          <w:rtl w:val="0"/>
          <w:lang w:val="en-US"/>
        </w:rPr>
        <w:t>—</w:t>
      </w:r>
      <w:r>
        <w:rPr>
          <w:rFonts w:ascii="Arial" w:hAnsi="Arial"/>
          <w:sz w:val="22"/>
          <w:szCs w:val="22"/>
          <w:rtl w:val="0"/>
          <w:lang w:val="en-US"/>
        </w:rPr>
        <w:t>from y gymdogaeth leol (microsystem) i ddylanwadau cymdeithasol mwy (macrosystem)</w:t>
      </w:r>
      <w:r>
        <w:rPr>
          <w:rFonts w:ascii="Arial" w:hAnsi="Arial" w:hint="default"/>
          <w:sz w:val="22"/>
          <w:szCs w:val="22"/>
          <w:rtl w:val="0"/>
          <w:lang w:val="en-US"/>
        </w:rPr>
        <w:t>—</w:t>
      </w:r>
      <w:r>
        <w:rPr>
          <w:rFonts w:ascii="Arial" w:hAnsi="Arial"/>
          <w:sz w:val="22"/>
          <w:szCs w:val="22"/>
          <w:rtl w:val="0"/>
          <w:lang w:val="en-US"/>
        </w:rPr>
        <w:t>yn cael effaith ar ddatblygiad plentyn. Mae microsystem plentyn yn cael ei ddylanwadu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s-ES_tradnl"/>
        </w:rPr>
        <w:t>n uniongyrchol gan ei amgylchedd lleol,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cynnig profiadau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fformiwlo eu twf. Mae amgylchedd yr ysgol yn rhyngweithio gyda chyd-destunau amgylcheddol y disgyblion trwy deithiau maes, cyfranogiad yn y gymuned, a dysgu awyr agored,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amlygu pa mor bwysig yw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cysylltiadau hyn wrth feithrin dysgu a datblygiad personol.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 xml:space="preserve">Gall yr ysgol wella profiadau addysgol disgyblion ymhellach drwy ymestyn cyfleon ar gyfer dysgu trwy brofiad a chryfhau ei chysylltiadau </w:t>
      </w:r>
      <w:r>
        <w:rPr>
          <w:rFonts w:ascii="Arial" w:hAnsi="Arial" w:hint="default"/>
          <w:sz w:val="22"/>
          <w:szCs w:val="22"/>
          <w:rtl w:val="0"/>
          <w:lang w:val="fr-FR"/>
        </w:rPr>
        <w:t>â’</w:t>
      </w:r>
      <w:r>
        <w:rPr>
          <w:rFonts w:ascii="Arial" w:hAnsi="Arial"/>
          <w:sz w:val="22"/>
          <w:szCs w:val="22"/>
          <w:rtl w:val="0"/>
        </w:rPr>
        <w:t xml:space="preserve">r gymuned. Yn ogystal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it-IT"/>
        </w:rPr>
        <w:t>gwella perfformiad academaidd,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dull hwn yn hyrwyddo cyfrifoldeb cymdeithasol a lles, dau agwedd allweddol ar ddatblygiad hollgynhwysol sydd wedi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u cefnogi gan bolis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</w:rPr>
        <w:t>au Llywodraeth Cymru a theori Bronfenbrenner.</w:t>
      </w:r>
    </w:p>
    <w:p>
      <w:pPr>
        <w:pStyle w:val="Default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 ganlyniad, gallai ysgol Y sefydlu sianelau cyfathrebu rheolaidd ac agored, fel gweithdai i rieni, cylchgronau newyddion, a chynadleddau rhieni-a-thiwtor, er mwyn gwella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r cysylltiad </w:t>
      </w:r>
      <w:r>
        <w:rPr>
          <w:rFonts w:ascii="Arial" w:hAnsi="Arial" w:hint="default"/>
          <w:sz w:val="22"/>
          <w:szCs w:val="22"/>
          <w:rtl w:val="0"/>
          <w:lang w:val="fr-FR"/>
        </w:rPr>
        <w:t>â’</w:t>
      </w:r>
      <w:r>
        <w:rPr>
          <w:rFonts w:ascii="Arial" w:hAnsi="Arial"/>
          <w:sz w:val="22"/>
          <w:szCs w:val="22"/>
          <w:rtl w:val="0"/>
          <w:lang w:val="it-IT"/>
        </w:rPr>
        <w:t>r gymuned rieni a gofal. Gallai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berthynas rhwng yr ysgol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gymuned ehangach gael ei gwella drwy annog rhieni i gymryd rhan mewn gweithgareddau ysgol, prosesau penderfynu, a chyfleoedd gwirfoddoli. Yn ogystal, gallai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r ysgol gynnig mwy o gyfleusterau i rieni gymryd rhan mewn addysg eu plant, gan gynnwys clybiau gwaith cartref neu weithgareddau addysg i deuluoedd. Tacteg arall llwyddiannus yw defnyddio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ardal leol gyfagos fel adnodd dysgu. Gallai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ysgol gydweithredu gyda chwmn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  <w:lang w:val="en-US"/>
        </w:rPr>
        <w:t>au lleol, sefydliadau diwylliannol, a pharciau i gynnig cyfleoedd dysgu ymarferol a phrofiadol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n ehangu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 xml:space="preserve">r cwricwlwm. Yn ogystal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n-US"/>
        </w:rPr>
        <w:t xml:space="preserve">gwella dysgu academaidd, byddai ymweliadau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s-ES_tradnl"/>
        </w:rPr>
        <w:t xml:space="preserve">safleoedd, prosiectau hanes lleol, a ymweliadau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s-ES_tradnl"/>
        </w:rPr>
        <w:t xml:space="preserve">sefydliadau cymdogol yn cryfhau teimlad y disgyblion o gysylltiadau </w:t>
      </w:r>
      <w:r>
        <w:rPr>
          <w:rFonts w:ascii="Arial" w:hAnsi="Arial" w:hint="default"/>
          <w:sz w:val="22"/>
          <w:szCs w:val="22"/>
          <w:rtl w:val="0"/>
          <w:lang w:val="fr-FR"/>
        </w:rPr>
        <w:t>â’</w:t>
      </w:r>
      <w:r>
        <w:rPr>
          <w:rFonts w:ascii="Arial" w:hAnsi="Arial"/>
          <w:sz w:val="22"/>
          <w:szCs w:val="22"/>
          <w:rtl w:val="0"/>
        </w:rPr>
        <w:t>r gymuned. Gallai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strategaeth hon gefnogi amcanion dysgu mwy cyffredinol wrth hyrwyddo balchder yn eu hetifeddiaeth leol.</w:t>
      </w:r>
    </w:p>
    <w:p>
      <w:pPr>
        <w:pStyle w:val="Default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Default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Default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pt-PT"/>
        </w:rPr>
        <w:t>Cyfeiriadau: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Henderson, A.T. &amp; Mapp, K.L., 2002. Wave New o Dystiolaeth: Effaith Cysylltiadau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Ysgol, Teulu, a Chymuned ar Gyflawniad Myfyrwyr. Southwest Educational Development Laboratory.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Jeynes, W.H., 2007. Y berthynas rhwng cyfranogiad rhieni a chyflawniad academaidd: Dadansoddiad meta. Adolygiad Seicoleg Addysgol, 19(3), t. 235-252.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Llywodraeth Cymru, 2015. Deddf Llesiant Cenedlaethau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pt-PT"/>
        </w:rPr>
        <w:t>r Dyfodol (Cymru) 2015. [ar-lein] Ar gael yn:</w: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begin" w:fldLock="0"/>
      </w:r>
      <w:r>
        <w:rPr>
          <w:rStyle w:val="Hyperlink.0"/>
          <w:rFonts w:ascii="Arial" w:cs="Arial" w:hAnsi="Arial" w:eastAsia="Arial"/>
          <w:sz w:val="22"/>
          <w:szCs w:val="22"/>
        </w:rPr>
        <w:instrText xml:space="preserve"> HYPERLINK "https://gov.wales/"</w:instrTex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separate" w:fldLock="0"/>
      </w:r>
      <w:r>
        <w:rPr>
          <w:rStyle w:val="Hyperlink.0"/>
          <w:rFonts w:ascii="Arial" w:hAnsi="Arial"/>
          <w:sz w:val="22"/>
          <w:szCs w:val="22"/>
          <w:rtl w:val="0"/>
        </w:rPr>
        <w:t xml:space="preserve"> </w:t>
      </w:r>
      <w:r>
        <w:rPr>
          <w:rStyle w:val="None"/>
          <w:rFonts w:ascii="Arial" w:hAnsi="Arial"/>
          <w:outline w:val="0"/>
          <w:color w:val="1154cc"/>
          <w:sz w:val="22"/>
          <w:szCs w:val="22"/>
          <w:u w:val="single" w:color="1154cc"/>
          <w:rtl w:val="0"/>
          <w:lang w:val="en-US"/>
          <w14:textFill>
            <w14:solidFill>
              <w14:srgbClr w14:val="1155CC"/>
            </w14:solidFill>
          </w14:textFill>
        </w:rPr>
        <w:t>https://gov.wales</w:t>
      </w:r>
      <w:r>
        <w:rPr>
          <w:rFonts w:ascii="Arial" w:cs="Arial" w:hAnsi="Arial" w:eastAsia="Arial"/>
          <w:sz w:val="22"/>
          <w:szCs w:val="22"/>
        </w:rPr>
        <w:fldChar w:fldCharType="end" w:fldLock="0"/>
      </w:r>
      <w:r>
        <w:rPr>
          <w:rFonts w:ascii="Arial" w:hAnsi="Arial"/>
          <w:sz w:val="22"/>
          <w:szCs w:val="22"/>
          <w:rtl w:val="0"/>
        </w:rPr>
        <w:t xml:space="preserve"> [Cyrchwyd 3 Ionawr 2025].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Llywodraeth Cymru, 2017. Dysgu yn y Cartref ac yn yr Ysgol: Canllawiau ar gyfer Ysgolion a Rhieni. [ar-lein] Ar gael yn:</w: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begin" w:fldLock="0"/>
      </w:r>
      <w:r>
        <w:rPr>
          <w:rStyle w:val="Hyperlink.0"/>
          <w:rFonts w:ascii="Arial" w:cs="Arial" w:hAnsi="Arial" w:eastAsia="Arial"/>
          <w:sz w:val="22"/>
          <w:szCs w:val="22"/>
        </w:rPr>
        <w:instrText xml:space="preserve"> HYPERLINK "https://gov.wales/"</w:instrTex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separate" w:fldLock="0"/>
      </w:r>
      <w:r>
        <w:rPr>
          <w:rStyle w:val="Hyperlink.0"/>
          <w:rFonts w:ascii="Arial" w:hAnsi="Arial"/>
          <w:sz w:val="22"/>
          <w:szCs w:val="22"/>
          <w:rtl w:val="0"/>
        </w:rPr>
        <w:t xml:space="preserve"> </w:t>
      </w:r>
      <w:r>
        <w:rPr>
          <w:rStyle w:val="None"/>
          <w:rFonts w:ascii="Arial" w:hAnsi="Arial"/>
          <w:outline w:val="0"/>
          <w:color w:val="1154cc"/>
          <w:sz w:val="22"/>
          <w:szCs w:val="22"/>
          <w:u w:val="single" w:color="1154cc"/>
          <w:rtl w:val="0"/>
          <w:lang w:val="en-US"/>
          <w14:textFill>
            <w14:solidFill>
              <w14:srgbClr w14:val="1155CC"/>
            </w14:solidFill>
          </w14:textFill>
        </w:rPr>
        <w:t>https://gov.wales</w:t>
      </w:r>
      <w:r>
        <w:rPr>
          <w:rFonts w:ascii="Arial" w:cs="Arial" w:hAnsi="Arial" w:eastAsia="Arial"/>
          <w:sz w:val="22"/>
          <w:szCs w:val="22"/>
        </w:rPr>
        <w:fldChar w:fldCharType="end" w:fldLock="0"/>
      </w:r>
      <w:r>
        <w:rPr>
          <w:rFonts w:ascii="Arial" w:hAnsi="Arial"/>
          <w:sz w:val="22"/>
          <w:szCs w:val="22"/>
          <w:rtl w:val="0"/>
        </w:rPr>
        <w:t xml:space="preserve"> [Cyrchwyd 2 Ionawr 2025].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Llywodraeth Cymru, 2021. Canllawiau ar gyfer Gwella Ysgolion. [ar-lein] Ar gael yn:</w: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begin" w:fldLock="0"/>
      </w:r>
      <w:r>
        <w:rPr>
          <w:rStyle w:val="Hyperlink.0"/>
          <w:rFonts w:ascii="Arial" w:cs="Arial" w:hAnsi="Arial" w:eastAsia="Arial"/>
          <w:sz w:val="22"/>
          <w:szCs w:val="22"/>
        </w:rPr>
        <w:instrText xml:space="preserve"> HYPERLINK "https://gov.wales/"</w:instrTex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separate" w:fldLock="0"/>
      </w:r>
      <w:r>
        <w:rPr>
          <w:rStyle w:val="Hyperlink.0"/>
          <w:rFonts w:ascii="Arial" w:hAnsi="Arial"/>
          <w:sz w:val="22"/>
          <w:szCs w:val="22"/>
          <w:rtl w:val="0"/>
        </w:rPr>
        <w:t xml:space="preserve"> </w:t>
      </w:r>
      <w:r>
        <w:rPr>
          <w:rStyle w:val="None"/>
          <w:rFonts w:ascii="Arial" w:hAnsi="Arial"/>
          <w:outline w:val="0"/>
          <w:color w:val="1154cc"/>
          <w:sz w:val="22"/>
          <w:szCs w:val="22"/>
          <w:u w:val="single" w:color="1154cc"/>
          <w:rtl w:val="0"/>
          <w:lang w:val="en-US"/>
          <w14:textFill>
            <w14:solidFill>
              <w14:srgbClr w14:val="1155CC"/>
            </w14:solidFill>
          </w14:textFill>
        </w:rPr>
        <w:t>https://gov.wales</w:t>
      </w:r>
      <w:r>
        <w:rPr>
          <w:rFonts w:ascii="Arial" w:cs="Arial" w:hAnsi="Arial" w:eastAsia="Arial"/>
          <w:sz w:val="22"/>
          <w:szCs w:val="22"/>
        </w:rPr>
        <w:fldChar w:fldCharType="end" w:fldLock="0"/>
      </w:r>
      <w:r>
        <w:rPr>
          <w:rFonts w:ascii="Arial" w:hAnsi="Arial"/>
          <w:sz w:val="22"/>
          <w:szCs w:val="22"/>
          <w:rtl w:val="0"/>
        </w:rPr>
        <w:t xml:space="preserve"> [Cyrchwyd 3 Ionawr 2025].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it-IT"/>
        </w:rPr>
        <w:t>Beames, S., Higgins, P. &amp; Nicol, R., 2012. Dysgu y Tu Allan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Ystafell Ddosbarth: Theori a Chanllawiau ar gyfer Ymarfer. Routledge.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Bronfenbrenner, U., 1979. Ecoleg Datblygiad Dynol: Arbrofion gan Natur a Dylunio. Prifysgol Harvard.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Llywodraeth Cymru, 2015. Cwricwlwm Cenedlaethol Cymru. [ar-lein] Ar gael yn:</w: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begin" w:fldLock="0"/>
      </w:r>
      <w:r>
        <w:rPr>
          <w:rStyle w:val="Hyperlink.0"/>
          <w:rFonts w:ascii="Arial" w:cs="Arial" w:hAnsi="Arial" w:eastAsia="Arial"/>
          <w:sz w:val="22"/>
          <w:szCs w:val="22"/>
        </w:rPr>
        <w:instrText xml:space="preserve"> HYPERLINK "https://gov.wales/"</w:instrTex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separate" w:fldLock="0"/>
      </w:r>
      <w:r>
        <w:rPr>
          <w:rStyle w:val="Hyperlink.0"/>
          <w:rFonts w:ascii="Arial" w:hAnsi="Arial"/>
          <w:sz w:val="22"/>
          <w:szCs w:val="22"/>
          <w:rtl w:val="0"/>
        </w:rPr>
        <w:t xml:space="preserve"> </w:t>
      </w:r>
      <w:r>
        <w:rPr>
          <w:rStyle w:val="None"/>
          <w:rFonts w:ascii="Arial" w:hAnsi="Arial"/>
          <w:outline w:val="0"/>
          <w:color w:val="1154cc"/>
          <w:sz w:val="22"/>
          <w:szCs w:val="22"/>
          <w:u w:val="single" w:color="1154cc"/>
          <w:rtl w:val="0"/>
          <w:lang w:val="en-US"/>
          <w14:textFill>
            <w14:solidFill>
              <w14:srgbClr w14:val="1155CC"/>
            </w14:solidFill>
          </w14:textFill>
        </w:rPr>
        <w:t>https://gov.wales</w:t>
      </w:r>
      <w:r>
        <w:rPr>
          <w:rFonts w:ascii="Arial" w:cs="Arial" w:hAnsi="Arial" w:eastAsia="Arial"/>
          <w:sz w:val="22"/>
          <w:szCs w:val="22"/>
        </w:rPr>
        <w:fldChar w:fldCharType="end" w:fldLock="0"/>
      </w:r>
      <w:r>
        <w:rPr>
          <w:rFonts w:ascii="Arial" w:hAnsi="Arial"/>
          <w:sz w:val="22"/>
          <w:szCs w:val="22"/>
          <w:rtl w:val="0"/>
        </w:rPr>
        <w:t xml:space="preserve"> [Cyrchwyd 3 Ionawr 2025].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Llywodraeth Cymru, 2017. Dysgu yn y Cartref ac yn yr Ysgol: Canllawiau ar gyfer Ysgolion a Rhieni. [ar-lein] Ar gael yn:</w: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begin" w:fldLock="0"/>
      </w:r>
      <w:r>
        <w:rPr>
          <w:rStyle w:val="Hyperlink.0"/>
          <w:rFonts w:ascii="Arial" w:cs="Arial" w:hAnsi="Arial" w:eastAsia="Arial"/>
          <w:sz w:val="22"/>
          <w:szCs w:val="22"/>
        </w:rPr>
        <w:instrText xml:space="preserve"> HYPERLINK "https://gov.wales/"</w:instrTex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separate" w:fldLock="0"/>
      </w:r>
      <w:r>
        <w:rPr>
          <w:rStyle w:val="Hyperlink.0"/>
          <w:rFonts w:ascii="Arial" w:hAnsi="Arial"/>
          <w:sz w:val="22"/>
          <w:szCs w:val="22"/>
          <w:rtl w:val="0"/>
        </w:rPr>
        <w:t xml:space="preserve"> </w:t>
      </w:r>
      <w:r>
        <w:rPr>
          <w:rStyle w:val="None"/>
          <w:rFonts w:ascii="Arial" w:hAnsi="Arial"/>
          <w:outline w:val="0"/>
          <w:color w:val="1154cc"/>
          <w:sz w:val="22"/>
          <w:szCs w:val="22"/>
          <w:u w:val="single" w:color="1154cc"/>
          <w:rtl w:val="0"/>
          <w:lang w:val="en-US"/>
          <w14:textFill>
            <w14:solidFill>
              <w14:srgbClr w14:val="1155CC"/>
            </w14:solidFill>
          </w14:textFill>
        </w:rPr>
        <w:t>https://gov.wales</w:t>
      </w:r>
      <w:r>
        <w:rPr>
          <w:rFonts w:ascii="Arial" w:cs="Arial" w:hAnsi="Arial" w:eastAsia="Arial"/>
          <w:sz w:val="22"/>
          <w:szCs w:val="22"/>
        </w:rPr>
        <w:fldChar w:fldCharType="end" w:fldLock="0"/>
      </w:r>
      <w:r>
        <w:rPr>
          <w:rFonts w:ascii="Arial" w:hAnsi="Arial"/>
          <w:sz w:val="22"/>
          <w:szCs w:val="22"/>
          <w:rtl w:val="0"/>
        </w:rPr>
        <w:t xml:space="preserve"> [Cyrchwyd 2 Ionawr 2025].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Llywodraeth Cymru, 2022. Cwricwlwm ar gyfer Cymru 2022. [ar-lein] Ar gael yn:</w: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begin" w:fldLock="0"/>
      </w:r>
      <w:r>
        <w:rPr>
          <w:rStyle w:val="Hyperlink.0"/>
          <w:rFonts w:ascii="Arial" w:cs="Arial" w:hAnsi="Arial" w:eastAsia="Arial"/>
          <w:sz w:val="22"/>
          <w:szCs w:val="22"/>
        </w:rPr>
        <w:instrText xml:space="preserve"> HYPERLINK "https://gov.wales/"</w:instrTex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separate" w:fldLock="0"/>
      </w:r>
      <w:r>
        <w:rPr>
          <w:rStyle w:val="Hyperlink.0"/>
          <w:rFonts w:ascii="Arial" w:hAnsi="Arial"/>
          <w:sz w:val="22"/>
          <w:szCs w:val="22"/>
          <w:rtl w:val="0"/>
        </w:rPr>
        <w:t xml:space="preserve"> </w:t>
      </w:r>
      <w:r>
        <w:rPr>
          <w:rStyle w:val="None"/>
          <w:rFonts w:ascii="Arial" w:hAnsi="Arial"/>
          <w:outline w:val="0"/>
          <w:color w:val="1154cc"/>
          <w:sz w:val="22"/>
          <w:szCs w:val="22"/>
          <w:u w:val="single" w:color="1154cc"/>
          <w:rtl w:val="0"/>
          <w:lang w:val="en-US"/>
          <w14:textFill>
            <w14:solidFill>
              <w14:srgbClr w14:val="1155CC"/>
            </w14:solidFill>
          </w14:textFill>
        </w:rPr>
        <w:t>https://gov.wales</w:t>
      </w:r>
      <w:r>
        <w:rPr>
          <w:rFonts w:ascii="Arial" w:cs="Arial" w:hAnsi="Arial" w:eastAsia="Arial"/>
          <w:sz w:val="22"/>
          <w:szCs w:val="22"/>
        </w:rPr>
        <w:fldChar w:fldCharType="end" w:fldLock="0"/>
      </w:r>
      <w:r>
        <w:rPr>
          <w:rFonts w:ascii="Arial" w:hAnsi="Arial"/>
          <w:sz w:val="22"/>
          <w:szCs w:val="22"/>
          <w:rtl w:val="0"/>
        </w:rPr>
        <w:t xml:space="preserve"> [Cyrchwyd 4 Ionawr 2025].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Llywodraeth Cymru, 2015. Deddf Llesiant Cenedlaethau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pt-PT"/>
        </w:rPr>
        <w:t>r Dyfodol (Cymru) 2015. [ar-lein] Ar gael yn:</w: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begin" w:fldLock="0"/>
      </w:r>
      <w:r>
        <w:rPr>
          <w:rStyle w:val="Hyperlink.0"/>
          <w:rFonts w:ascii="Arial" w:cs="Arial" w:hAnsi="Arial" w:eastAsia="Arial"/>
          <w:sz w:val="22"/>
          <w:szCs w:val="22"/>
        </w:rPr>
        <w:instrText xml:space="preserve"> HYPERLINK "https://gov.wales/"</w:instrTex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separate" w:fldLock="0"/>
      </w:r>
      <w:r>
        <w:rPr>
          <w:rStyle w:val="Hyperlink.0"/>
          <w:rFonts w:ascii="Arial" w:hAnsi="Arial"/>
          <w:sz w:val="22"/>
          <w:szCs w:val="22"/>
          <w:rtl w:val="0"/>
        </w:rPr>
        <w:t xml:space="preserve"> </w:t>
      </w:r>
      <w:r>
        <w:rPr>
          <w:rStyle w:val="None"/>
          <w:rFonts w:ascii="Arial" w:hAnsi="Arial"/>
          <w:outline w:val="0"/>
          <w:color w:val="1154cc"/>
          <w:sz w:val="22"/>
          <w:szCs w:val="22"/>
          <w:u w:val="single" w:color="1154cc"/>
          <w:rtl w:val="0"/>
          <w:lang w:val="en-US"/>
          <w14:textFill>
            <w14:solidFill>
              <w14:srgbClr w14:val="1155CC"/>
            </w14:solidFill>
          </w14:textFill>
        </w:rPr>
        <w:t>https://gov.wales</w:t>
      </w:r>
      <w:r>
        <w:rPr>
          <w:rFonts w:ascii="Arial" w:cs="Arial" w:hAnsi="Arial" w:eastAsia="Arial"/>
          <w:sz w:val="22"/>
          <w:szCs w:val="22"/>
        </w:rPr>
        <w:fldChar w:fldCharType="end" w:fldLock="0"/>
      </w:r>
      <w:r>
        <w:rPr>
          <w:rFonts w:ascii="Arial" w:hAnsi="Arial"/>
          <w:sz w:val="22"/>
          <w:szCs w:val="22"/>
          <w:rtl w:val="0"/>
        </w:rPr>
        <w:t xml:space="preserve"> [Cyrchwyd 3 Ionawr 2025].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Estyn, 2020. Adroddiad arolygu: Ysgol Y. [Ar-Lein] Ar gael yn: [TYNNU] [Cyrchwyd 4 Ionawr 2025]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Fy Ysgol Leol, Llywodreath Cymru 2023. Ysgol Y. [Ar-lein] Ar gael yn: [TYNNU] [Cyrchwyd 3 Ionawr 2025]</w:t>
      </w:r>
    </w:p>
    <w:p>
      <w:pPr>
        <w:pStyle w:val="Default"/>
        <w:suppressAutoHyphens w:val="1"/>
        <w:spacing w:before="0" w:after="320" w:line="240" w:lineRule="auto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BBC, 2022. Episode title. [Ar-Lein] BBC iPlayer Ar gael yn:</w: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begin" w:fldLock="0"/>
      </w:r>
      <w:r>
        <w:rPr>
          <w:rStyle w:val="Hyperlink.0"/>
          <w:rFonts w:ascii="Arial" w:cs="Arial" w:hAnsi="Arial" w:eastAsia="Arial"/>
          <w:sz w:val="22"/>
          <w:szCs w:val="22"/>
        </w:rPr>
        <w:instrText xml:space="preserve"> HYPERLINK "https://www.bbc.co.uk/iplayer/episode/m0025tph"</w:instrText>
      </w:r>
      <w:r>
        <w:rPr>
          <w:rStyle w:val="Hyperlink.0"/>
          <w:rFonts w:ascii="Arial" w:cs="Arial" w:hAnsi="Arial" w:eastAsia="Arial"/>
          <w:sz w:val="22"/>
          <w:szCs w:val="22"/>
        </w:rPr>
        <w:fldChar w:fldCharType="separate" w:fldLock="0"/>
      </w:r>
      <w:r>
        <w:rPr>
          <w:rStyle w:val="Hyperlink.0"/>
          <w:rFonts w:ascii="Arial" w:hAnsi="Arial"/>
          <w:sz w:val="22"/>
          <w:szCs w:val="22"/>
          <w:rtl w:val="0"/>
        </w:rPr>
        <w:t xml:space="preserve"> </w:t>
      </w:r>
      <w:r>
        <w:rPr>
          <w:rStyle w:val="None"/>
          <w:rFonts w:ascii="Arial" w:hAnsi="Arial"/>
          <w:outline w:val="0"/>
          <w:color w:val="1154cc"/>
          <w:sz w:val="22"/>
          <w:szCs w:val="22"/>
          <w:u w:val="single" w:color="1154cc"/>
          <w:rtl w:val="0"/>
          <w:lang w:val="en-US"/>
          <w14:textFill>
            <w14:solidFill>
              <w14:srgbClr w14:val="1155CC"/>
            </w14:solidFill>
          </w14:textFill>
        </w:rPr>
        <w:t>https://www.bbc.co.uk/iplayer/episode/m0025tph</w:t>
      </w:r>
      <w:r>
        <w:rPr>
          <w:rFonts w:ascii="Arial" w:cs="Arial" w:hAnsi="Arial" w:eastAsia="Arial"/>
          <w:sz w:val="22"/>
          <w:szCs w:val="22"/>
        </w:rPr>
        <w:fldChar w:fldCharType="end" w:fldLock="0"/>
      </w:r>
      <w:r>
        <w:rPr>
          <w:rFonts w:ascii="Arial" w:hAnsi="Arial"/>
          <w:sz w:val="22"/>
          <w:szCs w:val="22"/>
          <w:rtl w:val="0"/>
        </w:rPr>
        <w:t xml:space="preserve"> [Cyrchwyd 2 Ionawr 2025].</w:t>
      </w:r>
    </w:p>
    <w:p>
      <w:pPr>
        <w:pStyle w:val="Default"/>
        <w:suppressAutoHyphens w:val="1"/>
        <w:spacing w:before="0" w:after="320" w:line="240" w:lineRule="auto"/>
        <w:jc w:val="left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sz w:val="22"/>
          <w:szCs w:val="22"/>
        </w:rPr>
      </w:pPr>
    </w:p>
    <w:p>
      <w:pPr>
        <w:pStyle w:val="Body"/>
        <w:rPr>
          <w:sz w:val="22"/>
          <w:szCs w:val="22"/>
        </w:rPr>
      </w:pPr>
    </w:p>
    <w:p>
      <w:pPr>
        <w:pStyle w:val="Body"/>
      </w:pPr>
      <w:r>
        <w:rPr>
          <w:sz w:val="22"/>
          <w:szCs w:val="22"/>
        </w:rPr>
      </w:r>
    </w:p>
    <w:sectPr>
      <w:headerReference w:type="default" r:id="rId5"/>
      <w:footerReference w:type="default" r:id="rId6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0000ed"/>
      <w14:textFill>
        <w14:solidFill>
          <w14:srgbClr w14:val="0000EE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