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DD27B" w14:textId="5AF73A8C" w:rsidR="006D082F" w:rsidRPr="006D082F" w:rsidRDefault="006D082F" w:rsidP="006D082F">
      <w:pPr>
        <w:rPr>
          <w:b/>
          <w:bCs/>
          <w:sz w:val="32"/>
          <w:szCs w:val="32"/>
        </w:rPr>
      </w:pPr>
      <w:r w:rsidRPr="006D082F">
        <w:rPr>
          <w:b/>
          <w:bCs/>
          <w:sz w:val="32"/>
          <w:szCs w:val="32"/>
        </w:rPr>
        <w:t xml:space="preserve">Written </w:t>
      </w:r>
      <w:proofErr w:type="gramStart"/>
      <w:r w:rsidRPr="006D082F">
        <w:rPr>
          <w:b/>
          <w:bCs/>
          <w:sz w:val="32"/>
          <w:szCs w:val="32"/>
        </w:rPr>
        <w:t xml:space="preserve">Explanation </w:t>
      </w:r>
      <w:r>
        <w:rPr>
          <w:b/>
          <w:bCs/>
          <w:sz w:val="32"/>
          <w:szCs w:val="32"/>
        </w:rPr>
        <w:t>:</w:t>
      </w:r>
      <w:proofErr w:type="gramEnd"/>
    </w:p>
    <w:p w14:paraId="26AD7B71" w14:textId="77777777" w:rsidR="006D082F" w:rsidRDefault="006D082F" w:rsidP="006D082F">
      <w:pPr>
        <w:rPr>
          <w:b/>
          <w:bCs/>
          <w:sz w:val="28"/>
          <w:szCs w:val="28"/>
        </w:rPr>
      </w:pPr>
    </w:p>
    <w:p w14:paraId="01B08F01" w14:textId="7831B9B0" w:rsidR="006D082F" w:rsidRPr="006D082F" w:rsidRDefault="006D082F" w:rsidP="006D082F">
      <w:pPr>
        <w:rPr>
          <w:b/>
          <w:bCs/>
          <w:sz w:val="28"/>
          <w:szCs w:val="28"/>
        </w:rPr>
      </w:pPr>
      <w:r w:rsidRPr="006D082F">
        <w:rPr>
          <w:b/>
          <w:bCs/>
          <w:sz w:val="28"/>
          <w:szCs w:val="28"/>
        </w:rPr>
        <w:t>Cash Conversion Cycle (CCC) Analysis of Hyatt Hotels Corporation (2020–2024)</w:t>
      </w:r>
    </w:p>
    <w:p w14:paraId="6D6AD66D" w14:textId="77777777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>The Cash Conversion Cycle (CCC) measures how efficiently a company manages its working capital by calculating the number of days required to convert investments in inventory into cash received from customers. It is calculated as:</w:t>
      </w:r>
    </w:p>
    <w:p w14:paraId="41CD3331" w14:textId="77777777" w:rsidR="006D082F" w:rsidRDefault="006D082F" w:rsidP="006D082F">
      <w:pPr>
        <w:rPr>
          <w:b/>
          <w:bCs/>
          <w:sz w:val="28"/>
          <w:szCs w:val="28"/>
        </w:rPr>
      </w:pPr>
    </w:p>
    <w:p w14:paraId="36B1153A" w14:textId="3E78F7F4" w:rsidR="006D082F" w:rsidRPr="006D082F" w:rsidRDefault="006D082F" w:rsidP="006D082F">
      <w:pPr>
        <w:rPr>
          <w:sz w:val="28"/>
          <w:szCs w:val="28"/>
        </w:rPr>
      </w:pPr>
      <w:r w:rsidRPr="006D082F">
        <w:rPr>
          <w:b/>
          <w:bCs/>
          <w:sz w:val="28"/>
          <w:szCs w:val="28"/>
        </w:rPr>
        <w:t>CCC = Inventory Days + Receivable Days − Payable Days</w:t>
      </w:r>
    </w:p>
    <w:p w14:paraId="428825C4" w14:textId="77777777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In </w:t>
      </w:r>
      <w:r w:rsidRPr="006D082F">
        <w:rPr>
          <w:b/>
          <w:bCs/>
          <w:sz w:val="28"/>
          <w:szCs w:val="28"/>
        </w:rPr>
        <w:t>2020</w:t>
      </w:r>
      <w:r w:rsidRPr="006D082F">
        <w:rPr>
          <w:sz w:val="28"/>
          <w:szCs w:val="28"/>
        </w:rPr>
        <w:t xml:space="preserve">, Hyatt recorded the highest CCC of </w:t>
      </w:r>
      <w:r w:rsidRPr="006D082F">
        <w:rPr>
          <w:b/>
          <w:bCs/>
          <w:sz w:val="28"/>
          <w:szCs w:val="28"/>
        </w:rPr>
        <w:t>88.97 days</w:t>
      </w:r>
      <w:r w:rsidRPr="006D082F">
        <w:rPr>
          <w:sz w:val="28"/>
          <w:szCs w:val="28"/>
        </w:rPr>
        <w:t>. This was mainly due to relatively high inventory and receivable days combined with low payable days. The COVID-19 pandemic significantly disrupted hotel operations, reducing revenue while increasing the time taken to recover cash from customers.</w:t>
      </w:r>
    </w:p>
    <w:p w14:paraId="3EDA63C8" w14:textId="77777777" w:rsidR="006D082F" w:rsidRDefault="006D082F" w:rsidP="006D082F">
      <w:pPr>
        <w:rPr>
          <w:sz w:val="28"/>
          <w:szCs w:val="28"/>
        </w:rPr>
      </w:pPr>
    </w:p>
    <w:p w14:paraId="7C1DA5EB" w14:textId="2709D26D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In </w:t>
      </w:r>
      <w:r w:rsidRPr="006D082F">
        <w:rPr>
          <w:b/>
          <w:bCs/>
          <w:sz w:val="28"/>
          <w:szCs w:val="28"/>
        </w:rPr>
        <w:t>2021</w:t>
      </w:r>
      <w:r w:rsidRPr="006D082F">
        <w:rPr>
          <w:sz w:val="28"/>
          <w:szCs w:val="28"/>
        </w:rPr>
        <w:t xml:space="preserve">, the CCC improved substantially to </w:t>
      </w:r>
      <w:r w:rsidRPr="006D082F">
        <w:rPr>
          <w:b/>
          <w:bCs/>
          <w:sz w:val="28"/>
          <w:szCs w:val="28"/>
        </w:rPr>
        <w:t>38.68 days</w:t>
      </w:r>
      <w:r w:rsidRPr="006D082F">
        <w:rPr>
          <w:sz w:val="28"/>
          <w:szCs w:val="28"/>
        </w:rPr>
        <w:t>. Inventory days decreased considerably while accounts payable increased, allowing Hyatt to retain cash for a longer period. Although receivable days increased, the overall working capital position became more efficient than in the previous year.</w:t>
      </w:r>
    </w:p>
    <w:p w14:paraId="48180B69" w14:textId="77777777" w:rsidR="006D082F" w:rsidRDefault="006D082F" w:rsidP="006D082F">
      <w:pPr>
        <w:rPr>
          <w:sz w:val="28"/>
          <w:szCs w:val="28"/>
        </w:rPr>
      </w:pPr>
    </w:p>
    <w:p w14:paraId="187320C9" w14:textId="5B32D4BC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In </w:t>
      </w:r>
      <w:r w:rsidRPr="006D082F">
        <w:rPr>
          <w:b/>
          <w:bCs/>
          <w:sz w:val="28"/>
          <w:szCs w:val="28"/>
        </w:rPr>
        <w:t>2022</w:t>
      </w:r>
      <w:r w:rsidRPr="006D082F">
        <w:rPr>
          <w:sz w:val="28"/>
          <w:szCs w:val="28"/>
        </w:rPr>
        <w:t xml:space="preserve">, the CCC fell further to </w:t>
      </w:r>
      <w:r w:rsidRPr="006D082F">
        <w:rPr>
          <w:b/>
          <w:bCs/>
          <w:sz w:val="28"/>
          <w:szCs w:val="28"/>
        </w:rPr>
        <w:t>16.76 days</w:t>
      </w:r>
      <w:r w:rsidRPr="006D082F">
        <w:rPr>
          <w:sz w:val="28"/>
          <w:szCs w:val="28"/>
        </w:rPr>
        <w:t>, representing the strongest working capital performance during the five-year period. The recovery in travel demand increased revenues, while inventory levels remained low and supplier payment terms continued to support liquidity.</w:t>
      </w:r>
    </w:p>
    <w:p w14:paraId="41FA617F" w14:textId="77777777" w:rsidR="006D082F" w:rsidRDefault="006D082F" w:rsidP="006D082F">
      <w:pPr>
        <w:rPr>
          <w:sz w:val="28"/>
          <w:szCs w:val="28"/>
        </w:rPr>
      </w:pPr>
    </w:p>
    <w:p w14:paraId="13BD6E9A" w14:textId="5D7A9030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During </w:t>
      </w:r>
      <w:r w:rsidRPr="006D082F">
        <w:rPr>
          <w:b/>
          <w:bCs/>
          <w:sz w:val="28"/>
          <w:szCs w:val="28"/>
        </w:rPr>
        <w:t>2023</w:t>
      </w:r>
      <w:r w:rsidRPr="006D082F">
        <w:rPr>
          <w:sz w:val="28"/>
          <w:szCs w:val="28"/>
        </w:rPr>
        <w:t xml:space="preserve">, the CCC increased slightly to </w:t>
      </w:r>
      <w:r w:rsidRPr="006D082F">
        <w:rPr>
          <w:b/>
          <w:bCs/>
          <w:sz w:val="28"/>
          <w:szCs w:val="28"/>
        </w:rPr>
        <w:t>22.15 days</w:t>
      </w:r>
      <w:r w:rsidRPr="006D082F">
        <w:rPr>
          <w:sz w:val="28"/>
          <w:szCs w:val="28"/>
        </w:rPr>
        <w:t>. Receivable and inventory days remained relatively stable; however, a reduction in payable days meant Hyatt settled supplier obligations more quickly, increasing the cash conversion period.</w:t>
      </w:r>
    </w:p>
    <w:p w14:paraId="3696F78C" w14:textId="77777777" w:rsidR="006D082F" w:rsidRDefault="006D082F" w:rsidP="006D082F">
      <w:pPr>
        <w:rPr>
          <w:sz w:val="28"/>
          <w:szCs w:val="28"/>
        </w:rPr>
      </w:pPr>
    </w:p>
    <w:p w14:paraId="6548CA88" w14:textId="3D7B19BB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In </w:t>
      </w:r>
      <w:r w:rsidRPr="006D082F">
        <w:rPr>
          <w:b/>
          <w:bCs/>
          <w:sz w:val="28"/>
          <w:szCs w:val="28"/>
        </w:rPr>
        <w:t>2024</w:t>
      </w:r>
      <w:r w:rsidRPr="006D082F">
        <w:rPr>
          <w:sz w:val="28"/>
          <w:szCs w:val="28"/>
        </w:rPr>
        <w:t xml:space="preserve">, the CCC increased again to </w:t>
      </w:r>
      <w:r w:rsidRPr="006D082F">
        <w:rPr>
          <w:b/>
          <w:bCs/>
          <w:sz w:val="28"/>
          <w:szCs w:val="28"/>
        </w:rPr>
        <w:t>26.21 days</w:t>
      </w:r>
      <w:r w:rsidRPr="006D082F">
        <w:rPr>
          <w:sz w:val="28"/>
          <w:szCs w:val="28"/>
        </w:rPr>
        <w:t xml:space="preserve">. The rise was mainly caused by higher receivable days, indicating that customers took slightly longer to settle </w:t>
      </w:r>
      <w:r w:rsidRPr="006D082F">
        <w:rPr>
          <w:sz w:val="28"/>
          <w:szCs w:val="28"/>
        </w:rPr>
        <w:lastRenderedPageBreak/>
        <w:t>outstanding balances. Nevertheless, the CCC remained significantly lower than in 2020, demonstrating that Hyatt maintained effective working capital management following the post-pandemic recovery.</w:t>
      </w:r>
    </w:p>
    <w:p w14:paraId="14BE59A5" w14:textId="77777777" w:rsidR="006D082F" w:rsidRDefault="006D082F" w:rsidP="006D082F">
      <w:pPr>
        <w:rPr>
          <w:b/>
          <w:bCs/>
          <w:sz w:val="28"/>
          <w:szCs w:val="28"/>
        </w:rPr>
      </w:pPr>
    </w:p>
    <w:p w14:paraId="400BFD86" w14:textId="77777777" w:rsidR="006D082F" w:rsidRDefault="006D082F" w:rsidP="006D082F">
      <w:pPr>
        <w:rPr>
          <w:b/>
          <w:bCs/>
          <w:sz w:val="28"/>
          <w:szCs w:val="28"/>
        </w:rPr>
      </w:pPr>
    </w:p>
    <w:p w14:paraId="348EB346" w14:textId="6581CFC1" w:rsidR="006D082F" w:rsidRPr="006D082F" w:rsidRDefault="006D082F" w:rsidP="006D082F">
      <w:pPr>
        <w:rPr>
          <w:b/>
          <w:bCs/>
          <w:sz w:val="28"/>
          <w:szCs w:val="28"/>
        </w:rPr>
      </w:pPr>
      <w:r w:rsidRPr="006D082F">
        <w:rPr>
          <w:b/>
          <w:bCs/>
          <w:sz w:val="28"/>
          <w:szCs w:val="28"/>
        </w:rPr>
        <w:t>Overall Conclusion</w:t>
      </w:r>
    </w:p>
    <w:p w14:paraId="61806589" w14:textId="77777777" w:rsidR="006D082F" w:rsidRPr="006D082F" w:rsidRDefault="006D082F" w:rsidP="006D082F">
      <w:pPr>
        <w:rPr>
          <w:sz w:val="28"/>
          <w:szCs w:val="28"/>
        </w:rPr>
      </w:pPr>
      <w:r w:rsidRPr="006D082F">
        <w:rPr>
          <w:sz w:val="28"/>
          <w:szCs w:val="28"/>
        </w:rPr>
        <w:t xml:space="preserve">Overall, Hyatt Hotels Corporation significantly improved its cash conversion cycle between 2020 and 2024. The sharp decline from nearly </w:t>
      </w:r>
      <w:r w:rsidRPr="006D082F">
        <w:rPr>
          <w:b/>
          <w:bCs/>
          <w:sz w:val="28"/>
          <w:szCs w:val="28"/>
        </w:rPr>
        <w:t>89 days</w:t>
      </w:r>
      <w:r w:rsidRPr="006D082F">
        <w:rPr>
          <w:sz w:val="28"/>
          <w:szCs w:val="28"/>
        </w:rPr>
        <w:t xml:space="preserve"> to around </w:t>
      </w:r>
      <w:r w:rsidRPr="006D082F">
        <w:rPr>
          <w:b/>
          <w:bCs/>
          <w:sz w:val="28"/>
          <w:szCs w:val="28"/>
        </w:rPr>
        <w:t>26 days</w:t>
      </w:r>
      <w:r w:rsidRPr="006D082F">
        <w:rPr>
          <w:sz w:val="28"/>
          <w:szCs w:val="28"/>
        </w:rPr>
        <w:t xml:space="preserve"> indicates more efficient management of inventories, receivables, and payables. This improvement reflects stronger operational efficiency, enhanced liquidity management, and the company's successful recovery following the disruption caused by the COVID-19 pandemic.</w:t>
      </w:r>
    </w:p>
    <w:p w14:paraId="280C4543" w14:textId="77777777" w:rsidR="00C130A5" w:rsidRDefault="00C130A5"/>
    <w:sectPr w:rsidR="00C13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82F"/>
    <w:rsid w:val="006D082F"/>
    <w:rsid w:val="008F54A0"/>
    <w:rsid w:val="0092727B"/>
    <w:rsid w:val="00B55FBB"/>
    <w:rsid w:val="00C1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86E75"/>
  <w15:chartTrackingRefBased/>
  <w15:docId w15:val="{AE759E82-8A1C-47D9-8418-A306B5CA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8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8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8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8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8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8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8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8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8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08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8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8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 Ghanchi</dc:creator>
  <cp:keywords/>
  <dc:description/>
  <cp:lastModifiedBy>IR Ghanchi</cp:lastModifiedBy>
  <cp:revision>1</cp:revision>
  <dcterms:created xsi:type="dcterms:W3CDTF">2026-07-22T15:37:00Z</dcterms:created>
  <dcterms:modified xsi:type="dcterms:W3CDTF">2026-07-22T15:39:00Z</dcterms:modified>
</cp:coreProperties>
</file>