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A69450" w14:textId="5572B33D" w:rsidR="00AA6BE9" w:rsidRPr="00B10E46" w:rsidRDefault="00664BB3" w:rsidP="00262D16">
      <w:pPr>
        <w:rPr>
          <w:rFonts w:ascii="Arial" w:hAnsi="Arial" w:cs="Arial"/>
          <w:sz w:val="16"/>
          <w:szCs w:val="16"/>
          <w:u w:val="single"/>
        </w:rPr>
      </w:pPr>
      <w:r w:rsidRPr="00B10E46">
        <w:rPr>
          <w:rFonts w:ascii="Arial" w:hAnsi="Arial" w:cs="Arial"/>
          <w:sz w:val="16"/>
          <w:szCs w:val="16"/>
          <w:u w:val="single"/>
        </w:rPr>
        <w:t>Assignment Guidance</w:t>
      </w:r>
    </w:p>
    <w:tbl>
      <w:tblPr>
        <w:tblStyle w:val="TableGrid"/>
        <w:tblW w:w="10206" w:type="dxa"/>
        <w:tblInd w:w="-572" w:type="dxa"/>
        <w:tblLook w:val="04A0" w:firstRow="1" w:lastRow="0" w:firstColumn="1" w:lastColumn="0" w:noHBand="0" w:noVBand="1"/>
      </w:tblPr>
      <w:tblGrid>
        <w:gridCol w:w="2410"/>
        <w:gridCol w:w="4678"/>
        <w:gridCol w:w="3118"/>
      </w:tblGrid>
      <w:tr w:rsidR="00463CE2" w:rsidRPr="00B10E46" w14:paraId="190EAF6D" w14:textId="77777777" w:rsidTr="00262D16">
        <w:tc>
          <w:tcPr>
            <w:tcW w:w="2410" w:type="dxa"/>
          </w:tcPr>
          <w:p w14:paraId="3D4F1A0B" w14:textId="14336902" w:rsidR="00664BB3" w:rsidRPr="00B10E46" w:rsidRDefault="00664BB3">
            <w:pPr>
              <w:rPr>
                <w:rFonts w:ascii="Arial" w:hAnsi="Arial" w:cs="Arial"/>
                <w:b/>
                <w:bCs/>
                <w:sz w:val="16"/>
                <w:szCs w:val="16"/>
              </w:rPr>
            </w:pPr>
            <w:r w:rsidRPr="00B10E46">
              <w:rPr>
                <w:rFonts w:ascii="Arial" w:hAnsi="Arial" w:cs="Arial"/>
                <w:b/>
                <w:bCs/>
                <w:sz w:val="16"/>
                <w:szCs w:val="16"/>
              </w:rPr>
              <w:t>Question</w:t>
            </w:r>
          </w:p>
        </w:tc>
        <w:tc>
          <w:tcPr>
            <w:tcW w:w="4678" w:type="dxa"/>
          </w:tcPr>
          <w:p w14:paraId="1EA6E733" w14:textId="155A273D" w:rsidR="00664BB3" w:rsidRPr="00B10E46" w:rsidRDefault="00664BB3">
            <w:pPr>
              <w:rPr>
                <w:rFonts w:ascii="Arial" w:hAnsi="Arial" w:cs="Arial"/>
                <w:b/>
                <w:bCs/>
                <w:sz w:val="16"/>
                <w:szCs w:val="16"/>
              </w:rPr>
            </w:pPr>
            <w:r w:rsidRPr="00B10E46">
              <w:rPr>
                <w:rFonts w:ascii="Arial" w:hAnsi="Arial" w:cs="Arial"/>
                <w:b/>
                <w:bCs/>
                <w:sz w:val="16"/>
                <w:szCs w:val="16"/>
              </w:rPr>
              <w:t>Assessment Criteria</w:t>
            </w:r>
          </w:p>
        </w:tc>
        <w:tc>
          <w:tcPr>
            <w:tcW w:w="3118" w:type="dxa"/>
          </w:tcPr>
          <w:p w14:paraId="040042C8" w14:textId="7EBA8E8D" w:rsidR="00664BB3" w:rsidRPr="00B10E46" w:rsidRDefault="00664BB3">
            <w:pPr>
              <w:rPr>
                <w:rFonts w:ascii="Arial" w:hAnsi="Arial" w:cs="Arial"/>
                <w:b/>
                <w:bCs/>
                <w:sz w:val="16"/>
                <w:szCs w:val="16"/>
              </w:rPr>
            </w:pPr>
            <w:r w:rsidRPr="00B10E46">
              <w:rPr>
                <w:rFonts w:ascii="Arial" w:hAnsi="Arial" w:cs="Arial"/>
                <w:b/>
                <w:bCs/>
                <w:sz w:val="16"/>
                <w:szCs w:val="16"/>
              </w:rPr>
              <w:t>Additional Guidance</w:t>
            </w:r>
          </w:p>
        </w:tc>
      </w:tr>
      <w:tr w:rsidR="00463CE2" w:rsidRPr="00B10E46" w14:paraId="57F13D3C" w14:textId="77777777" w:rsidTr="00262D16">
        <w:tc>
          <w:tcPr>
            <w:tcW w:w="2410" w:type="dxa"/>
          </w:tcPr>
          <w:p w14:paraId="3CCC6368" w14:textId="798963FF" w:rsidR="00C870C4" w:rsidRPr="00E456D0" w:rsidRDefault="00C870C4" w:rsidP="00C870C4">
            <w:pPr>
              <w:pStyle w:val="Nornal"/>
              <w:rPr>
                <w:color w:val="000000" w:themeColor="text1"/>
                <w:sz w:val="24"/>
                <w:szCs w:val="24"/>
              </w:rPr>
            </w:pPr>
            <w:r>
              <w:rPr>
                <w:sz w:val="24"/>
                <w:szCs w:val="24"/>
              </w:rPr>
              <w:t>You are asked to provide answers</w:t>
            </w:r>
            <w:r w:rsidRPr="00E456D0">
              <w:rPr>
                <w:sz w:val="24"/>
                <w:szCs w:val="24"/>
              </w:rPr>
              <w:t xml:space="preserve"> </w:t>
            </w:r>
            <w:r>
              <w:rPr>
                <w:sz w:val="24"/>
                <w:szCs w:val="24"/>
              </w:rPr>
              <w:t>to the following questions</w:t>
            </w:r>
            <w:r w:rsidRPr="00E456D0">
              <w:rPr>
                <w:color w:val="000000" w:themeColor="text1"/>
                <w:sz w:val="24"/>
                <w:szCs w:val="24"/>
              </w:rPr>
              <w:t xml:space="preserve"> based on your own organisation or </w:t>
            </w:r>
            <w:proofErr w:type="spellStart"/>
            <w:r w:rsidRPr="00E456D0">
              <w:rPr>
                <w:color w:val="000000" w:themeColor="text1"/>
                <w:sz w:val="24"/>
                <w:szCs w:val="24"/>
              </w:rPr>
              <w:t>one(s</w:t>
            </w:r>
            <w:proofErr w:type="spellEnd"/>
            <w:r w:rsidRPr="00E456D0">
              <w:rPr>
                <w:color w:val="000000" w:themeColor="text1"/>
                <w:sz w:val="24"/>
                <w:szCs w:val="24"/>
              </w:rPr>
              <w:t xml:space="preserve">) that you are familiar with: </w:t>
            </w:r>
          </w:p>
          <w:p w14:paraId="6F2617D8" w14:textId="4DC392EA" w:rsidR="00EE5AD7" w:rsidRPr="00B10E46" w:rsidRDefault="00EE5AD7">
            <w:pPr>
              <w:rPr>
                <w:rFonts w:ascii="Arial" w:hAnsi="Arial" w:cs="Arial"/>
                <w:b/>
                <w:bCs/>
                <w:sz w:val="16"/>
                <w:szCs w:val="16"/>
              </w:rPr>
            </w:pPr>
          </w:p>
        </w:tc>
        <w:tc>
          <w:tcPr>
            <w:tcW w:w="4678" w:type="dxa"/>
          </w:tcPr>
          <w:p w14:paraId="236D9CAD" w14:textId="77777777" w:rsidR="00EE5AD7" w:rsidRPr="00B10E46" w:rsidRDefault="00EE5AD7" w:rsidP="00463CE2">
            <w:pPr>
              <w:rPr>
                <w:rFonts w:ascii="Arial" w:hAnsi="Arial" w:cs="Arial"/>
                <w:b/>
                <w:bCs/>
                <w:sz w:val="16"/>
                <w:szCs w:val="16"/>
              </w:rPr>
            </w:pPr>
          </w:p>
        </w:tc>
        <w:tc>
          <w:tcPr>
            <w:tcW w:w="3118" w:type="dxa"/>
          </w:tcPr>
          <w:p w14:paraId="1F464F69" w14:textId="7072C7AE" w:rsidR="00AA47A2" w:rsidRPr="00C870C4" w:rsidRDefault="00EE5AD7" w:rsidP="005C7B0C">
            <w:pPr>
              <w:rPr>
                <w:rFonts w:ascii="Arial" w:hAnsi="Arial" w:cs="Arial"/>
                <w:bCs/>
                <w:sz w:val="20"/>
                <w:szCs w:val="20"/>
              </w:rPr>
            </w:pPr>
            <w:r w:rsidRPr="00C870C4">
              <w:rPr>
                <w:rFonts w:ascii="Arial" w:hAnsi="Arial" w:cs="Arial"/>
                <w:bCs/>
                <w:sz w:val="20"/>
                <w:szCs w:val="20"/>
              </w:rPr>
              <w:t xml:space="preserve">Format – </w:t>
            </w:r>
            <w:r w:rsidR="00C870C4" w:rsidRPr="00C870C4">
              <w:rPr>
                <w:rFonts w:ascii="Arial" w:hAnsi="Arial" w:cs="Arial"/>
                <w:bCs/>
                <w:sz w:val="20"/>
                <w:szCs w:val="20"/>
              </w:rPr>
              <w:t>written answers to questions based on own organisation</w:t>
            </w:r>
          </w:p>
          <w:p w14:paraId="49E3B192" w14:textId="77777777" w:rsidR="005C7B0C" w:rsidRPr="00C870C4" w:rsidRDefault="005C7B0C" w:rsidP="005C7B0C">
            <w:pPr>
              <w:rPr>
                <w:rFonts w:ascii="Arial" w:hAnsi="Arial" w:cs="Arial"/>
                <w:bCs/>
                <w:sz w:val="20"/>
                <w:szCs w:val="20"/>
              </w:rPr>
            </w:pPr>
          </w:p>
          <w:p w14:paraId="51AC6C10" w14:textId="57F398FF" w:rsidR="00F30893" w:rsidRPr="00C870C4" w:rsidRDefault="00B75149">
            <w:pPr>
              <w:rPr>
                <w:rFonts w:ascii="Arial" w:hAnsi="Arial" w:cs="Arial"/>
                <w:sz w:val="20"/>
                <w:szCs w:val="20"/>
              </w:rPr>
            </w:pPr>
            <w:r w:rsidRPr="00C870C4">
              <w:rPr>
                <w:rFonts w:ascii="Arial" w:hAnsi="Arial" w:cs="Arial"/>
                <w:sz w:val="20"/>
                <w:szCs w:val="20"/>
              </w:rPr>
              <w:t>References</w:t>
            </w:r>
          </w:p>
          <w:p w14:paraId="37414E40" w14:textId="0E3ED88B" w:rsidR="00B75149" w:rsidRPr="00C870C4" w:rsidRDefault="00B75149">
            <w:pPr>
              <w:rPr>
                <w:rFonts w:ascii="Arial" w:hAnsi="Arial" w:cs="Arial"/>
                <w:sz w:val="20"/>
                <w:szCs w:val="20"/>
              </w:rPr>
            </w:pPr>
            <w:r w:rsidRPr="00C870C4">
              <w:rPr>
                <w:rFonts w:ascii="Arial" w:hAnsi="Arial" w:cs="Arial"/>
                <w:sz w:val="20"/>
                <w:szCs w:val="20"/>
              </w:rPr>
              <w:t>Bibliography (if applicable)</w:t>
            </w:r>
          </w:p>
          <w:p w14:paraId="14B37CDA" w14:textId="77777777" w:rsidR="002A0B30" w:rsidRPr="00C870C4" w:rsidRDefault="002A0B30">
            <w:pPr>
              <w:rPr>
                <w:rFonts w:ascii="Arial" w:hAnsi="Arial" w:cs="Arial"/>
                <w:bCs/>
                <w:sz w:val="20"/>
                <w:szCs w:val="20"/>
              </w:rPr>
            </w:pPr>
          </w:p>
          <w:p w14:paraId="5A0F2DAB" w14:textId="25C327A4" w:rsidR="002A0B30" w:rsidRPr="00C870C4" w:rsidRDefault="002A0B30">
            <w:pPr>
              <w:rPr>
                <w:rFonts w:ascii="Arial" w:hAnsi="Arial" w:cs="Arial"/>
                <w:sz w:val="20"/>
                <w:szCs w:val="20"/>
              </w:rPr>
            </w:pPr>
            <w:r w:rsidRPr="00C870C4">
              <w:rPr>
                <w:rFonts w:ascii="Arial" w:hAnsi="Arial" w:cs="Arial"/>
                <w:sz w:val="20"/>
                <w:szCs w:val="20"/>
              </w:rPr>
              <w:t xml:space="preserve">(Include assessment criteria numbers). </w:t>
            </w:r>
          </w:p>
          <w:p w14:paraId="4AD49352" w14:textId="58249B56" w:rsidR="00F70F4C" w:rsidRPr="00C870C4" w:rsidRDefault="00F70F4C">
            <w:pPr>
              <w:rPr>
                <w:rFonts w:ascii="Arial" w:hAnsi="Arial" w:cs="Arial"/>
                <w:sz w:val="20"/>
                <w:szCs w:val="20"/>
              </w:rPr>
            </w:pPr>
          </w:p>
          <w:p w14:paraId="0F681753" w14:textId="2004F5AB" w:rsidR="00F70F4C" w:rsidRPr="00C870C4" w:rsidRDefault="00F70F4C">
            <w:pPr>
              <w:rPr>
                <w:rFonts w:ascii="Arial" w:hAnsi="Arial" w:cs="Arial"/>
                <w:sz w:val="20"/>
                <w:szCs w:val="20"/>
              </w:rPr>
            </w:pPr>
            <w:r w:rsidRPr="00C870C4">
              <w:rPr>
                <w:rFonts w:ascii="Arial" w:hAnsi="Arial" w:cs="Arial"/>
                <w:sz w:val="20"/>
                <w:szCs w:val="20"/>
              </w:rPr>
              <w:t>Include word count at end of assignment.</w:t>
            </w:r>
          </w:p>
          <w:p w14:paraId="2B9B3529" w14:textId="77777777" w:rsidR="00E85F14" w:rsidRPr="00C870C4" w:rsidRDefault="00E85F14">
            <w:pPr>
              <w:rPr>
                <w:rFonts w:ascii="Arial" w:hAnsi="Arial" w:cs="Arial"/>
                <w:sz w:val="20"/>
                <w:szCs w:val="20"/>
              </w:rPr>
            </w:pPr>
          </w:p>
          <w:p w14:paraId="3F205F35" w14:textId="7E633F77" w:rsidR="00E85F14" w:rsidRPr="00B10E46" w:rsidRDefault="00C870C4">
            <w:pPr>
              <w:rPr>
                <w:rFonts w:ascii="Arial" w:hAnsi="Arial" w:cs="Arial"/>
                <w:b/>
                <w:bCs/>
                <w:sz w:val="16"/>
                <w:szCs w:val="16"/>
              </w:rPr>
            </w:pPr>
            <w:r w:rsidRPr="00C870C4">
              <w:rPr>
                <w:rFonts w:ascii="Arial" w:hAnsi="Arial" w:cs="Arial"/>
                <w:sz w:val="20"/>
                <w:szCs w:val="20"/>
              </w:rPr>
              <w:t>(approximately 3900 words), refer to CIPD word count policy</w:t>
            </w:r>
          </w:p>
        </w:tc>
      </w:tr>
      <w:tr w:rsidR="00463CE2" w:rsidRPr="00B10E46" w14:paraId="35349A36" w14:textId="77777777" w:rsidTr="00262D16">
        <w:tc>
          <w:tcPr>
            <w:tcW w:w="2410" w:type="dxa"/>
          </w:tcPr>
          <w:p w14:paraId="327C5369" w14:textId="5DF348FC" w:rsidR="005C7B0C" w:rsidRPr="00C870C4" w:rsidRDefault="00C870C4" w:rsidP="00C870C4">
            <w:pPr>
              <w:pStyle w:val="ListParagraph"/>
              <w:numPr>
                <w:ilvl w:val="0"/>
                <w:numId w:val="16"/>
              </w:numPr>
              <w:rPr>
                <w:rFonts w:eastAsia="Times New Roman"/>
                <w:color w:val="000000" w:themeColor="text1"/>
                <w:sz w:val="20"/>
                <w:szCs w:val="20"/>
                <w:lang w:val="en-US"/>
              </w:rPr>
            </w:pPr>
            <w:r w:rsidRPr="00C870C4">
              <w:rPr>
                <w:rFonts w:eastAsia="Times New Roman"/>
                <w:color w:val="000000" w:themeColor="text1"/>
                <w:sz w:val="20"/>
                <w:szCs w:val="20"/>
                <w:shd w:val="clear" w:color="auto" w:fill="FFFFFF"/>
              </w:rPr>
              <w:t>‘If companies make a concerted effort to better understand why employees are leaving and</w:t>
            </w:r>
            <w:r w:rsidRPr="00C870C4">
              <w:rPr>
                <w:rStyle w:val="apple-converted-space"/>
                <w:rFonts w:eastAsia="Times New Roman"/>
                <w:color w:val="000000" w:themeColor="text1"/>
                <w:sz w:val="20"/>
                <w:szCs w:val="20"/>
                <w:shd w:val="clear" w:color="auto" w:fill="FFFFFF"/>
              </w:rPr>
              <w:t> </w:t>
            </w:r>
            <w:r w:rsidRPr="00C870C4">
              <w:rPr>
                <w:rFonts w:eastAsia="Times New Roman"/>
                <w:color w:val="000000" w:themeColor="text1"/>
                <w:sz w:val="20"/>
                <w:szCs w:val="20"/>
              </w:rPr>
              <w:t>take meaningful action to retain them</w:t>
            </w:r>
            <w:r w:rsidRPr="00C870C4">
              <w:rPr>
                <w:rFonts w:eastAsia="Times New Roman"/>
                <w:color w:val="000000" w:themeColor="text1"/>
                <w:sz w:val="20"/>
                <w:szCs w:val="20"/>
                <w:shd w:val="clear" w:color="auto" w:fill="FFFFFF"/>
              </w:rPr>
              <w:t>, the Great Attrition could become the Great Attraction.’ (McKinsey, 2021) Discuss. (3.1, 3.2, 3.5, 4.3)</w:t>
            </w:r>
          </w:p>
        </w:tc>
        <w:tc>
          <w:tcPr>
            <w:tcW w:w="4678" w:type="dxa"/>
          </w:tcPr>
          <w:p w14:paraId="32848B72" w14:textId="66311BAA" w:rsidR="008B382F" w:rsidRPr="008B382F" w:rsidRDefault="008B382F" w:rsidP="00463CE2">
            <w:pPr>
              <w:widowControl w:val="0"/>
              <w:autoSpaceDE w:val="0"/>
              <w:autoSpaceDN w:val="0"/>
              <w:adjustRightInd w:val="0"/>
              <w:spacing w:after="240"/>
              <w:jc w:val="both"/>
              <w:rPr>
                <w:rFonts w:ascii="Times" w:hAnsi="Times" w:cs="Times"/>
                <w:sz w:val="20"/>
                <w:szCs w:val="20"/>
                <w:lang w:val="en-US"/>
              </w:rPr>
            </w:pPr>
            <w:r>
              <w:rPr>
                <w:rFonts w:ascii="Arial" w:hAnsi="Arial" w:cs="Arial"/>
                <w:b/>
                <w:bCs/>
                <w:sz w:val="20"/>
                <w:szCs w:val="20"/>
                <w:lang w:val="en-US"/>
              </w:rPr>
              <w:t xml:space="preserve">3.1 </w:t>
            </w:r>
            <w:r w:rsidRPr="008B382F">
              <w:rPr>
                <w:rFonts w:ascii="Arial" w:hAnsi="Arial" w:cs="Arial"/>
                <w:b/>
                <w:bCs/>
                <w:sz w:val="20"/>
                <w:szCs w:val="20"/>
                <w:lang w:val="en-US"/>
              </w:rPr>
              <w:t>Examine</w:t>
            </w:r>
            <w:r>
              <w:rPr>
                <w:rFonts w:ascii="Arial" w:hAnsi="Arial" w:cs="Arial"/>
                <w:b/>
                <w:bCs/>
                <w:sz w:val="20"/>
                <w:szCs w:val="20"/>
                <w:lang w:val="en-US"/>
              </w:rPr>
              <w:t xml:space="preserve"> </w:t>
            </w:r>
            <w:r w:rsidRPr="008B382F">
              <w:rPr>
                <w:rFonts w:ascii="Arial" w:hAnsi="Arial" w:cs="Arial"/>
                <w:b/>
                <w:bCs/>
                <w:sz w:val="20"/>
                <w:szCs w:val="20"/>
                <w:lang w:val="en-US"/>
              </w:rPr>
              <w:t>turnover</w:t>
            </w:r>
            <w:r>
              <w:rPr>
                <w:rFonts w:ascii="Arial" w:hAnsi="Arial" w:cs="Arial"/>
                <w:b/>
                <w:bCs/>
                <w:sz w:val="20"/>
                <w:szCs w:val="20"/>
                <w:lang w:val="en-US"/>
              </w:rPr>
              <w:t xml:space="preserve"> </w:t>
            </w:r>
            <w:r w:rsidRPr="008B382F">
              <w:rPr>
                <w:rFonts w:ascii="Arial" w:hAnsi="Arial" w:cs="Arial"/>
                <w:b/>
                <w:bCs/>
                <w:sz w:val="20"/>
                <w:szCs w:val="20"/>
                <w:lang w:val="en-US"/>
              </w:rPr>
              <w:t>and</w:t>
            </w:r>
            <w:r>
              <w:rPr>
                <w:rFonts w:ascii="Arial" w:hAnsi="Arial" w:cs="Arial"/>
                <w:b/>
                <w:bCs/>
                <w:sz w:val="20"/>
                <w:szCs w:val="20"/>
                <w:lang w:val="en-US"/>
              </w:rPr>
              <w:t xml:space="preserve"> </w:t>
            </w:r>
            <w:r w:rsidRPr="008B382F">
              <w:rPr>
                <w:rFonts w:ascii="Arial" w:hAnsi="Arial" w:cs="Arial"/>
                <w:b/>
                <w:bCs/>
                <w:sz w:val="20"/>
                <w:szCs w:val="20"/>
                <w:lang w:val="en-US"/>
              </w:rPr>
              <w:t>retention</w:t>
            </w:r>
            <w:r>
              <w:rPr>
                <w:rFonts w:ascii="Arial" w:hAnsi="Arial" w:cs="Arial"/>
                <w:b/>
                <w:bCs/>
                <w:sz w:val="20"/>
                <w:szCs w:val="20"/>
                <w:lang w:val="en-US"/>
              </w:rPr>
              <w:t xml:space="preserve"> </w:t>
            </w:r>
            <w:r w:rsidRPr="008B382F">
              <w:rPr>
                <w:rFonts w:ascii="Arial" w:hAnsi="Arial" w:cs="Arial"/>
                <w:b/>
                <w:bCs/>
                <w:sz w:val="20"/>
                <w:szCs w:val="20"/>
                <w:lang w:val="en-US"/>
              </w:rPr>
              <w:t xml:space="preserve">trends and the factors that influence why people choose to leave or remain. </w:t>
            </w:r>
          </w:p>
          <w:p w14:paraId="21E66DCE" w14:textId="77777777" w:rsidR="008B382F" w:rsidRPr="008B382F" w:rsidRDefault="008B382F" w:rsidP="00463CE2">
            <w:pPr>
              <w:widowControl w:val="0"/>
              <w:autoSpaceDE w:val="0"/>
              <w:autoSpaceDN w:val="0"/>
              <w:adjustRightInd w:val="0"/>
              <w:spacing w:after="240"/>
              <w:jc w:val="both"/>
              <w:rPr>
                <w:rFonts w:ascii="Times" w:hAnsi="Times" w:cs="Times"/>
                <w:sz w:val="20"/>
                <w:szCs w:val="20"/>
                <w:lang w:val="en-US"/>
              </w:rPr>
            </w:pPr>
            <w:r w:rsidRPr="008B382F">
              <w:rPr>
                <w:rFonts w:ascii="Arial" w:hAnsi="Arial" w:cs="Arial"/>
                <w:sz w:val="20"/>
                <w:szCs w:val="20"/>
                <w:lang w:val="en-US"/>
              </w:rPr>
              <w:t xml:space="preserve">Turnover and retention trends: influencing factors such as ethical issues, cultural expectations, motivational issues, management style issues, job satisfaction and job design, recognition and reward, changes in legislation. Trends in areas such as why people leave or remain in organisations: differences between voluntary and involuntary turnover; differences between avoidable and unavoidable turnover; push and pull factors; statistical analysis such as crude turnover rate, stability analysis, cohort analysis. </w:t>
            </w:r>
          </w:p>
          <w:p w14:paraId="7B141DD7" w14:textId="24D27E05" w:rsidR="008B382F" w:rsidRPr="008B382F" w:rsidRDefault="008B382F" w:rsidP="00463CE2">
            <w:pPr>
              <w:widowControl w:val="0"/>
              <w:autoSpaceDE w:val="0"/>
              <w:autoSpaceDN w:val="0"/>
              <w:adjustRightInd w:val="0"/>
              <w:spacing w:after="240"/>
              <w:jc w:val="both"/>
              <w:rPr>
                <w:rFonts w:ascii="Times" w:hAnsi="Times" w:cs="Times"/>
                <w:sz w:val="20"/>
                <w:szCs w:val="20"/>
                <w:lang w:val="en-US"/>
              </w:rPr>
            </w:pPr>
            <w:r w:rsidRPr="00B10E46">
              <w:rPr>
                <w:rFonts w:ascii="Arial" w:hAnsi="Arial" w:cs="Arial"/>
                <w:b/>
                <w:bCs/>
                <w:sz w:val="16"/>
                <w:szCs w:val="16"/>
              </w:rPr>
              <w:t xml:space="preserve"> </w:t>
            </w:r>
            <w:r w:rsidRPr="008B382F">
              <w:rPr>
                <w:rFonts w:ascii="Arial" w:hAnsi="Arial" w:cs="Arial"/>
                <w:b/>
                <w:bCs/>
                <w:sz w:val="20"/>
                <w:szCs w:val="20"/>
                <w:lang w:val="en-US"/>
              </w:rPr>
              <w:t>3.2</w:t>
            </w:r>
            <w:r>
              <w:rPr>
                <w:rFonts w:ascii="Arial" w:hAnsi="Arial" w:cs="Arial"/>
                <w:b/>
                <w:bCs/>
                <w:sz w:val="20"/>
                <w:szCs w:val="20"/>
                <w:lang w:val="en-US"/>
              </w:rPr>
              <w:t xml:space="preserve"> </w:t>
            </w:r>
            <w:r w:rsidRPr="008B382F">
              <w:rPr>
                <w:rFonts w:ascii="Arial" w:hAnsi="Arial" w:cs="Arial"/>
                <w:b/>
                <w:bCs/>
                <w:sz w:val="20"/>
                <w:szCs w:val="20"/>
                <w:lang w:val="en-US"/>
              </w:rPr>
              <w:t xml:space="preserve">Compare different approaches to developing and retaining talent on an individual and group level. </w:t>
            </w:r>
          </w:p>
          <w:p w14:paraId="4DC9AC2E" w14:textId="77777777" w:rsidR="008B382F" w:rsidRPr="008B382F" w:rsidRDefault="008B382F" w:rsidP="00463CE2">
            <w:pPr>
              <w:widowControl w:val="0"/>
              <w:autoSpaceDE w:val="0"/>
              <w:autoSpaceDN w:val="0"/>
              <w:adjustRightInd w:val="0"/>
              <w:spacing w:after="240"/>
              <w:jc w:val="both"/>
              <w:rPr>
                <w:rFonts w:ascii="Times" w:hAnsi="Times" w:cs="Times"/>
                <w:sz w:val="20"/>
                <w:szCs w:val="20"/>
                <w:lang w:val="en-US"/>
              </w:rPr>
            </w:pPr>
            <w:r w:rsidRPr="008B382F">
              <w:rPr>
                <w:rFonts w:ascii="Arial" w:hAnsi="Arial" w:cs="Arial"/>
                <w:sz w:val="20"/>
                <w:szCs w:val="20"/>
                <w:lang w:val="en-US"/>
              </w:rPr>
              <w:t xml:space="preserve">Definition of talent; approaches to retention may include appraisal, training and development, lateral moves, flexible working and work-life balance, workplace characteristics, fair and equitable reward, career breaks, realistic job previews, job enrichment, etc. </w:t>
            </w:r>
          </w:p>
          <w:p w14:paraId="54B0EFE7" w14:textId="60E3C10B" w:rsidR="008B382F" w:rsidRPr="008B382F" w:rsidRDefault="008B382F" w:rsidP="00463CE2">
            <w:pPr>
              <w:widowControl w:val="0"/>
              <w:autoSpaceDE w:val="0"/>
              <w:autoSpaceDN w:val="0"/>
              <w:adjustRightInd w:val="0"/>
              <w:spacing w:after="240"/>
              <w:jc w:val="both"/>
              <w:rPr>
                <w:rFonts w:ascii="Times" w:hAnsi="Times" w:cs="Times"/>
                <w:sz w:val="20"/>
                <w:szCs w:val="20"/>
                <w:lang w:val="en-US"/>
              </w:rPr>
            </w:pPr>
            <w:r>
              <w:rPr>
                <w:rFonts w:ascii="Arial" w:hAnsi="Arial" w:cs="Arial"/>
                <w:b/>
                <w:bCs/>
                <w:sz w:val="20"/>
                <w:szCs w:val="20"/>
                <w:lang w:val="en-US"/>
              </w:rPr>
              <w:t xml:space="preserve">3.5 </w:t>
            </w:r>
            <w:r w:rsidRPr="008B382F">
              <w:rPr>
                <w:rFonts w:ascii="Arial" w:hAnsi="Arial" w:cs="Arial"/>
                <w:b/>
                <w:bCs/>
                <w:sz w:val="20"/>
                <w:szCs w:val="20"/>
                <w:lang w:val="en-US"/>
              </w:rPr>
              <w:t>Explain</w:t>
            </w:r>
            <w:r>
              <w:rPr>
                <w:rFonts w:ascii="Arial" w:hAnsi="Arial" w:cs="Arial"/>
                <w:b/>
                <w:bCs/>
                <w:sz w:val="20"/>
                <w:szCs w:val="20"/>
                <w:lang w:val="en-US"/>
              </w:rPr>
              <w:t xml:space="preserve"> </w:t>
            </w:r>
            <w:r w:rsidRPr="008B382F">
              <w:rPr>
                <w:rFonts w:ascii="Arial" w:hAnsi="Arial" w:cs="Arial"/>
                <w:b/>
                <w:bCs/>
                <w:sz w:val="20"/>
                <w:szCs w:val="20"/>
                <w:lang w:val="en-US"/>
              </w:rPr>
              <w:t>the</w:t>
            </w:r>
            <w:r>
              <w:rPr>
                <w:rFonts w:ascii="Arial" w:hAnsi="Arial" w:cs="Arial"/>
                <w:b/>
                <w:bCs/>
                <w:sz w:val="20"/>
                <w:szCs w:val="20"/>
                <w:lang w:val="en-US"/>
              </w:rPr>
              <w:t xml:space="preserve"> </w:t>
            </w:r>
            <w:r w:rsidRPr="008B382F">
              <w:rPr>
                <w:rFonts w:ascii="Arial" w:hAnsi="Arial" w:cs="Arial"/>
                <w:b/>
                <w:bCs/>
                <w:sz w:val="20"/>
                <w:szCs w:val="20"/>
                <w:lang w:val="en-US"/>
              </w:rPr>
              <w:t>impact</w:t>
            </w:r>
            <w:r>
              <w:rPr>
                <w:rFonts w:ascii="Arial" w:hAnsi="Arial" w:cs="Arial"/>
                <w:b/>
                <w:bCs/>
                <w:sz w:val="20"/>
                <w:szCs w:val="20"/>
                <w:lang w:val="en-US"/>
              </w:rPr>
              <w:t xml:space="preserve"> </w:t>
            </w:r>
            <w:r w:rsidRPr="008B382F">
              <w:rPr>
                <w:rFonts w:ascii="Arial" w:hAnsi="Arial" w:cs="Arial"/>
                <w:b/>
                <w:bCs/>
                <w:sz w:val="20"/>
                <w:szCs w:val="20"/>
                <w:lang w:val="en-US"/>
              </w:rPr>
              <w:t>associated</w:t>
            </w:r>
            <w:r>
              <w:rPr>
                <w:rFonts w:ascii="Arial" w:hAnsi="Arial" w:cs="Arial"/>
                <w:b/>
                <w:bCs/>
                <w:sz w:val="20"/>
                <w:szCs w:val="20"/>
                <w:lang w:val="en-US"/>
              </w:rPr>
              <w:t xml:space="preserve"> </w:t>
            </w:r>
            <w:r w:rsidRPr="008B382F">
              <w:rPr>
                <w:rFonts w:ascii="Arial" w:hAnsi="Arial" w:cs="Arial"/>
                <w:b/>
                <w:bCs/>
                <w:sz w:val="20"/>
                <w:szCs w:val="20"/>
                <w:lang w:val="en-US"/>
              </w:rPr>
              <w:t xml:space="preserve">with dysfunctional employee turnover. </w:t>
            </w:r>
          </w:p>
          <w:p w14:paraId="6A00210D" w14:textId="77777777" w:rsidR="008B382F" w:rsidRDefault="008B382F" w:rsidP="00463CE2">
            <w:pPr>
              <w:widowControl w:val="0"/>
              <w:autoSpaceDE w:val="0"/>
              <w:autoSpaceDN w:val="0"/>
              <w:adjustRightInd w:val="0"/>
              <w:spacing w:after="240"/>
              <w:jc w:val="both"/>
              <w:rPr>
                <w:rFonts w:ascii="Arial" w:hAnsi="Arial" w:cs="Arial"/>
                <w:sz w:val="20"/>
                <w:szCs w:val="20"/>
                <w:lang w:val="en-US"/>
              </w:rPr>
            </w:pPr>
            <w:r w:rsidRPr="008B382F">
              <w:rPr>
                <w:rFonts w:ascii="Arial" w:hAnsi="Arial" w:cs="Arial"/>
                <w:sz w:val="20"/>
                <w:szCs w:val="20"/>
                <w:lang w:val="en-US"/>
              </w:rPr>
              <w:t>Costs associated with dysfunctional employee turnover: methods of measuring employee turnover; direct costs such as recruitment and selection costs, time to process leaver and starter, induction and initial training costs; indirect costs such as loss of productivity by leaver and new starter, loss of skills, knowledge and morale in team, loss of return on</w:t>
            </w:r>
            <w:r>
              <w:rPr>
                <w:rFonts w:ascii="Arial" w:hAnsi="Arial" w:cs="Arial"/>
                <w:sz w:val="20"/>
                <w:szCs w:val="20"/>
                <w:lang w:val="en-US"/>
              </w:rPr>
              <w:t xml:space="preserve"> any investment for the leaver.</w:t>
            </w:r>
          </w:p>
          <w:p w14:paraId="187FCE98" w14:textId="77777777" w:rsidR="008B382F" w:rsidRDefault="008B382F" w:rsidP="00463CE2">
            <w:pPr>
              <w:widowControl w:val="0"/>
              <w:autoSpaceDE w:val="0"/>
              <w:autoSpaceDN w:val="0"/>
              <w:adjustRightInd w:val="0"/>
              <w:spacing w:after="240"/>
              <w:jc w:val="both"/>
              <w:rPr>
                <w:rFonts w:ascii="MS Mincho" w:eastAsia="MS Mincho" w:hAnsi="MS Mincho" w:cs="MS Mincho"/>
                <w:sz w:val="20"/>
                <w:szCs w:val="20"/>
                <w:lang w:val="en-US"/>
              </w:rPr>
            </w:pPr>
            <w:proofErr w:type="gramStart"/>
            <w:r w:rsidRPr="008B382F">
              <w:rPr>
                <w:rFonts w:ascii="Arial" w:hAnsi="Arial" w:cs="Arial"/>
                <w:b/>
                <w:bCs/>
                <w:sz w:val="20"/>
                <w:szCs w:val="20"/>
                <w:lang w:val="en-US"/>
              </w:rPr>
              <w:t>4.3  Explain</w:t>
            </w:r>
            <w:proofErr w:type="gramEnd"/>
            <w:r w:rsidRPr="008B382F">
              <w:rPr>
                <w:rFonts w:ascii="Arial" w:hAnsi="Arial" w:cs="Arial"/>
                <w:b/>
                <w:bCs/>
                <w:sz w:val="20"/>
                <w:szCs w:val="20"/>
                <w:lang w:val="en-US"/>
              </w:rPr>
              <w:t xml:space="preserve"> the components and benefits of </w:t>
            </w:r>
            <w:r w:rsidRPr="008B382F">
              <w:rPr>
                <w:rFonts w:ascii="Arial" w:hAnsi="Arial" w:cs="Arial"/>
                <w:b/>
                <w:bCs/>
                <w:sz w:val="20"/>
                <w:szCs w:val="20"/>
                <w:lang w:val="en-US"/>
              </w:rPr>
              <w:lastRenderedPageBreak/>
              <w:t xml:space="preserve">effective onboarding. </w:t>
            </w:r>
            <w:r w:rsidRPr="008B382F">
              <w:rPr>
                <w:rFonts w:ascii="MS Mincho" w:eastAsia="MS Mincho" w:hAnsi="MS Mincho" w:cs="MS Mincho"/>
                <w:sz w:val="20"/>
                <w:szCs w:val="20"/>
                <w:lang w:val="en-US"/>
              </w:rPr>
              <w:t> </w:t>
            </w:r>
          </w:p>
          <w:p w14:paraId="13F32C7C" w14:textId="7A2549DF" w:rsidR="008B382F" w:rsidRPr="008B382F" w:rsidRDefault="008B382F" w:rsidP="00463CE2">
            <w:pPr>
              <w:widowControl w:val="0"/>
              <w:autoSpaceDE w:val="0"/>
              <w:autoSpaceDN w:val="0"/>
              <w:adjustRightInd w:val="0"/>
              <w:spacing w:after="240"/>
              <w:jc w:val="both"/>
              <w:rPr>
                <w:rFonts w:ascii="Arial" w:hAnsi="Arial" w:cs="Arial"/>
                <w:sz w:val="20"/>
                <w:szCs w:val="20"/>
                <w:lang w:val="en-US"/>
              </w:rPr>
            </w:pPr>
            <w:r w:rsidRPr="008B382F">
              <w:rPr>
                <w:rFonts w:ascii="Arial" w:hAnsi="Arial" w:cs="Arial"/>
                <w:sz w:val="20"/>
                <w:szCs w:val="20"/>
                <w:lang w:val="en-US"/>
              </w:rPr>
              <w:t xml:space="preserve">Components: pre-employment information, organisational and departmental information, role information, clarification, expectations, </w:t>
            </w:r>
            <w:proofErr w:type="spellStart"/>
            <w:r w:rsidRPr="008B382F">
              <w:rPr>
                <w:rFonts w:ascii="Arial" w:hAnsi="Arial" w:cs="Arial"/>
                <w:sz w:val="20"/>
                <w:szCs w:val="20"/>
                <w:lang w:val="en-US"/>
              </w:rPr>
              <w:t>socialisation</w:t>
            </w:r>
            <w:proofErr w:type="spellEnd"/>
            <w:r w:rsidRPr="008B382F">
              <w:rPr>
                <w:rFonts w:ascii="Arial" w:hAnsi="Arial" w:cs="Arial"/>
                <w:sz w:val="20"/>
                <w:szCs w:val="20"/>
                <w:lang w:val="en-US"/>
              </w:rPr>
              <w:t xml:space="preserve">, support and development availability. </w:t>
            </w:r>
            <w:r w:rsidRPr="008B382F">
              <w:rPr>
                <w:rFonts w:ascii="MS Mincho" w:eastAsia="MS Mincho" w:hAnsi="MS Mincho" w:cs="MS Mincho"/>
                <w:sz w:val="20"/>
                <w:szCs w:val="20"/>
                <w:lang w:val="en-US"/>
              </w:rPr>
              <w:t> </w:t>
            </w:r>
            <w:r w:rsidRPr="008B382F">
              <w:rPr>
                <w:rFonts w:ascii="Arial" w:hAnsi="Arial" w:cs="Arial"/>
                <w:sz w:val="20"/>
                <w:szCs w:val="20"/>
                <w:lang w:val="en-US"/>
              </w:rPr>
              <w:t>Benefits: purpose of onboarding such as successful integration of new employees and reduced risk of ‘induction crisis’; the benefits of an effective onboarding programme, such as introduction to and appreciation of the organisation’s culture and norms, improved effectiveness in role, retention and reduced employee turnover.</w:t>
            </w:r>
            <w:r>
              <w:rPr>
                <w:rFonts w:ascii="Arial" w:hAnsi="Arial" w:cs="Arial"/>
                <w:sz w:val="30"/>
                <w:szCs w:val="30"/>
                <w:lang w:val="en-US"/>
              </w:rPr>
              <w:t xml:space="preserve"> </w:t>
            </w:r>
            <w:r>
              <w:rPr>
                <w:rFonts w:ascii="MS Mincho" w:eastAsia="MS Mincho" w:hAnsi="MS Mincho" w:cs="MS Mincho"/>
                <w:sz w:val="24"/>
                <w:szCs w:val="24"/>
                <w:lang w:val="en-US"/>
              </w:rPr>
              <w:t> </w:t>
            </w:r>
          </w:p>
          <w:p w14:paraId="1C71BAA9" w14:textId="52129BF1" w:rsidR="008B382F" w:rsidRPr="008B382F" w:rsidRDefault="008B382F" w:rsidP="00463CE2">
            <w:pPr>
              <w:widowControl w:val="0"/>
              <w:autoSpaceDE w:val="0"/>
              <w:autoSpaceDN w:val="0"/>
              <w:adjustRightInd w:val="0"/>
              <w:spacing w:after="240"/>
              <w:jc w:val="both"/>
              <w:rPr>
                <w:rFonts w:ascii="Times" w:hAnsi="Times" w:cs="Times"/>
                <w:sz w:val="20"/>
                <w:szCs w:val="20"/>
                <w:lang w:val="en-US"/>
              </w:rPr>
            </w:pPr>
          </w:p>
          <w:p w14:paraId="6698AB86" w14:textId="200F4610" w:rsidR="005C7B0C" w:rsidRPr="00B10E46" w:rsidRDefault="005C7B0C" w:rsidP="00463CE2">
            <w:pPr>
              <w:tabs>
                <w:tab w:val="left" w:pos="220"/>
                <w:tab w:val="left" w:pos="720"/>
              </w:tabs>
              <w:adjustRightInd w:val="0"/>
              <w:spacing w:after="240"/>
              <w:jc w:val="both"/>
              <w:rPr>
                <w:rFonts w:ascii="Arial" w:hAnsi="Arial" w:cs="Arial"/>
                <w:b/>
                <w:bCs/>
                <w:sz w:val="16"/>
                <w:szCs w:val="16"/>
              </w:rPr>
            </w:pPr>
          </w:p>
        </w:tc>
        <w:tc>
          <w:tcPr>
            <w:tcW w:w="3118" w:type="dxa"/>
          </w:tcPr>
          <w:p w14:paraId="09F91F5B" w14:textId="5943C370" w:rsidR="005C7B0C" w:rsidRPr="00B10E46" w:rsidRDefault="005C7B0C" w:rsidP="005C7B0C">
            <w:pPr>
              <w:rPr>
                <w:rFonts w:ascii="Arial" w:hAnsi="Arial" w:cs="Arial"/>
                <w:b/>
                <w:bCs/>
                <w:sz w:val="16"/>
                <w:szCs w:val="16"/>
              </w:rPr>
            </w:pPr>
          </w:p>
        </w:tc>
      </w:tr>
      <w:tr w:rsidR="00463CE2" w:rsidRPr="00B10E46" w14:paraId="657E5208" w14:textId="77777777" w:rsidTr="00262D16">
        <w:tc>
          <w:tcPr>
            <w:tcW w:w="2410" w:type="dxa"/>
          </w:tcPr>
          <w:p w14:paraId="1A0085E0" w14:textId="439AC593" w:rsidR="005C7B0C" w:rsidRPr="008B382F" w:rsidRDefault="008B382F" w:rsidP="008B382F">
            <w:pPr>
              <w:pStyle w:val="ListParagraph"/>
              <w:numPr>
                <w:ilvl w:val="0"/>
                <w:numId w:val="18"/>
              </w:numPr>
              <w:rPr>
                <w:rFonts w:eastAsia="Times New Roman"/>
                <w:color w:val="000000" w:themeColor="text1"/>
                <w:sz w:val="20"/>
                <w:szCs w:val="20"/>
                <w:lang w:val="en-US"/>
              </w:rPr>
            </w:pPr>
            <w:r w:rsidRPr="008B382F">
              <w:rPr>
                <w:color w:val="000000" w:themeColor="text1"/>
                <w:sz w:val="20"/>
                <w:szCs w:val="20"/>
              </w:rPr>
              <w:lastRenderedPageBreak/>
              <w:t>Define what tight and loose labour markets are and how understanding the labour market can help organisations remain competitive. (1.1, 1.2)</w:t>
            </w:r>
          </w:p>
        </w:tc>
        <w:tc>
          <w:tcPr>
            <w:tcW w:w="4678" w:type="dxa"/>
          </w:tcPr>
          <w:p w14:paraId="56FD24F1" w14:textId="3A47C053" w:rsidR="008B382F" w:rsidRPr="008B382F" w:rsidRDefault="008B382F" w:rsidP="00463CE2">
            <w:pPr>
              <w:tabs>
                <w:tab w:val="left" w:pos="220"/>
                <w:tab w:val="left" w:pos="720"/>
              </w:tabs>
              <w:adjustRightInd w:val="0"/>
              <w:spacing w:after="240"/>
              <w:jc w:val="both"/>
              <w:rPr>
                <w:rFonts w:ascii="MS Mincho" w:eastAsia="MS Mincho" w:hAnsi="MS Mincho" w:cs="MS Mincho"/>
                <w:sz w:val="20"/>
                <w:szCs w:val="20"/>
                <w:lang w:val="en-US"/>
              </w:rPr>
            </w:pPr>
            <w:r>
              <w:rPr>
                <w:b/>
                <w:bCs/>
                <w:sz w:val="20"/>
                <w:szCs w:val="20"/>
                <w:lang w:val="en-US"/>
              </w:rPr>
              <w:t xml:space="preserve">1.1 </w:t>
            </w:r>
            <w:r w:rsidRPr="008B382F">
              <w:rPr>
                <w:b/>
                <w:bCs/>
                <w:sz w:val="20"/>
                <w:szCs w:val="20"/>
                <w:lang w:val="en-US"/>
              </w:rPr>
              <w:t xml:space="preserve">Explain how organisations strategically position themselves in competitive labour markets. </w:t>
            </w:r>
            <w:r w:rsidRPr="008B382F">
              <w:rPr>
                <w:rFonts w:ascii="MS Mincho" w:eastAsia="MS Mincho" w:hAnsi="MS Mincho" w:cs="MS Mincho"/>
                <w:sz w:val="20"/>
                <w:szCs w:val="20"/>
                <w:lang w:val="en-US"/>
              </w:rPr>
              <w:t> </w:t>
            </w:r>
          </w:p>
          <w:p w14:paraId="75C312F0" w14:textId="487F0326" w:rsidR="008B382F" w:rsidRPr="008B382F" w:rsidRDefault="008B382F" w:rsidP="00463CE2">
            <w:pPr>
              <w:tabs>
                <w:tab w:val="left" w:pos="220"/>
                <w:tab w:val="left" w:pos="720"/>
              </w:tabs>
              <w:adjustRightInd w:val="0"/>
              <w:spacing w:after="240"/>
              <w:jc w:val="both"/>
              <w:rPr>
                <w:rFonts w:ascii="MS Mincho" w:eastAsia="MS Mincho" w:hAnsi="MS Mincho" w:cs="MS Mincho"/>
                <w:sz w:val="20"/>
                <w:szCs w:val="20"/>
                <w:lang w:val="en-US"/>
              </w:rPr>
            </w:pPr>
            <w:r w:rsidRPr="008B382F">
              <w:rPr>
                <w:sz w:val="20"/>
                <w:szCs w:val="20"/>
                <w:lang w:val="en-US"/>
              </w:rPr>
              <w:t xml:space="preserve">Competitor analysis, strengths and weaknesses of competitors’ employee experience; organisational positioning including the characteristics of an employer of choice; attitudes to reward and culture; employer branding; organisational image, ethics and reputation. </w:t>
            </w:r>
            <w:r w:rsidRPr="008B382F">
              <w:rPr>
                <w:rFonts w:ascii="MS Mincho" w:eastAsia="MS Mincho" w:hAnsi="MS Mincho" w:cs="MS Mincho"/>
                <w:sz w:val="20"/>
                <w:szCs w:val="20"/>
                <w:lang w:val="en-US"/>
              </w:rPr>
              <w:t> </w:t>
            </w:r>
          </w:p>
          <w:p w14:paraId="3185D406" w14:textId="3480FD4B" w:rsidR="008B382F" w:rsidRPr="008B382F" w:rsidRDefault="008B382F" w:rsidP="00463CE2">
            <w:pPr>
              <w:tabs>
                <w:tab w:val="left" w:pos="220"/>
                <w:tab w:val="left" w:pos="720"/>
              </w:tabs>
              <w:adjustRightInd w:val="0"/>
              <w:spacing w:after="240"/>
              <w:jc w:val="both"/>
              <w:rPr>
                <w:rFonts w:ascii="MS Mincho" w:eastAsia="MS Mincho" w:hAnsi="MS Mincho" w:cs="MS Mincho"/>
                <w:sz w:val="20"/>
                <w:szCs w:val="20"/>
                <w:lang w:val="en-US"/>
              </w:rPr>
            </w:pPr>
            <w:r>
              <w:rPr>
                <w:b/>
                <w:bCs/>
                <w:sz w:val="20"/>
                <w:szCs w:val="20"/>
                <w:lang w:val="en-US"/>
              </w:rPr>
              <w:t xml:space="preserve">1.2 </w:t>
            </w:r>
            <w:r w:rsidRPr="008B382F">
              <w:rPr>
                <w:b/>
                <w:bCs/>
                <w:sz w:val="20"/>
                <w:szCs w:val="20"/>
                <w:lang w:val="en-US"/>
              </w:rPr>
              <w:t>Explain</w:t>
            </w:r>
            <w:r w:rsidRPr="008B382F">
              <w:rPr>
                <w:b/>
                <w:bCs/>
                <w:sz w:val="20"/>
                <w:szCs w:val="20"/>
                <w:lang w:val="en-US"/>
              </w:rPr>
              <w:t xml:space="preserve"> </w:t>
            </w:r>
            <w:r w:rsidRPr="008B382F">
              <w:rPr>
                <w:b/>
                <w:bCs/>
                <w:sz w:val="20"/>
                <w:szCs w:val="20"/>
                <w:lang w:val="en-US"/>
              </w:rPr>
              <w:t>the</w:t>
            </w:r>
            <w:r w:rsidRPr="008B382F">
              <w:rPr>
                <w:b/>
                <w:bCs/>
                <w:sz w:val="20"/>
                <w:szCs w:val="20"/>
                <w:lang w:val="en-US"/>
              </w:rPr>
              <w:t xml:space="preserve"> </w:t>
            </w:r>
            <w:r w:rsidRPr="008B382F">
              <w:rPr>
                <w:b/>
                <w:bCs/>
                <w:sz w:val="20"/>
                <w:szCs w:val="20"/>
                <w:lang w:val="en-US"/>
              </w:rPr>
              <w:t>impact</w:t>
            </w:r>
            <w:r w:rsidRPr="008B382F">
              <w:rPr>
                <w:b/>
                <w:bCs/>
                <w:sz w:val="20"/>
                <w:szCs w:val="20"/>
                <w:lang w:val="en-US"/>
              </w:rPr>
              <w:t xml:space="preserve"> </w:t>
            </w:r>
            <w:r w:rsidRPr="008B382F">
              <w:rPr>
                <w:b/>
                <w:bCs/>
                <w:sz w:val="20"/>
                <w:szCs w:val="20"/>
                <w:lang w:val="en-US"/>
              </w:rPr>
              <w:t>of</w:t>
            </w:r>
            <w:r w:rsidRPr="008B382F">
              <w:rPr>
                <w:b/>
                <w:bCs/>
                <w:sz w:val="20"/>
                <w:szCs w:val="20"/>
                <w:lang w:val="en-US"/>
              </w:rPr>
              <w:t xml:space="preserve"> </w:t>
            </w:r>
            <w:r w:rsidRPr="008B382F">
              <w:rPr>
                <w:b/>
                <w:bCs/>
                <w:sz w:val="20"/>
                <w:szCs w:val="20"/>
                <w:lang w:val="en-US"/>
              </w:rPr>
              <w:t>changing</w:t>
            </w:r>
            <w:r w:rsidRPr="008B382F">
              <w:rPr>
                <w:b/>
                <w:bCs/>
                <w:sz w:val="20"/>
                <w:szCs w:val="20"/>
                <w:lang w:val="en-US"/>
              </w:rPr>
              <w:t xml:space="preserve"> </w:t>
            </w:r>
            <w:r w:rsidRPr="008B382F">
              <w:rPr>
                <w:b/>
                <w:bCs/>
                <w:sz w:val="20"/>
                <w:szCs w:val="20"/>
                <w:lang w:val="en-US"/>
              </w:rPr>
              <w:t xml:space="preserve">labour market conditions on resourcing decisions. </w:t>
            </w:r>
            <w:r w:rsidRPr="008B382F">
              <w:rPr>
                <w:rFonts w:ascii="MS Mincho" w:eastAsia="MS Mincho" w:hAnsi="MS Mincho" w:cs="MS Mincho"/>
                <w:sz w:val="20"/>
                <w:szCs w:val="20"/>
                <w:lang w:val="en-US"/>
              </w:rPr>
              <w:t> </w:t>
            </w:r>
          </w:p>
          <w:p w14:paraId="57BA84E9" w14:textId="6DAA0172" w:rsidR="008B382F" w:rsidRPr="008B382F" w:rsidRDefault="008B382F" w:rsidP="00463CE2">
            <w:pPr>
              <w:tabs>
                <w:tab w:val="left" w:pos="220"/>
                <w:tab w:val="left" w:pos="720"/>
              </w:tabs>
              <w:adjustRightInd w:val="0"/>
              <w:spacing w:after="240"/>
              <w:jc w:val="both"/>
              <w:rPr>
                <w:rFonts w:ascii="Times" w:hAnsi="Times" w:cs="Times"/>
                <w:sz w:val="24"/>
                <w:szCs w:val="24"/>
                <w:lang w:val="en-US"/>
              </w:rPr>
            </w:pPr>
            <w:r w:rsidRPr="008B382F">
              <w:rPr>
                <w:sz w:val="20"/>
                <w:szCs w:val="20"/>
                <w:lang w:val="en-US"/>
              </w:rPr>
              <w:t>Changing labour market conditions: differences between tight and loose labour markets; trends in the demand and supply of labour and skills; reasons for trends using analytical models such as political, economic, social, technological, legal, environmental. Resourcing decisions: may be taken in relation to employer branding, recruitment methods, retention strategies, re</w:t>
            </w:r>
            <w:r>
              <w:rPr>
                <w:sz w:val="20"/>
                <w:szCs w:val="20"/>
                <w:lang w:val="en-US"/>
              </w:rPr>
              <w:t>-</w:t>
            </w:r>
            <w:r w:rsidRPr="008B382F">
              <w:rPr>
                <w:sz w:val="20"/>
                <w:szCs w:val="20"/>
                <w:lang w:val="en-US"/>
              </w:rPr>
              <w:t>organisations, development decisions and long-term planning, critical incidents, national, international and global pressures and crises, changing faces and methods of working.</w:t>
            </w:r>
            <w:r w:rsidRPr="008B382F">
              <w:rPr>
                <w:sz w:val="30"/>
                <w:szCs w:val="30"/>
                <w:lang w:val="en-US"/>
              </w:rPr>
              <w:t xml:space="preserve"> </w:t>
            </w:r>
            <w:r w:rsidRPr="008B382F">
              <w:rPr>
                <w:rFonts w:ascii="MS Mincho" w:eastAsia="MS Mincho" w:hAnsi="MS Mincho" w:cs="MS Mincho"/>
                <w:sz w:val="24"/>
                <w:szCs w:val="24"/>
                <w:lang w:val="en-US"/>
              </w:rPr>
              <w:t> </w:t>
            </w:r>
          </w:p>
          <w:p w14:paraId="211CA85C" w14:textId="77777777" w:rsidR="005C7B0C" w:rsidRPr="00B10E46" w:rsidRDefault="005C7B0C" w:rsidP="00463CE2">
            <w:pPr>
              <w:adjustRightInd w:val="0"/>
              <w:spacing w:after="240"/>
              <w:jc w:val="both"/>
              <w:rPr>
                <w:rFonts w:ascii="Arial" w:hAnsi="Arial" w:cs="Arial"/>
                <w:b/>
                <w:bCs/>
                <w:sz w:val="16"/>
                <w:szCs w:val="16"/>
              </w:rPr>
            </w:pPr>
          </w:p>
        </w:tc>
        <w:tc>
          <w:tcPr>
            <w:tcW w:w="3118" w:type="dxa"/>
          </w:tcPr>
          <w:p w14:paraId="63739DEC" w14:textId="49819525" w:rsidR="005C7B0C" w:rsidRPr="00B10E46" w:rsidRDefault="005C7B0C" w:rsidP="005C7B0C">
            <w:pPr>
              <w:rPr>
                <w:rFonts w:ascii="Arial" w:hAnsi="Arial" w:cs="Arial"/>
                <w:b/>
                <w:bCs/>
                <w:sz w:val="16"/>
                <w:szCs w:val="16"/>
              </w:rPr>
            </w:pPr>
          </w:p>
        </w:tc>
      </w:tr>
      <w:tr w:rsidR="00463CE2" w:rsidRPr="00B10E46" w14:paraId="401D7DED" w14:textId="77777777" w:rsidTr="00262D16">
        <w:tc>
          <w:tcPr>
            <w:tcW w:w="2410" w:type="dxa"/>
          </w:tcPr>
          <w:p w14:paraId="564574D8" w14:textId="393DCEE0" w:rsidR="005C7B0C" w:rsidRPr="008B382F" w:rsidRDefault="008B382F" w:rsidP="008B382F">
            <w:pPr>
              <w:pStyle w:val="ListParagraph"/>
              <w:numPr>
                <w:ilvl w:val="0"/>
                <w:numId w:val="18"/>
              </w:numPr>
              <w:rPr>
                <w:rFonts w:eastAsia="Times New Roman"/>
                <w:color w:val="000000" w:themeColor="text1"/>
                <w:sz w:val="20"/>
                <w:szCs w:val="20"/>
                <w:lang w:val="en-US"/>
              </w:rPr>
            </w:pPr>
            <w:r w:rsidRPr="008B382F">
              <w:rPr>
                <w:color w:val="000000" w:themeColor="text1"/>
                <w:sz w:val="20"/>
                <w:szCs w:val="20"/>
              </w:rPr>
              <w:t xml:space="preserve">The pandemic has forced organisations to use more technology which has resulted in a change in the way they carry out their recruitment and </w:t>
            </w:r>
            <w:r w:rsidRPr="008B382F">
              <w:rPr>
                <w:color w:val="000000" w:themeColor="text1"/>
                <w:sz w:val="20"/>
                <w:szCs w:val="20"/>
              </w:rPr>
              <w:lastRenderedPageBreak/>
              <w:t>selection. Evaluate this, and discuss the potential future impact this may have on diversity and inclusion. (2.4)</w:t>
            </w:r>
          </w:p>
        </w:tc>
        <w:tc>
          <w:tcPr>
            <w:tcW w:w="4678" w:type="dxa"/>
          </w:tcPr>
          <w:p w14:paraId="628A51E9" w14:textId="705C7682" w:rsidR="008B382F" w:rsidRPr="008B382F" w:rsidRDefault="008B382F" w:rsidP="00463CE2">
            <w:pPr>
              <w:widowControl w:val="0"/>
              <w:autoSpaceDE w:val="0"/>
              <w:autoSpaceDN w:val="0"/>
              <w:adjustRightInd w:val="0"/>
              <w:spacing w:after="240"/>
              <w:jc w:val="both"/>
              <w:rPr>
                <w:rFonts w:ascii="Times" w:hAnsi="Times" w:cs="Times"/>
                <w:sz w:val="20"/>
                <w:szCs w:val="20"/>
                <w:lang w:val="en-US"/>
              </w:rPr>
            </w:pPr>
            <w:r>
              <w:rPr>
                <w:rFonts w:ascii="Arial" w:hAnsi="Arial" w:cs="Arial"/>
                <w:b/>
                <w:bCs/>
                <w:sz w:val="20"/>
                <w:szCs w:val="20"/>
                <w:lang w:val="en-US"/>
              </w:rPr>
              <w:lastRenderedPageBreak/>
              <w:t xml:space="preserve">2.4 </w:t>
            </w:r>
            <w:r w:rsidRPr="008B382F">
              <w:rPr>
                <w:rFonts w:ascii="Arial" w:hAnsi="Arial" w:cs="Arial"/>
                <w:b/>
                <w:bCs/>
                <w:sz w:val="20"/>
                <w:szCs w:val="20"/>
                <w:lang w:val="en-US"/>
              </w:rPr>
              <w:t>Assess</w:t>
            </w:r>
            <w:r>
              <w:rPr>
                <w:rFonts w:ascii="Arial" w:hAnsi="Arial" w:cs="Arial"/>
                <w:b/>
                <w:bCs/>
                <w:sz w:val="20"/>
                <w:szCs w:val="20"/>
                <w:lang w:val="en-US"/>
              </w:rPr>
              <w:t xml:space="preserve"> </w:t>
            </w:r>
            <w:r w:rsidRPr="008B382F">
              <w:rPr>
                <w:rFonts w:ascii="Arial" w:hAnsi="Arial" w:cs="Arial"/>
                <w:b/>
                <w:bCs/>
                <w:sz w:val="20"/>
                <w:szCs w:val="20"/>
                <w:lang w:val="en-US"/>
              </w:rPr>
              <w:t>the</w:t>
            </w:r>
            <w:r>
              <w:rPr>
                <w:rFonts w:ascii="Arial" w:hAnsi="Arial" w:cs="Arial"/>
                <w:b/>
                <w:bCs/>
                <w:sz w:val="20"/>
                <w:szCs w:val="20"/>
                <w:lang w:val="en-US"/>
              </w:rPr>
              <w:t xml:space="preserve"> </w:t>
            </w:r>
            <w:r w:rsidRPr="008B382F">
              <w:rPr>
                <w:rFonts w:ascii="Arial" w:hAnsi="Arial" w:cs="Arial"/>
                <w:b/>
                <w:bCs/>
                <w:sz w:val="20"/>
                <w:szCs w:val="20"/>
                <w:lang w:val="en-US"/>
              </w:rPr>
              <w:t>strengths</w:t>
            </w:r>
            <w:r>
              <w:rPr>
                <w:rFonts w:ascii="Arial" w:hAnsi="Arial" w:cs="Arial"/>
                <w:b/>
                <w:bCs/>
                <w:sz w:val="20"/>
                <w:szCs w:val="20"/>
                <w:lang w:val="en-US"/>
              </w:rPr>
              <w:t xml:space="preserve"> </w:t>
            </w:r>
            <w:r w:rsidRPr="008B382F">
              <w:rPr>
                <w:rFonts w:ascii="Arial" w:hAnsi="Arial" w:cs="Arial"/>
                <w:b/>
                <w:bCs/>
                <w:sz w:val="20"/>
                <w:szCs w:val="20"/>
                <w:lang w:val="en-US"/>
              </w:rPr>
              <w:t>and</w:t>
            </w:r>
            <w:r>
              <w:rPr>
                <w:rFonts w:ascii="Arial" w:hAnsi="Arial" w:cs="Arial"/>
                <w:b/>
                <w:bCs/>
                <w:sz w:val="20"/>
                <w:szCs w:val="20"/>
                <w:lang w:val="en-US"/>
              </w:rPr>
              <w:t xml:space="preserve"> </w:t>
            </w:r>
            <w:r w:rsidRPr="008B382F">
              <w:rPr>
                <w:rFonts w:ascii="Arial" w:hAnsi="Arial" w:cs="Arial"/>
                <w:b/>
                <w:bCs/>
                <w:sz w:val="20"/>
                <w:szCs w:val="20"/>
                <w:lang w:val="en-US"/>
              </w:rPr>
              <w:t xml:space="preserve">weaknesses of different methods of recruitment and selection to build effective workforces. </w:t>
            </w:r>
          </w:p>
          <w:p w14:paraId="6F755320" w14:textId="77777777" w:rsidR="008B382F" w:rsidRPr="008B382F" w:rsidRDefault="008B382F" w:rsidP="00463CE2">
            <w:pPr>
              <w:widowControl w:val="0"/>
              <w:autoSpaceDE w:val="0"/>
              <w:autoSpaceDN w:val="0"/>
              <w:adjustRightInd w:val="0"/>
              <w:spacing w:after="240"/>
              <w:jc w:val="both"/>
              <w:rPr>
                <w:rFonts w:ascii="Times" w:hAnsi="Times" w:cs="Times"/>
                <w:sz w:val="20"/>
                <w:szCs w:val="20"/>
                <w:lang w:val="en-US"/>
              </w:rPr>
            </w:pPr>
            <w:r w:rsidRPr="008B382F">
              <w:rPr>
                <w:rFonts w:ascii="Arial" w:hAnsi="Arial" w:cs="Arial"/>
                <w:sz w:val="20"/>
                <w:szCs w:val="20"/>
                <w:lang w:val="en-US"/>
              </w:rPr>
              <w:t xml:space="preserve">Recruitment methods may include internal and external methods, informal and formal methods; advertising through different media such as employment agencies; educational liaison; social media, intranet sites, websites, newsletters, job bulletins, job boards, job </w:t>
            </w:r>
            <w:proofErr w:type="spellStart"/>
            <w:r w:rsidRPr="008B382F">
              <w:rPr>
                <w:rFonts w:ascii="Arial" w:hAnsi="Arial" w:cs="Arial"/>
                <w:sz w:val="20"/>
                <w:szCs w:val="20"/>
                <w:lang w:val="en-US"/>
              </w:rPr>
              <w:t>centres</w:t>
            </w:r>
            <w:proofErr w:type="spellEnd"/>
            <w:r w:rsidRPr="008B382F">
              <w:rPr>
                <w:rFonts w:ascii="Arial" w:hAnsi="Arial" w:cs="Arial"/>
                <w:sz w:val="20"/>
                <w:szCs w:val="20"/>
                <w:lang w:val="en-US"/>
              </w:rPr>
              <w:t xml:space="preserve">, etc. </w:t>
            </w:r>
          </w:p>
          <w:p w14:paraId="0302D9A8" w14:textId="77777777" w:rsidR="008B382F" w:rsidRPr="008B382F" w:rsidRDefault="008B382F" w:rsidP="00463CE2">
            <w:pPr>
              <w:widowControl w:val="0"/>
              <w:autoSpaceDE w:val="0"/>
              <w:autoSpaceDN w:val="0"/>
              <w:adjustRightInd w:val="0"/>
              <w:spacing w:after="240"/>
              <w:jc w:val="both"/>
              <w:rPr>
                <w:rFonts w:ascii="Times" w:hAnsi="Times" w:cs="Times"/>
                <w:sz w:val="20"/>
                <w:szCs w:val="20"/>
                <w:lang w:val="en-US"/>
              </w:rPr>
            </w:pPr>
            <w:r w:rsidRPr="008B382F">
              <w:rPr>
                <w:rFonts w:ascii="Arial" w:hAnsi="Arial" w:cs="Arial"/>
                <w:sz w:val="20"/>
                <w:szCs w:val="20"/>
                <w:lang w:val="en-US"/>
              </w:rPr>
              <w:t xml:space="preserve">Selection methods may include application </w:t>
            </w:r>
            <w:r w:rsidRPr="008B382F">
              <w:rPr>
                <w:rFonts w:ascii="Arial" w:hAnsi="Arial" w:cs="Arial"/>
                <w:sz w:val="20"/>
                <w:szCs w:val="20"/>
                <w:lang w:val="en-US"/>
              </w:rPr>
              <w:lastRenderedPageBreak/>
              <w:t xml:space="preserve">screening, selection interviews, ability and personality testing, job references, work samples, trial shifts and assessment </w:t>
            </w:r>
            <w:proofErr w:type="spellStart"/>
            <w:r w:rsidRPr="008B382F">
              <w:rPr>
                <w:rFonts w:ascii="Arial" w:hAnsi="Arial" w:cs="Arial"/>
                <w:sz w:val="20"/>
                <w:szCs w:val="20"/>
                <w:lang w:val="en-US"/>
              </w:rPr>
              <w:t>centres</w:t>
            </w:r>
            <w:proofErr w:type="spellEnd"/>
            <w:r w:rsidRPr="008B382F">
              <w:rPr>
                <w:rFonts w:ascii="Arial" w:hAnsi="Arial" w:cs="Arial"/>
                <w:sz w:val="20"/>
                <w:szCs w:val="20"/>
                <w:lang w:val="en-US"/>
              </w:rPr>
              <w:t xml:space="preserve">, </w:t>
            </w:r>
            <w:proofErr w:type="spellStart"/>
            <w:r w:rsidRPr="008B382F">
              <w:rPr>
                <w:rFonts w:ascii="Arial" w:hAnsi="Arial" w:cs="Arial"/>
                <w:sz w:val="20"/>
                <w:szCs w:val="20"/>
                <w:lang w:val="en-US"/>
              </w:rPr>
              <w:t>etc</w:t>
            </w:r>
            <w:proofErr w:type="spellEnd"/>
            <w:r w:rsidRPr="008B382F">
              <w:rPr>
                <w:rFonts w:ascii="Arial" w:hAnsi="Arial" w:cs="Arial"/>
                <w:sz w:val="20"/>
                <w:szCs w:val="20"/>
                <w:lang w:val="en-US"/>
              </w:rPr>
              <w:t xml:space="preserve">; how to conduct fair and objective assessment; impact of new and emerging technologies on recruitment and selection; diversity and fair access of opportunities for all; evaluation of the effectiveness, validity and reliability of recruitment and selection practices. </w:t>
            </w:r>
          </w:p>
          <w:p w14:paraId="41A06B5E" w14:textId="77777777" w:rsidR="005C7B0C" w:rsidRPr="00B10E46" w:rsidRDefault="005C7B0C" w:rsidP="00463CE2">
            <w:pPr>
              <w:adjustRightInd w:val="0"/>
              <w:spacing w:after="240"/>
              <w:jc w:val="both"/>
              <w:rPr>
                <w:rFonts w:ascii="Arial" w:hAnsi="Arial" w:cs="Arial"/>
                <w:b/>
                <w:bCs/>
                <w:sz w:val="16"/>
                <w:szCs w:val="16"/>
              </w:rPr>
            </w:pPr>
          </w:p>
        </w:tc>
        <w:tc>
          <w:tcPr>
            <w:tcW w:w="3118" w:type="dxa"/>
          </w:tcPr>
          <w:p w14:paraId="4243DA60" w14:textId="263B3C35" w:rsidR="005C7B0C" w:rsidRPr="00B10E46" w:rsidRDefault="005C7B0C" w:rsidP="005C7B0C">
            <w:pPr>
              <w:rPr>
                <w:rFonts w:ascii="Arial" w:hAnsi="Arial" w:cs="Arial"/>
                <w:b/>
                <w:bCs/>
                <w:sz w:val="16"/>
                <w:szCs w:val="16"/>
              </w:rPr>
            </w:pPr>
          </w:p>
        </w:tc>
      </w:tr>
      <w:tr w:rsidR="00463CE2" w:rsidRPr="00B10E46" w14:paraId="2752AF0E" w14:textId="77777777" w:rsidTr="00262D16">
        <w:tc>
          <w:tcPr>
            <w:tcW w:w="2410" w:type="dxa"/>
          </w:tcPr>
          <w:p w14:paraId="6F3DC163" w14:textId="5E04ACA5" w:rsidR="005C7B0C" w:rsidRPr="008B382F" w:rsidRDefault="008B382F" w:rsidP="008B382F">
            <w:pPr>
              <w:pStyle w:val="ListParagraph"/>
              <w:numPr>
                <w:ilvl w:val="0"/>
                <w:numId w:val="18"/>
              </w:numPr>
              <w:rPr>
                <w:rFonts w:eastAsia="Times New Roman"/>
                <w:color w:val="000000" w:themeColor="text1"/>
                <w:sz w:val="20"/>
                <w:szCs w:val="20"/>
                <w:lang w:val="en-US"/>
              </w:rPr>
            </w:pPr>
            <w:r w:rsidRPr="008B382F">
              <w:rPr>
                <w:color w:val="000000" w:themeColor="text1"/>
                <w:sz w:val="20"/>
                <w:szCs w:val="20"/>
              </w:rPr>
              <w:lastRenderedPageBreak/>
              <w:t>The UK has been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 (Gov, 2021) Critically analyse the impact on organisations and the role they will play in improving the skills of the UK. (1.3)</w:t>
            </w:r>
          </w:p>
        </w:tc>
        <w:tc>
          <w:tcPr>
            <w:tcW w:w="4678" w:type="dxa"/>
          </w:tcPr>
          <w:p w14:paraId="65E89E28" w14:textId="77777777" w:rsidR="00463CE2" w:rsidRDefault="008B382F" w:rsidP="00463CE2">
            <w:pPr>
              <w:widowControl w:val="0"/>
              <w:tabs>
                <w:tab w:val="left" w:pos="220"/>
                <w:tab w:val="left" w:pos="720"/>
              </w:tabs>
              <w:autoSpaceDE w:val="0"/>
              <w:autoSpaceDN w:val="0"/>
              <w:adjustRightInd w:val="0"/>
              <w:spacing w:after="240"/>
              <w:jc w:val="both"/>
              <w:rPr>
                <w:rFonts w:ascii="MS Mincho" w:eastAsia="MS Mincho" w:hAnsi="MS Mincho" w:cs="MS Mincho"/>
                <w:sz w:val="20"/>
                <w:szCs w:val="20"/>
                <w:lang w:val="en-US"/>
              </w:rPr>
            </w:pPr>
            <w:r w:rsidRPr="00463CE2">
              <w:rPr>
                <w:rFonts w:ascii="Arial" w:hAnsi="Arial" w:cs="Arial"/>
                <w:b/>
                <w:bCs/>
                <w:sz w:val="20"/>
                <w:szCs w:val="20"/>
                <w:lang w:val="en-US"/>
              </w:rPr>
              <w:t xml:space="preserve">1.3 </w:t>
            </w:r>
            <w:r w:rsidRPr="00463CE2">
              <w:rPr>
                <w:rFonts w:ascii="Arial" w:hAnsi="Arial" w:cs="Arial"/>
                <w:b/>
                <w:bCs/>
                <w:sz w:val="20"/>
                <w:szCs w:val="20"/>
                <w:lang w:val="en-US"/>
              </w:rPr>
              <w:t xml:space="preserve">Discuss the role of government, employers and trade unions in ensuring future skills needs are met. </w:t>
            </w:r>
            <w:r w:rsidRPr="00463CE2">
              <w:rPr>
                <w:rFonts w:ascii="MS Mincho" w:eastAsia="MS Mincho" w:hAnsi="MS Mincho" w:cs="MS Mincho"/>
                <w:sz w:val="20"/>
                <w:szCs w:val="20"/>
                <w:lang w:val="en-US"/>
              </w:rPr>
              <w:t> </w:t>
            </w:r>
          </w:p>
          <w:p w14:paraId="242D7EA0" w14:textId="2808536D" w:rsidR="008B382F" w:rsidRDefault="008B382F" w:rsidP="00463CE2">
            <w:pPr>
              <w:widowControl w:val="0"/>
              <w:tabs>
                <w:tab w:val="left" w:pos="220"/>
                <w:tab w:val="left" w:pos="720"/>
              </w:tabs>
              <w:autoSpaceDE w:val="0"/>
              <w:autoSpaceDN w:val="0"/>
              <w:adjustRightInd w:val="0"/>
              <w:spacing w:after="240"/>
              <w:jc w:val="both"/>
              <w:rPr>
                <w:rFonts w:ascii="Times" w:hAnsi="Times" w:cs="Times"/>
                <w:sz w:val="24"/>
                <w:szCs w:val="24"/>
                <w:lang w:val="en-US"/>
              </w:rPr>
            </w:pPr>
            <w:r w:rsidRPr="00463CE2">
              <w:rPr>
                <w:rFonts w:ascii="Arial" w:hAnsi="Arial" w:cs="Arial"/>
                <w:sz w:val="20"/>
                <w:szCs w:val="20"/>
                <w:lang w:val="en-US"/>
              </w:rPr>
              <w:t>Government: in developing skills strategies that may include literacy, numeracy, IT skills, skills development, policies that provide employers with funding for skill development and analysis of future skills needs; supporting changes in workforce requirements and availability.</w:t>
            </w:r>
            <w:r>
              <w:rPr>
                <w:rFonts w:ascii="Arial" w:hAnsi="Arial" w:cs="Arial"/>
                <w:sz w:val="30"/>
                <w:szCs w:val="30"/>
                <w:lang w:val="en-US"/>
              </w:rPr>
              <w:t xml:space="preserve"> </w:t>
            </w:r>
            <w:r>
              <w:rPr>
                <w:rFonts w:ascii="MS Mincho" w:eastAsia="MS Mincho" w:hAnsi="MS Mincho" w:cs="MS Mincho"/>
                <w:sz w:val="24"/>
                <w:szCs w:val="24"/>
                <w:lang w:val="en-US"/>
              </w:rPr>
              <w:t> </w:t>
            </w:r>
          </w:p>
          <w:p w14:paraId="2F30F830" w14:textId="77777777" w:rsidR="005C7B0C" w:rsidRPr="00B10E46" w:rsidRDefault="005C7B0C" w:rsidP="008B382F">
            <w:pPr>
              <w:widowControl w:val="0"/>
              <w:autoSpaceDE w:val="0"/>
              <w:autoSpaceDN w:val="0"/>
              <w:adjustRightInd w:val="0"/>
              <w:spacing w:after="240"/>
              <w:rPr>
                <w:rFonts w:ascii="Arial" w:hAnsi="Arial" w:cs="Arial"/>
                <w:b/>
                <w:bCs/>
                <w:sz w:val="16"/>
                <w:szCs w:val="16"/>
              </w:rPr>
            </w:pPr>
          </w:p>
        </w:tc>
        <w:tc>
          <w:tcPr>
            <w:tcW w:w="3118" w:type="dxa"/>
          </w:tcPr>
          <w:p w14:paraId="04AE21C8" w14:textId="62754FD7" w:rsidR="005C7B0C" w:rsidRPr="00B10E46" w:rsidRDefault="005C7B0C" w:rsidP="005C7B0C">
            <w:pPr>
              <w:rPr>
                <w:rFonts w:ascii="Arial" w:hAnsi="Arial" w:cs="Arial"/>
                <w:b/>
                <w:bCs/>
                <w:sz w:val="16"/>
                <w:szCs w:val="16"/>
              </w:rPr>
            </w:pPr>
          </w:p>
        </w:tc>
      </w:tr>
      <w:tr w:rsidR="00463CE2" w:rsidRPr="00B10E46" w14:paraId="5CA2AC11" w14:textId="77777777" w:rsidTr="00262D16">
        <w:tc>
          <w:tcPr>
            <w:tcW w:w="2410" w:type="dxa"/>
          </w:tcPr>
          <w:p w14:paraId="2FEC38F0" w14:textId="08DFA9C6" w:rsidR="005C7B0C" w:rsidRPr="00463CE2" w:rsidRDefault="00463CE2" w:rsidP="00463CE2">
            <w:pPr>
              <w:pStyle w:val="ListParagraph"/>
              <w:numPr>
                <w:ilvl w:val="0"/>
                <w:numId w:val="18"/>
              </w:numPr>
              <w:rPr>
                <w:color w:val="000000" w:themeColor="text1"/>
                <w:sz w:val="20"/>
                <w:szCs w:val="20"/>
              </w:rPr>
            </w:pPr>
            <w:r w:rsidRPr="00463CE2">
              <w:rPr>
                <w:color w:val="000000" w:themeColor="text1"/>
                <w:sz w:val="20"/>
                <w:szCs w:val="20"/>
              </w:rPr>
              <w:t xml:space="preserve">According to Zimpel (2021) ‘Workforce planning is about generating information, analysing it to </w:t>
            </w:r>
            <w:r w:rsidRPr="00463CE2">
              <w:rPr>
                <w:color w:val="000000" w:themeColor="text1"/>
                <w:sz w:val="20"/>
                <w:szCs w:val="20"/>
              </w:rPr>
              <w:lastRenderedPageBreak/>
              <w:t>inform future demand for people and skills, and translating that into a set of actions that will develop and build on the existing workforce to meet that demand. Understanding of the distinction between ‘soft’ and ‘hard’ aspects can help to explain the renewed interest’ With this in mind answer the following: (2.1, 2.2, 2.3)</w:t>
            </w:r>
          </w:p>
        </w:tc>
        <w:tc>
          <w:tcPr>
            <w:tcW w:w="4678" w:type="dxa"/>
          </w:tcPr>
          <w:p w14:paraId="4C09F256" w14:textId="77777777" w:rsidR="00463CE2" w:rsidRDefault="00463CE2" w:rsidP="00463CE2">
            <w:pPr>
              <w:widowControl w:val="0"/>
              <w:tabs>
                <w:tab w:val="left" w:pos="220"/>
                <w:tab w:val="left" w:pos="720"/>
              </w:tabs>
              <w:autoSpaceDE w:val="0"/>
              <w:autoSpaceDN w:val="0"/>
              <w:adjustRightInd w:val="0"/>
              <w:spacing w:after="240"/>
              <w:jc w:val="both"/>
              <w:rPr>
                <w:rFonts w:ascii="MS Mincho" w:eastAsia="MS Mincho" w:hAnsi="MS Mincho" w:cs="MS Mincho"/>
                <w:sz w:val="20"/>
                <w:szCs w:val="20"/>
                <w:lang w:val="en-US"/>
              </w:rPr>
            </w:pPr>
            <w:proofErr w:type="gramStart"/>
            <w:r w:rsidRPr="00463CE2">
              <w:rPr>
                <w:rFonts w:ascii="Arial" w:hAnsi="Arial" w:cs="Arial"/>
                <w:b/>
                <w:bCs/>
                <w:sz w:val="20"/>
                <w:szCs w:val="20"/>
                <w:lang w:val="en-US"/>
              </w:rPr>
              <w:lastRenderedPageBreak/>
              <w:t>2.1  Analyse</w:t>
            </w:r>
            <w:proofErr w:type="gramEnd"/>
            <w:r>
              <w:rPr>
                <w:rFonts w:ascii="Arial" w:hAnsi="Arial" w:cs="Arial"/>
                <w:b/>
                <w:bCs/>
                <w:sz w:val="20"/>
                <w:szCs w:val="20"/>
                <w:lang w:val="en-US"/>
              </w:rPr>
              <w:t xml:space="preserve"> </w:t>
            </w:r>
            <w:r w:rsidRPr="00463CE2">
              <w:rPr>
                <w:rFonts w:ascii="Arial" w:hAnsi="Arial" w:cs="Arial"/>
                <w:b/>
                <w:bCs/>
                <w:sz w:val="20"/>
                <w:szCs w:val="20"/>
                <w:lang w:val="en-US"/>
              </w:rPr>
              <w:t>the</w:t>
            </w:r>
            <w:r>
              <w:rPr>
                <w:rFonts w:ascii="Arial" w:hAnsi="Arial" w:cs="Arial"/>
                <w:b/>
                <w:bCs/>
                <w:sz w:val="20"/>
                <w:szCs w:val="20"/>
                <w:lang w:val="en-US"/>
              </w:rPr>
              <w:t xml:space="preserve"> </w:t>
            </w:r>
            <w:r w:rsidRPr="00463CE2">
              <w:rPr>
                <w:rFonts w:ascii="Arial" w:hAnsi="Arial" w:cs="Arial"/>
                <w:b/>
                <w:bCs/>
                <w:sz w:val="20"/>
                <w:szCs w:val="20"/>
                <w:lang w:val="en-US"/>
              </w:rPr>
              <w:t>impact</w:t>
            </w:r>
            <w:r>
              <w:rPr>
                <w:rFonts w:ascii="Arial" w:hAnsi="Arial" w:cs="Arial"/>
                <w:b/>
                <w:bCs/>
                <w:sz w:val="20"/>
                <w:szCs w:val="20"/>
                <w:lang w:val="en-US"/>
              </w:rPr>
              <w:t xml:space="preserve"> </w:t>
            </w:r>
            <w:r w:rsidRPr="00463CE2">
              <w:rPr>
                <w:rFonts w:ascii="Arial" w:hAnsi="Arial" w:cs="Arial"/>
                <w:b/>
                <w:bCs/>
                <w:sz w:val="20"/>
                <w:szCs w:val="20"/>
                <w:lang w:val="en-US"/>
              </w:rPr>
              <w:t>of</w:t>
            </w:r>
            <w:r>
              <w:rPr>
                <w:rFonts w:ascii="Arial" w:hAnsi="Arial" w:cs="Arial"/>
                <w:b/>
                <w:bCs/>
                <w:sz w:val="20"/>
                <w:szCs w:val="20"/>
                <w:lang w:val="en-US"/>
              </w:rPr>
              <w:t xml:space="preserve"> </w:t>
            </w:r>
            <w:r w:rsidRPr="00463CE2">
              <w:rPr>
                <w:rFonts w:ascii="Arial" w:hAnsi="Arial" w:cs="Arial"/>
                <w:b/>
                <w:bCs/>
                <w:sz w:val="20"/>
                <w:szCs w:val="20"/>
                <w:lang w:val="en-US"/>
              </w:rPr>
              <w:t xml:space="preserve">effective workforce planning. </w:t>
            </w:r>
            <w:r w:rsidRPr="00463CE2">
              <w:rPr>
                <w:rFonts w:ascii="MS Mincho" w:eastAsia="MS Mincho" w:hAnsi="MS Mincho" w:cs="MS Mincho"/>
                <w:sz w:val="20"/>
                <w:szCs w:val="20"/>
                <w:lang w:val="en-US"/>
              </w:rPr>
              <w:t> </w:t>
            </w:r>
          </w:p>
          <w:p w14:paraId="7A5496D7" w14:textId="34A2A848" w:rsidR="00463CE2" w:rsidRPr="00463CE2" w:rsidRDefault="00463CE2" w:rsidP="00463CE2">
            <w:pPr>
              <w:widowControl w:val="0"/>
              <w:tabs>
                <w:tab w:val="left" w:pos="220"/>
                <w:tab w:val="left" w:pos="720"/>
              </w:tabs>
              <w:autoSpaceDE w:val="0"/>
              <w:autoSpaceDN w:val="0"/>
              <w:adjustRightInd w:val="0"/>
              <w:spacing w:after="240"/>
              <w:jc w:val="both"/>
              <w:rPr>
                <w:rFonts w:ascii="Arial" w:hAnsi="Arial" w:cs="Arial"/>
                <w:sz w:val="20"/>
                <w:szCs w:val="20"/>
                <w:lang w:val="en-US"/>
              </w:rPr>
            </w:pPr>
            <w:r w:rsidRPr="00463CE2">
              <w:rPr>
                <w:rFonts w:ascii="Arial" w:hAnsi="Arial" w:cs="Arial"/>
                <w:sz w:val="20"/>
                <w:szCs w:val="20"/>
                <w:lang w:val="en-US"/>
              </w:rPr>
              <w:t xml:space="preserve">Impact of forecasting demand for labour; forecasting internal and external supply of labour; identifying and analysing gaps between supply and demand of labour; strategies to address the gaps </w:t>
            </w:r>
            <w:r w:rsidRPr="00463CE2">
              <w:rPr>
                <w:rFonts w:ascii="Arial" w:hAnsi="Arial" w:cs="Arial"/>
                <w:sz w:val="20"/>
                <w:szCs w:val="20"/>
                <w:lang w:val="en-US"/>
              </w:rPr>
              <w:lastRenderedPageBreak/>
              <w:t xml:space="preserve">between supply and demand. </w:t>
            </w:r>
            <w:r w:rsidRPr="00463CE2">
              <w:rPr>
                <w:rFonts w:ascii="MS Mincho" w:eastAsia="MS Mincho" w:hAnsi="MS Mincho" w:cs="MS Mincho"/>
                <w:sz w:val="20"/>
                <w:szCs w:val="20"/>
                <w:lang w:val="en-US"/>
              </w:rPr>
              <w:t> </w:t>
            </w:r>
          </w:p>
          <w:p w14:paraId="5F1EA03B" w14:textId="77777777" w:rsidR="00463CE2" w:rsidRDefault="00463CE2" w:rsidP="00463CE2">
            <w:pPr>
              <w:widowControl w:val="0"/>
              <w:tabs>
                <w:tab w:val="left" w:pos="220"/>
                <w:tab w:val="left" w:pos="720"/>
              </w:tabs>
              <w:autoSpaceDE w:val="0"/>
              <w:autoSpaceDN w:val="0"/>
              <w:adjustRightInd w:val="0"/>
              <w:spacing w:after="240"/>
              <w:jc w:val="both"/>
              <w:rPr>
                <w:rFonts w:ascii="MS Mincho" w:eastAsia="MS Mincho" w:hAnsi="MS Mincho" w:cs="MS Mincho"/>
                <w:sz w:val="20"/>
                <w:szCs w:val="20"/>
                <w:lang w:val="en-US"/>
              </w:rPr>
            </w:pPr>
            <w:proofErr w:type="gramStart"/>
            <w:r w:rsidRPr="00463CE2">
              <w:rPr>
                <w:rFonts w:ascii="Arial" w:hAnsi="Arial" w:cs="Arial"/>
                <w:b/>
                <w:bCs/>
                <w:sz w:val="20"/>
                <w:szCs w:val="20"/>
                <w:lang w:val="en-US"/>
              </w:rPr>
              <w:t>2.2  Evaluate</w:t>
            </w:r>
            <w:proofErr w:type="gramEnd"/>
            <w:r w:rsidRPr="00463CE2">
              <w:rPr>
                <w:rFonts w:ascii="Arial" w:hAnsi="Arial" w:cs="Arial"/>
                <w:b/>
                <w:bCs/>
                <w:sz w:val="20"/>
                <w:szCs w:val="20"/>
                <w:lang w:val="en-US"/>
              </w:rPr>
              <w:t xml:space="preserve"> the techniques used to support the process of workforce planning. </w:t>
            </w:r>
            <w:r w:rsidRPr="00463CE2">
              <w:rPr>
                <w:rFonts w:ascii="MS Mincho" w:eastAsia="MS Mincho" w:hAnsi="MS Mincho" w:cs="MS Mincho"/>
                <w:sz w:val="20"/>
                <w:szCs w:val="20"/>
                <w:lang w:val="en-US"/>
              </w:rPr>
              <w:t> </w:t>
            </w:r>
          </w:p>
          <w:p w14:paraId="1A2BAB4C" w14:textId="34F5DB9D" w:rsidR="00463CE2" w:rsidRPr="00463CE2" w:rsidRDefault="00463CE2" w:rsidP="00463CE2">
            <w:pPr>
              <w:widowControl w:val="0"/>
              <w:tabs>
                <w:tab w:val="left" w:pos="220"/>
                <w:tab w:val="left" w:pos="720"/>
              </w:tabs>
              <w:autoSpaceDE w:val="0"/>
              <w:autoSpaceDN w:val="0"/>
              <w:adjustRightInd w:val="0"/>
              <w:spacing w:after="240"/>
              <w:jc w:val="both"/>
              <w:rPr>
                <w:rFonts w:ascii="Arial" w:hAnsi="Arial" w:cs="Arial"/>
                <w:sz w:val="20"/>
                <w:szCs w:val="20"/>
                <w:lang w:val="en-US"/>
              </w:rPr>
            </w:pPr>
            <w:r w:rsidRPr="00463CE2">
              <w:rPr>
                <w:rFonts w:ascii="Arial" w:hAnsi="Arial" w:cs="Arial"/>
                <w:sz w:val="20"/>
                <w:szCs w:val="20"/>
                <w:lang w:val="en-US"/>
              </w:rPr>
              <w:t xml:space="preserve">Techniques to forecast demand: managerial judgement, working back from costs, systemic approaches; data used to forecast supply: promotion/demotion rates, transfer rate, employee turnover rate, factors affecting external supply, critical incident analysis. </w:t>
            </w:r>
            <w:r w:rsidRPr="00463CE2">
              <w:rPr>
                <w:rFonts w:ascii="MS Mincho" w:eastAsia="MS Mincho" w:hAnsi="MS Mincho" w:cs="MS Mincho"/>
                <w:sz w:val="20"/>
                <w:szCs w:val="20"/>
                <w:lang w:val="en-US"/>
              </w:rPr>
              <w:t> </w:t>
            </w:r>
          </w:p>
          <w:p w14:paraId="56F6EA41" w14:textId="77777777" w:rsidR="00463CE2" w:rsidRDefault="00463CE2" w:rsidP="00463CE2">
            <w:pPr>
              <w:widowControl w:val="0"/>
              <w:tabs>
                <w:tab w:val="left" w:pos="220"/>
                <w:tab w:val="left" w:pos="720"/>
              </w:tabs>
              <w:autoSpaceDE w:val="0"/>
              <w:autoSpaceDN w:val="0"/>
              <w:adjustRightInd w:val="0"/>
              <w:spacing w:after="240"/>
              <w:jc w:val="both"/>
              <w:rPr>
                <w:rFonts w:ascii="MS Mincho" w:eastAsia="MS Mincho" w:hAnsi="MS Mincho" w:cs="MS Mincho"/>
                <w:sz w:val="20"/>
                <w:szCs w:val="20"/>
                <w:lang w:val="en-US"/>
              </w:rPr>
            </w:pPr>
            <w:proofErr w:type="gramStart"/>
            <w:r w:rsidRPr="00463CE2">
              <w:rPr>
                <w:rFonts w:ascii="Arial" w:hAnsi="Arial" w:cs="Arial"/>
                <w:b/>
                <w:bCs/>
                <w:sz w:val="20"/>
                <w:szCs w:val="20"/>
                <w:lang w:val="en-US"/>
              </w:rPr>
              <w:t>2.3  Explain</w:t>
            </w:r>
            <w:proofErr w:type="gramEnd"/>
            <w:r w:rsidRPr="00463CE2">
              <w:rPr>
                <w:rFonts w:ascii="Arial" w:hAnsi="Arial" w:cs="Arial"/>
                <w:b/>
                <w:bCs/>
                <w:sz w:val="20"/>
                <w:szCs w:val="20"/>
                <w:lang w:val="en-US"/>
              </w:rPr>
              <w:t xml:space="preserve"> approaches to succession and contingency planning aimed at mitigating workforce risks. </w:t>
            </w:r>
            <w:r w:rsidRPr="00463CE2">
              <w:rPr>
                <w:rFonts w:ascii="MS Mincho" w:eastAsia="MS Mincho" w:hAnsi="MS Mincho" w:cs="MS Mincho"/>
                <w:sz w:val="20"/>
                <w:szCs w:val="20"/>
                <w:lang w:val="en-US"/>
              </w:rPr>
              <w:t> </w:t>
            </w:r>
          </w:p>
          <w:p w14:paraId="1F6242F4" w14:textId="59859FBF" w:rsidR="00463CE2" w:rsidRPr="00463CE2" w:rsidRDefault="00463CE2" w:rsidP="00463CE2">
            <w:pPr>
              <w:widowControl w:val="0"/>
              <w:tabs>
                <w:tab w:val="left" w:pos="220"/>
                <w:tab w:val="left" w:pos="720"/>
              </w:tabs>
              <w:autoSpaceDE w:val="0"/>
              <w:autoSpaceDN w:val="0"/>
              <w:adjustRightInd w:val="0"/>
              <w:spacing w:after="240"/>
              <w:jc w:val="both"/>
              <w:rPr>
                <w:rFonts w:ascii="Arial" w:hAnsi="Arial" w:cs="Arial"/>
                <w:sz w:val="20"/>
                <w:szCs w:val="20"/>
                <w:lang w:val="en-US"/>
              </w:rPr>
            </w:pPr>
            <w:r w:rsidRPr="00463CE2">
              <w:rPr>
                <w:rFonts w:ascii="Arial" w:hAnsi="Arial" w:cs="Arial"/>
                <w:sz w:val="20"/>
                <w:szCs w:val="20"/>
                <w:lang w:val="en-US"/>
              </w:rPr>
              <w:t xml:space="preserve">Managing contingency and mitigating risk through developing talent pools; use of appraisals in identifying who is interested in progression; assessing current abilities and building development plans to address gaps between current ability, interests and skills, knowledge and behaviours needed to progress; balancing internal progression </w:t>
            </w:r>
            <w:r w:rsidRPr="00463CE2">
              <w:rPr>
                <w:rFonts w:ascii="MS Mincho" w:eastAsia="MS Mincho" w:hAnsi="MS Mincho" w:cs="MS Mincho"/>
                <w:sz w:val="20"/>
                <w:szCs w:val="20"/>
                <w:lang w:val="en-US"/>
              </w:rPr>
              <w:t> </w:t>
            </w:r>
            <w:r w:rsidRPr="00463CE2">
              <w:rPr>
                <w:rFonts w:ascii="Arial" w:hAnsi="Arial" w:cs="Arial"/>
                <w:sz w:val="20"/>
                <w:szCs w:val="20"/>
                <w:lang w:val="en-US"/>
              </w:rPr>
              <w:t xml:space="preserve">with need for fresh ideas from external candidates. </w:t>
            </w:r>
          </w:p>
          <w:p w14:paraId="14512103" w14:textId="77777777" w:rsidR="005C7B0C" w:rsidRPr="00B10E46" w:rsidRDefault="005C7B0C" w:rsidP="00463CE2">
            <w:pPr>
              <w:adjustRightInd w:val="0"/>
              <w:spacing w:after="240"/>
              <w:rPr>
                <w:rFonts w:ascii="Arial" w:hAnsi="Arial" w:cs="Arial"/>
                <w:b/>
                <w:bCs/>
                <w:sz w:val="16"/>
                <w:szCs w:val="16"/>
              </w:rPr>
            </w:pPr>
          </w:p>
        </w:tc>
        <w:tc>
          <w:tcPr>
            <w:tcW w:w="3118" w:type="dxa"/>
          </w:tcPr>
          <w:p w14:paraId="076C310E" w14:textId="0780BF04" w:rsidR="005C7B0C" w:rsidRPr="00B10E46" w:rsidRDefault="005C7B0C" w:rsidP="005C7B0C">
            <w:pPr>
              <w:rPr>
                <w:rFonts w:ascii="Arial" w:hAnsi="Arial" w:cs="Arial"/>
                <w:b/>
                <w:bCs/>
                <w:sz w:val="16"/>
                <w:szCs w:val="16"/>
              </w:rPr>
            </w:pPr>
          </w:p>
        </w:tc>
      </w:tr>
      <w:tr w:rsidR="00463CE2" w:rsidRPr="00B10E46" w14:paraId="5FF0AD39" w14:textId="77777777" w:rsidTr="00262D16">
        <w:tc>
          <w:tcPr>
            <w:tcW w:w="2410" w:type="dxa"/>
          </w:tcPr>
          <w:p w14:paraId="6CDE66B8" w14:textId="7CF34A9B" w:rsidR="005C7B0C" w:rsidRPr="00463CE2" w:rsidRDefault="00463CE2" w:rsidP="00463CE2">
            <w:pPr>
              <w:pStyle w:val="ListParagraph"/>
              <w:numPr>
                <w:ilvl w:val="0"/>
                <w:numId w:val="18"/>
              </w:numPr>
              <w:rPr>
                <w:rFonts w:eastAsia="Times New Roman"/>
                <w:color w:val="000000" w:themeColor="text1"/>
                <w:sz w:val="20"/>
                <w:szCs w:val="20"/>
                <w:lang w:val="en-US"/>
              </w:rPr>
            </w:pPr>
            <w:r w:rsidRPr="00463CE2">
              <w:rPr>
                <w:rStyle w:val="s1"/>
                <w:rFonts w:eastAsia="Times New Roman"/>
                <w:color w:val="000000" w:themeColor="text1"/>
                <w:sz w:val="20"/>
                <w:szCs w:val="20"/>
              </w:rPr>
              <w:lastRenderedPageBreak/>
              <w:t>‘Anyone doing</w:t>
            </w:r>
            <w:r w:rsidRPr="00463CE2">
              <w:rPr>
                <w:rStyle w:val="apple-converted-space"/>
                <w:rFonts w:eastAsia="Times New Roman"/>
                <w:color w:val="000000" w:themeColor="text1"/>
                <w:sz w:val="20"/>
                <w:szCs w:val="20"/>
              </w:rPr>
              <w:t> </w:t>
            </w:r>
            <w:r w:rsidRPr="00463CE2">
              <w:rPr>
                <w:rStyle w:val="s2"/>
                <w:rFonts w:eastAsia="Times New Roman"/>
                <w:color w:val="000000" w:themeColor="text1"/>
                <w:sz w:val="20"/>
                <w:szCs w:val="20"/>
              </w:rPr>
              <w:t>strategic workforce planning</w:t>
            </w:r>
            <w:r w:rsidRPr="00463CE2">
              <w:rPr>
                <w:rStyle w:val="s1"/>
                <w:rFonts w:eastAsia="Times New Roman"/>
                <w:color w:val="000000" w:themeColor="text1"/>
                <w:sz w:val="20"/>
                <w:szCs w:val="20"/>
              </w:rPr>
              <w:t>, long-term recruitment or</w:t>
            </w:r>
            <w:r w:rsidRPr="00463CE2">
              <w:rPr>
                <w:rStyle w:val="apple-converted-space"/>
                <w:rFonts w:eastAsia="Times New Roman"/>
                <w:color w:val="000000" w:themeColor="text1"/>
                <w:sz w:val="20"/>
                <w:szCs w:val="20"/>
              </w:rPr>
              <w:t> </w:t>
            </w:r>
            <w:r w:rsidRPr="00463CE2">
              <w:rPr>
                <w:rStyle w:val="s1"/>
                <w:rFonts w:eastAsia="Times New Roman"/>
                <w:color w:val="000000" w:themeColor="text1"/>
                <w:sz w:val="20"/>
                <w:szCs w:val="20"/>
              </w:rPr>
              <w:t>succession planning</w:t>
            </w:r>
            <w:r w:rsidRPr="00463CE2">
              <w:rPr>
                <w:rStyle w:val="apple-converted-space"/>
                <w:rFonts w:eastAsia="Times New Roman"/>
                <w:color w:val="000000" w:themeColor="text1"/>
                <w:sz w:val="20"/>
                <w:szCs w:val="20"/>
              </w:rPr>
              <w:t> </w:t>
            </w:r>
            <w:r w:rsidRPr="00463CE2">
              <w:rPr>
                <w:rStyle w:val="s1"/>
                <w:rFonts w:eastAsia="Times New Roman"/>
                <w:color w:val="000000" w:themeColor="text1"/>
                <w:sz w:val="20"/>
                <w:szCs w:val="20"/>
              </w:rPr>
              <w:t>should include a well-maintained talent pool in their strategy.’ (AIHR, 2020). Discuss with examples. (3.3, 3.4)</w:t>
            </w:r>
          </w:p>
        </w:tc>
        <w:tc>
          <w:tcPr>
            <w:tcW w:w="4678" w:type="dxa"/>
          </w:tcPr>
          <w:p w14:paraId="1E28A269" w14:textId="5574F344" w:rsidR="00463CE2" w:rsidRPr="00463CE2" w:rsidRDefault="00463CE2" w:rsidP="00463CE2">
            <w:pPr>
              <w:widowControl w:val="0"/>
              <w:autoSpaceDE w:val="0"/>
              <w:autoSpaceDN w:val="0"/>
              <w:adjustRightInd w:val="0"/>
              <w:spacing w:after="240"/>
              <w:jc w:val="both"/>
              <w:rPr>
                <w:rFonts w:ascii="Times" w:hAnsi="Times" w:cs="Times"/>
                <w:sz w:val="20"/>
                <w:szCs w:val="20"/>
                <w:lang w:val="en-US"/>
              </w:rPr>
            </w:pPr>
            <w:r w:rsidRPr="00463CE2">
              <w:rPr>
                <w:rFonts w:ascii="Arial" w:hAnsi="Arial" w:cs="Arial"/>
                <w:b/>
                <w:bCs/>
                <w:sz w:val="20"/>
                <w:szCs w:val="20"/>
                <w:lang w:val="en-US"/>
              </w:rPr>
              <w:t xml:space="preserve">3.3 </w:t>
            </w:r>
            <w:r w:rsidRPr="00463CE2">
              <w:rPr>
                <w:rFonts w:ascii="Arial" w:hAnsi="Arial" w:cs="Arial"/>
                <w:b/>
                <w:bCs/>
                <w:sz w:val="20"/>
                <w:szCs w:val="20"/>
                <w:lang w:val="en-US"/>
              </w:rPr>
              <w:t xml:space="preserve">Evaluate approaches that an organisation can take to build and support different talent pools. </w:t>
            </w:r>
          </w:p>
          <w:p w14:paraId="17EB68DF" w14:textId="77777777" w:rsidR="00463CE2" w:rsidRPr="00463CE2" w:rsidRDefault="00463CE2" w:rsidP="00463CE2">
            <w:pPr>
              <w:widowControl w:val="0"/>
              <w:autoSpaceDE w:val="0"/>
              <w:autoSpaceDN w:val="0"/>
              <w:adjustRightInd w:val="0"/>
              <w:spacing w:after="240"/>
              <w:jc w:val="both"/>
              <w:rPr>
                <w:rFonts w:ascii="Times" w:hAnsi="Times" w:cs="Times"/>
                <w:sz w:val="20"/>
                <w:szCs w:val="20"/>
                <w:lang w:val="en-US"/>
              </w:rPr>
            </w:pPr>
            <w:r w:rsidRPr="00463CE2">
              <w:rPr>
                <w:rFonts w:ascii="Arial" w:hAnsi="Arial" w:cs="Arial"/>
                <w:sz w:val="20"/>
                <w:szCs w:val="20"/>
                <w:lang w:val="en-US"/>
              </w:rPr>
              <w:t xml:space="preserve">Definition of talent pool; inclusive recruitment and selection approaches; learning and development initiatives including coaching and mentoring; role of performance reviews; use of analytical tools. </w:t>
            </w:r>
          </w:p>
          <w:p w14:paraId="3D22E2E4" w14:textId="0D585A16" w:rsidR="00463CE2" w:rsidRPr="00463CE2" w:rsidRDefault="00463CE2" w:rsidP="00463CE2">
            <w:pPr>
              <w:widowControl w:val="0"/>
              <w:autoSpaceDE w:val="0"/>
              <w:autoSpaceDN w:val="0"/>
              <w:adjustRightInd w:val="0"/>
              <w:spacing w:after="240"/>
              <w:jc w:val="both"/>
              <w:rPr>
                <w:rFonts w:ascii="Times" w:hAnsi="Times" w:cs="Times"/>
                <w:sz w:val="20"/>
                <w:szCs w:val="20"/>
                <w:lang w:val="en-US"/>
              </w:rPr>
            </w:pPr>
            <w:r w:rsidRPr="00463CE2">
              <w:rPr>
                <w:rFonts w:ascii="Arial" w:hAnsi="Arial" w:cs="Arial"/>
                <w:b/>
                <w:bCs/>
                <w:sz w:val="20"/>
                <w:szCs w:val="20"/>
                <w:lang w:val="en-US"/>
              </w:rPr>
              <w:t xml:space="preserve">3.4 </w:t>
            </w:r>
            <w:r w:rsidRPr="00463CE2">
              <w:rPr>
                <w:rFonts w:ascii="Arial" w:hAnsi="Arial" w:cs="Arial"/>
                <w:b/>
                <w:bCs/>
                <w:sz w:val="20"/>
                <w:szCs w:val="20"/>
                <w:lang w:val="en-US"/>
              </w:rPr>
              <w:t>Evaluate</w:t>
            </w:r>
            <w:r w:rsidRPr="00463CE2">
              <w:rPr>
                <w:rFonts w:ascii="Arial" w:hAnsi="Arial" w:cs="Arial"/>
                <w:b/>
                <w:bCs/>
                <w:sz w:val="20"/>
                <w:szCs w:val="20"/>
                <w:lang w:val="en-US"/>
              </w:rPr>
              <w:t xml:space="preserve"> </w:t>
            </w:r>
            <w:r w:rsidRPr="00463CE2">
              <w:rPr>
                <w:rFonts w:ascii="Arial" w:hAnsi="Arial" w:cs="Arial"/>
                <w:b/>
                <w:bCs/>
                <w:sz w:val="20"/>
                <w:szCs w:val="20"/>
                <w:lang w:val="en-US"/>
              </w:rPr>
              <w:t>the</w:t>
            </w:r>
            <w:r w:rsidRPr="00463CE2">
              <w:rPr>
                <w:rFonts w:ascii="Arial" w:hAnsi="Arial" w:cs="Arial"/>
                <w:b/>
                <w:bCs/>
                <w:sz w:val="20"/>
                <w:szCs w:val="20"/>
                <w:lang w:val="en-US"/>
              </w:rPr>
              <w:t xml:space="preserve"> </w:t>
            </w:r>
            <w:r w:rsidRPr="00463CE2">
              <w:rPr>
                <w:rFonts w:ascii="Arial" w:hAnsi="Arial" w:cs="Arial"/>
                <w:b/>
                <w:bCs/>
                <w:sz w:val="20"/>
                <w:szCs w:val="20"/>
                <w:lang w:val="en-US"/>
              </w:rPr>
              <w:t>benefits</w:t>
            </w:r>
            <w:r w:rsidRPr="00463CE2">
              <w:rPr>
                <w:rFonts w:ascii="Arial" w:hAnsi="Arial" w:cs="Arial"/>
                <w:b/>
                <w:bCs/>
                <w:sz w:val="20"/>
                <w:szCs w:val="20"/>
                <w:lang w:val="en-US"/>
              </w:rPr>
              <w:t xml:space="preserve"> </w:t>
            </w:r>
            <w:r w:rsidRPr="00463CE2">
              <w:rPr>
                <w:rFonts w:ascii="Arial" w:hAnsi="Arial" w:cs="Arial"/>
                <w:b/>
                <w:bCs/>
                <w:sz w:val="20"/>
                <w:szCs w:val="20"/>
                <w:lang w:val="en-US"/>
              </w:rPr>
              <w:t>of</w:t>
            </w:r>
            <w:r w:rsidRPr="00463CE2">
              <w:rPr>
                <w:rFonts w:ascii="Arial" w:hAnsi="Arial" w:cs="Arial"/>
                <w:b/>
                <w:bCs/>
                <w:sz w:val="20"/>
                <w:szCs w:val="20"/>
                <w:lang w:val="en-US"/>
              </w:rPr>
              <w:t xml:space="preserve"> </w:t>
            </w:r>
            <w:r w:rsidRPr="00463CE2">
              <w:rPr>
                <w:rFonts w:ascii="Arial" w:hAnsi="Arial" w:cs="Arial"/>
                <w:b/>
                <w:bCs/>
                <w:sz w:val="20"/>
                <w:szCs w:val="20"/>
                <w:lang w:val="en-US"/>
              </w:rPr>
              <w:t>diversity</w:t>
            </w:r>
            <w:r w:rsidRPr="00463CE2">
              <w:rPr>
                <w:rFonts w:ascii="Arial" w:hAnsi="Arial" w:cs="Arial"/>
                <w:b/>
                <w:bCs/>
                <w:sz w:val="20"/>
                <w:szCs w:val="20"/>
                <w:lang w:val="en-US"/>
              </w:rPr>
              <w:t xml:space="preserve"> </w:t>
            </w:r>
            <w:r w:rsidRPr="00463CE2">
              <w:rPr>
                <w:rFonts w:ascii="Arial" w:hAnsi="Arial" w:cs="Arial"/>
                <w:b/>
                <w:bCs/>
                <w:sz w:val="20"/>
                <w:szCs w:val="20"/>
                <w:lang w:val="en-US"/>
              </w:rPr>
              <w:t xml:space="preserve">in building and supporting talent pools. </w:t>
            </w:r>
          </w:p>
          <w:p w14:paraId="7E672149" w14:textId="77777777" w:rsidR="00463CE2" w:rsidRPr="00463CE2" w:rsidRDefault="00463CE2" w:rsidP="00463CE2">
            <w:pPr>
              <w:widowControl w:val="0"/>
              <w:autoSpaceDE w:val="0"/>
              <w:autoSpaceDN w:val="0"/>
              <w:adjustRightInd w:val="0"/>
              <w:spacing w:after="240"/>
              <w:jc w:val="both"/>
              <w:rPr>
                <w:rFonts w:ascii="Times" w:hAnsi="Times" w:cs="Times"/>
                <w:sz w:val="20"/>
                <w:szCs w:val="20"/>
                <w:lang w:val="en-US"/>
              </w:rPr>
            </w:pPr>
            <w:r w:rsidRPr="00463CE2">
              <w:rPr>
                <w:rFonts w:ascii="Arial" w:hAnsi="Arial" w:cs="Arial"/>
                <w:sz w:val="20"/>
                <w:szCs w:val="20"/>
                <w:lang w:val="en-US"/>
              </w:rPr>
              <w:t xml:space="preserve">Enriched perspectives; increased creativity; lower employee turnover; positive impact on employer brand; improved decision-making; improved knowledge and understanding; reduced language barriers; higher engagement; reduced risk of discrimination, awareness of potential pitfalls and difficulties. </w:t>
            </w:r>
          </w:p>
          <w:p w14:paraId="2B179A27" w14:textId="77777777" w:rsidR="005C7B0C" w:rsidRPr="00B10E46" w:rsidRDefault="005C7B0C" w:rsidP="00463CE2">
            <w:pPr>
              <w:widowControl w:val="0"/>
              <w:tabs>
                <w:tab w:val="left" w:pos="220"/>
                <w:tab w:val="left" w:pos="720"/>
              </w:tabs>
              <w:autoSpaceDE w:val="0"/>
              <w:autoSpaceDN w:val="0"/>
              <w:adjustRightInd w:val="0"/>
              <w:spacing w:after="240"/>
              <w:rPr>
                <w:rFonts w:ascii="Arial" w:hAnsi="Arial" w:cs="Arial"/>
                <w:b/>
                <w:bCs/>
                <w:sz w:val="16"/>
                <w:szCs w:val="16"/>
              </w:rPr>
            </w:pPr>
          </w:p>
        </w:tc>
        <w:tc>
          <w:tcPr>
            <w:tcW w:w="3118" w:type="dxa"/>
          </w:tcPr>
          <w:p w14:paraId="4381A701" w14:textId="31CE92F6" w:rsidR="005C7B0C" w:rsidRPr="00B10E46" w:rsidRDefault="005C7B0C" w:rsidP="005C7B0C">
            <w:pPr>
              <w:rPr>
                <w:rFonts w:ascii="Arial" w:hAnsi="Arial" w:cs="Arial"/>
                <w:b/>
                <w:bCs/>
                <w:sz w:val="16"/>
                <w:szCs w:val="16"/>
              </w:rPr>
            </w:pPr>
            <w:bookmarkStart w:id="0" w:name="_GoBack"/>
            <w:bookmarkEnd w:id="0"/>
          </w:p>
        </w:tc>
      </w:tr>
      <w:tr w:rsidR="00463CE2" w:rsidRPr="00B10E46" w14:paraId="37CDF15B" w14:textId="77777777" w:rsidTr="00262D16">
        <w:tc>
          <w:tcPr>
            <w:tcW w:w="2410" w:type="dxa"/>
          </w:tcPr>
          <w:p w14:paraId="4C2B02EA" w14:textId="606D98C1" w:rsidR="005C7B0C" w:rsidRPr="00463CE2" w:rsidRDefault="00463CE2" w:rsidP="00463CE2">
            <w:pPr>
              <w:pStyle w:val="NormalWeb"/>
              <w:numPr>
                <w:ilvl w:val="0"/>
                <w:numId w:val="18"/>
              </w:numPr>
              <w:rPr>
                <w:rFonts w:ascii="Arial" w:hAnsi="Arial" w:cs="Arial"/>
                <w:bCs/>
                <w:color w:val="000000" w:themeColor="text1"/>
                <w:sz w:val="20"/>
                <w:szCs w:val="20"/>
              </w:rPr>
            </w:pPr>
            <w:r w:rsidRPr="00463CE2">
              <w:rPr>
                <w:rFonts w:ascii="Arial" w:eastAsia="Times New Roman" w:hAnsi="Arial" w:cs="Arial"/>
                <w:color w:val="000000" w:themeColor="text1"/>
                <w:sz w:val="20"/>
                <w:szCs w:val="20"/>
              </w:rPr>
              <w:t xml:space="preserve">According to the </w:t>
            </w:r>
            <w:r w:rsidRPr="00463CE2">
              <w:rPr>
                <w:rFonts w:ascii="Arial" w:hAnsi="Arial" w:cs="Arial"/>
                <w:color w:val="000000" w:themeColor="text1"/>
                <w:sz w:val="20"/>
                <w:szCs w:val="20"/>
              </w:rPr>
              <w:t>Suff</w:t>
            </w:r>
            <w:r w:rsidRPr="00463CE2">
              <w:rPr>
                <w:rFonts w:ascii="Arial" w:eastAsia="Times New Roman" w:hAnsi="Arial" w:cs="Arial"/>
                <w:color w:val="000000" w:themeColor="text1"/>
                <w:sz w:val="20"/>
                <w:szCs w:val="20"/>
              </w:rPr>
              <w:t xml:space="preserve"> (2021) ‘</w:t>
            </w:r>
            <w:r w:rsidRPr="00463CE2">
              <w:rPr>
                <w:rFonts w:ascii="Arial" w:hAnsi="Arial" w:cs="Arial"/>
                <w:bCs/>
                <w:color w:val="000000" w:themeColor="text1"/>
                <w:sz w:val="20"/>
                <w:szCs w:val="20"/>
              </w:rPr>
              <w:t xml:space="preserve">UK law currently recognises three main types of employment status: </w:t>
            </w:r>
            <w:r w:rsidRPr="00463CE2">
              <w:rPr>
                <w:rFonts w:ascii="Arial" w:eastAsia="Times New Roman" w:hAnsi="Arial" w:cs="Arial"/>
                <w:bCs/>
                <w:color w:val="000000" w:themeColor="text1"/>
                <w:sz w:val="20"/>
                <w:szCs w:val="20"/>
              </w:rPr>
              <w:t xml:space="preserve">employee, </w:t>
            </w:r>
            <w:r w:rsidRPr="00463CE2">
              <w:rPr>
                <w:rFonts w:ascii="Arial" w:eastAsia="Times New Roman" w:hAnsi="Arial" w:cs="Arial"/>
                <w:bCs/>
                <w:color w:val="000000" w:themeColor="text1"/>
                <w:sz w:val="20"/>
                <w:szCs w:val="20"/>
              </w:rPr>
              <w:lastRenderedPageBreak/>
              <w:t xml:space="preserve">worker and self-employed. </w:t>
            </w:r>
            <w:r w:rsidRPr="00463CE2">
              <w:rPr>
                <w:rFonts w:ascii="Arial" w:hAnsi="Arial" w:cs="Arial"/>
                <w:bCs/>
                <w:color w:val="000000" w:themeColor="text1"/>
                <w:sz w:val="20"/>
                <w:szCs w:val="20"/>
              </w:rPr>
              <w:t>An individual's employment rights depend upon whether they are an employee or worker’.  a). Assess how different employment types can meet workforce needs and b) Explain the main contractual terms used in contracts. (4.1, 4.2)</w:t>
            </w:r>
          </w:p>
        </w:tc>
        <w:tc>
          <w:tcPr>
            <w:tcW w:w="4678" w:type="dxa"/>
          </w:tcPr>
          <w:p w14:paraId="1BE6DC56" w14:textId="77777777" w:rsidR="00463CE2" w:rsidRPr="00463CE2" w:rsidRDefault="00463CE2" w:rsidP="00463CE2">
            <w:pPr>
              <w:widowControl w:val="0"/>
              <w:tabs>
                <w:tab w:val="left" w:pos="220"/>
                <w:tab w:val="left" w:pos="720"/>
              </w:tabs>
              <w:autoSpaceDE w:val="0"/>
              <w:autoSpaceDN w:val="0"/>
              <w:adjustRightInd w:val="0"/>
              <w:spacing w:after="240"/>
              <w:jc w:val="both"/>
              <w:rPr>
                <w:rFonts w:ascii="Arial" w:eastAsia="MS Mincho" w:hAnsi="Arial" w:cs="Arial"/>
                <w:sz w:val="20"/>
                <w:szCs w:val="20"/>
                <w:lang w:val="en-US"/>
              </w:rPr>
            </w:pPr>
            <w:r w:rsidRPr="00463CE2">
              <w:rPr>
                <w:rFonts w:ascii="Arial" w:hAnsi="Arial" w:cs="Arial"/>
                <w:b/>
                <w:bCs/>
                <w:sz w:val="20"/>
                <w:szCs w:val="20"/>
                <w:lang w:val="en-US"/>
              </w:rPr>
              <w:lastRenderedPageBreak/>
              <w:t xml:space="preserve">4.1 </w:t>
            </w:r>
            <w:r w:rsidRPr="00463CE2">
              <w:rPr>
                <w:rFonts w:ascii="Arial" w:hAnsi="Arial" w:cs="Arial"/>
                <w:b/>
                <w:bCs/>
                <w:sz w:val="20"/>
                <w:szCs w:val="20"/>
                <w:lang w:val="en-US"/>
              </w:rPr>
              <w:t xml:space="preserve">Assess suitable types of contractual arrangements dependent on specific workforce need. </w:t>
            </w:r>
            <w:r w:rsidRPr="00463CE2">
              <w:rPr>
                <w:rFonts w:ascii="MS Mincho" w:eastAsia="MS Mincho" w:hAnsi="MS Mincho" w:cs="MS Mincho"/>
                <w:sz w:val="20"/>
                <w:szCs w:val="20"/>
                <w:lang w:val="en-US"/>
              </w:rPr>
              <w:t> </w:t>
            </w:r>
          </w:p>
          <w:p w14:paraId="46136B7E" w14:textId="029F9F45" w:rsidR="00463CE2" w:rsidRPr="00463CE2" w:rsidRDefault="00463CE2" w:rsidP="00463CE2">
            <w:pPr>
              <w:widowControl w:val="0"/>
              <w:tabs>
                <w:tab w:val="left" w:pos="220"/>
                <w:tab w:val="left" w:pos="720"/>
              </w:tabs>
              <w:autoSpaceDE w:val="0"/>
              <w:autoSpaceDN w:val="0"/>
              <w:adjustRightInd w:val="0"/>
              <w:spacing w:after="240"/>
              <w:jc w:val="both"/>
              <w:rPr>
                <w:rFonts w:ascii="Arial" w:hAnsi="Arial" w:cs="Arial"/>
                <w:sz w:val="20"/>
                <w:szCs w:val="20"/>
                <w:lang w:val="en-US"/>
              </w:rPr>
            </w:pPr>
            <w:r w:rsidRPr="00463CE2">
              <w:rPr>
                <w:rFonts w:ascii="Arial" w:hAnsi="Arial" w:cs="Arial"/>
                <w:sz w:val="20"/>
                <w:szCs w:val="20"/>
                <w:lang w:val="en-US"/>
              </w:rPr>
              <w:t xml:space="preserve">Matching workforce need to contractual arrangements. How work can be delivered through different contracts: employee, worker, contractor; permanent, temporary, full-time, part-time, zero-hours; how work can be delivered and resourced in </w:t>
            </w:r>
            <w:r w:rsidRPr="00463CE2">
              <w:rPr>
                <w:rFonts w:ascii="Arial" w:hAnsi="Arial" w:cs="Arial"/>
                <w:sz w:val="20"/>
                <w:szCs w:val="20"/>
                <w:lang w:val="en-US"/>
              </w:rPr>
              <w:lastRenderedPageBreak/>
              <w:t xml:space="preserve">different ways including the ‘gig economy’. Financial terms, work practice terms, </w:t>
            </w:r>
            <w:proofErr w:type="spellStart"/>
            <w:r w:rsidRPr="00463CE2">
              <w:rPr>
                <w:rFonts w:ascii="Arial" w:hAnsi="Arial" w:cs="Arial"/>
                <w:sz w:val="20"/>
                <w:szCs w:val="20"/>
                <w:lang w:val="en-US"/>
              </w:rPr>
              <w:t>behavioural</w:t>
            </w:r>
            <w:proofErr w:type="spellEnd"/>
            <w:r w:rsidRPr="00463CE2">
              <w:rPr>
                <w:rFonts w:ascii="Arial" w:hAnsi="Arial" w:cs="Arial"/>
                <w:sz w:val="20"/>
                <w:szCs w:val="20"/>
                <w:lang w:val="en-US"/>
              </w:rPr>
              <w:t xml:space="preserve"> terms, attendance and sickness, reporting. </w:t>
            </w:r>
            <w:r w:rsidRPr="00463CE2">
              <w:rPr>
                <w:rFonts w:ascii="MS Mincho" w:eastAsia="MS Mincho" w:hAnsi="MS Mincho" w:cs="MS Mincho"/>
                <w:sz w:val="20"/>
                <w:szCs w:val="20"/>
                <w:lang w:val="en-US"/>
              </w:rPr>
              <w:t> </w:t>
            </w:r>
          </w:p>
          <w:p w14:paraId="339A7550" w14:textId="77777777" w:rsidR="00463CE2" w:rsidRPr="00463CE2" w:rsidRDefault="00463CE2" w:rsidP="00463CE2">
            <w:pPr>
              <w:widowControl w:val="0"/>
              <w:tabs>
                <w:tab w:val="left" w:pos="220"/>
                <w:tab w:val="left" w:pos="720"/>
              </w:tabs>
              <w:autoSpaceDE w:val="0"/>
              <w:autoSpaceDN w:val="0"/>
              <w:adjustRightInd w:val="0"/>
              <w:spacing w:after="240"/>
              <w:jc w:val="both"/>
              <w:rPr>
                <w:rFonts w:ascii="Arial" w:eastAsia="MS Mincho" w:hAnsi="Arial" w:cs="Arial"/>
                <w:sz w:val="20"/>
                <w:szCs w:val="20"/>
                <w:lang w:val="en-US"/>
              </w:rPr>
            </w:pPr>
            <w:proofErr w:type="gramStart"/>
            <w:r w:rsidRPr="00463CE2">
              <w:rPr>
                <w:rFonts w:ascii="Arial" w:hAnsi="Arial" w:cs="Arial"/>
                <w:b/>
                <w:bCs/>
                <w:sz w:val="20"/>
                <w:szCs w:val="20"/>
                <w:lang w:val="en-US"/>
              </w:rPr>
              <w:t>4.2  Differentiate</w:t>
            </w:r>
            <w:proofErr w:type="gramEnd"/>
            <w:r w:rsidRPr="00463CE2">
              <w:rPr>
                <w:rFonts w:ascii="Arial" w:hAnsi="Arial" w:cs="Arial"/>
                <w:b/>
                <w:bCs/>
                <w:sz w:val="20"/>
                <w:szCs w:val="20"/>
                <w:lang w:val="en-US"/>
              </w:rPr>
              <w:t xml:space="preserve"> </w:t>
            </w:r>
            <w:r w:rsidRPr="00463CE2">
              <w:rPr>
                <w:rFonts w:ascii="Arial" w:hAnsi="Arial" w:cs="Arial"/>
                <w:b/>
                <w:bCs/>
                <w:sz w:val="20"/>
                <w:szCs w:val="20"/>
                <w:lang w:val="en-US"/>
              </w:rPr>
              <w:t>between</w:t>
            </w:r>
            <w:r w:rsidRPr="00463CE2">
              <w:rPr>
                <w:rFonts w:ascii="Arial" w:hAnsi="Arial" w:cs="Arial"/>
                <w:b/>
                <w:bCs/>
                <w:sz w:val="20"/>
                <w:szCs w:val="20"/>
                <w:lang w:val="en-US"/>
              </w:rPr>
              <w:t xml:space="preserve"> </w:t>
            </w:r>
            <w:r w:rsidRPr="00463CE2">
              <w:rPr>
                <w:rFonts w:ascii="Arial" w:hAnsi="Arial" w:cs="Arial"/>
                <w:b/>
                <w:bCs/>
                <w:sz w:val="20"/>
                <w:szCs w:val="20"/>
                <w:lang w:val="en-US"/>
              </w:rPr>
              <w:t>the</w:t>
            </w:r>
            <w:r w:rsidRPr="00463CE2">
              <w:rPr>
                <w:rFonts w:ascii="Arial" w:hAnsi="Arial" w:cs="Arial"/>
                <w:b/>
                <w:bCs/>
                <w:sz w:val="20"/>
                <w:szCs w:val="20"/>
                <w:lang w:val="en-US"/>
              </w:rPr>
              <w:t xml:space="preserve"> </w:t>
            </w:r>
            <w:r w:rsidRPr="00463CE2">
              <w:rPr>
                <w:rFonts w:ascii="Arial" w:hAnsi="Arial" w:cs="Arial"/>
                <w:b/>
                <w:bCs/>
                <w:sz w:val="20"/>
                <w:szCs w:val="20"/>
                <w:lang w:val="en-US"/>
              </w:rPr>
              <w:t>main</w:t>
            </w:r>
            <w:r w:rsidRPr="00463CE2">
              <w:rPr>
                <w:rFonts w:ascii="Arial" w:hAnsi="Arial" w:cs="Arial"/>
                <w:b/>
                <w:bCs/>
                <w:sz w:val="20"/>
                <w:szCs w:val="20"/>
                <w:lang w:val="en-US"/>
              </w:rPr>
              <w:t xml:space="preserve"> </w:t>
            </w:r>
            <w:r w:rsidRPr="00463CE2">
              <w:rPr>
                <w:rFonts w:ascii="Arial" w:hAnsi="Arial" w:cs="Arial"/>
                <w:b/>
                <w:bCs/>
                <w:sz w:val="20"/>
                <w:szCs w:val="20"/>
                <w:lang w:val="en-US"/>
              </w:rPr>
              <w:t>types</w:t>
            </w:r>
            <w:r w:rsidRPr="00463CE2">
              <w:rPr>
                <w:rFonts w:ascii="Arial" w:hAnsi="Arial" w:cs="Arial"/>
                <w:b/>
                <w:bCs/>
                <w:sz w:val="20"/>
                <w:szCs w:val="20"/>
                <w:lang w:val="en-US"/>
              </w:rPr>
              <w:t xml:space="preserve"> </w:t>
            </w:r>
            <w:r w:rsidRPr="00463CE2">
              <w:rPr>
                <w:rFonts w:ascii="Arial" w:hAnsi="Arial" w:cs="Arial"/>
                <w:b/>
                <w:bCs/>
                <w:sz w:val="20"/>
                <w:szCs w:val="20"/>
                <w:lang w:val="en-US"/>
              </w:rPr>
              <w:t xml:space="preserve">of contractual terms in contracts. </w:t>
            </w:r>
            <w:r w:rsidRPr="00463CE2">
              <w:rPr>
                <w:rFonts w:ascii="MS Mincho" w:eastAsia="MS Mincho" w:hAnsi="MS Mincho" w:cs="MS Mincho"/>
                <w:sz w:val="20"/>
                <w:szCs w:val="20"/>
                <w:lang w:val="en-US"/>
              </w:rPr>
              <w:t> </w:t>
            </w:r>
          </w:p>
          <w:p w14:paraId="720FA8EC" w14:textId="4793508F" w:rsidR="00463CE2" w:rsidRPr="00463CE2" w:rsidRDefault="00463CE2" w:rsidP="00463CE2">
            <w:pPr>
              <w:widowControl w:val="0"/>
              <w:tabs>
                <w:tab w:val="left" w:pos="220"/>
                <w:tab w:val="left" w:pos="720"/>
              </w:tabs>
              <w:autoSpaceDE w:val="0"/>
              <w:autoSpaceDN w:val="0"/>
              <w:adjustRightInd w:val="0"/>
              <w:spacing w:after="240"/>
              <w:jc w:val="both"/>
              <w:rPr>
                <w:rFonts w:ascii="Arial" w:hAnsi="Arial" w:cs="Arial"/>
                <w:sz w:val="20"/>
                <w:szCs w:val="20"/>
                <w:lang w:val="en-US"/>
              </w:rPr>
            </w:pPr>
            <w:r w:rsidRPr="00463CE2">
              <w:rPr>
                <w:rFonts w:ascii="Arial" w:hAnsi="Arial" w:cs="Arial"/>
                <w:sz w:val="20"/>
                <w:szCs w:val="20"/>
                <w:lang w:val="en-US"/>
              </w:rPr>
              <w:t xml:space="preserve">Including express terms; implied terms: differences between terms implied in all contracts and terms implied through custom and practice; incorporated terms such as those included in handbooks and incorporated through collective agreements. </w:t>
            </w:r>
            <w:r w:rsidRPr="00463CE2">
              <w:rPr>
                <w:rFonts w:ascii="MS Mincho" w:eastAsia="MS Mincho" w:hAnsi="MS Mincho" w:cs="MS Mincho"/>
                <w:sz w:val="20"/>
                <w:szCs w:val="20"/>
                <w:lang w:val="en-US"/>
              </w:rPr>
              <w:t> </w:t>
            </w:r>
          </w:p>
          <w:p w14:paraId="291BB748" w14:textId="77777777" w:rsidR="005C7B0C" w:rsidRPr="00B10E46" w:rsidRDefault="005C7B0C" w:rsidP="00463CE2">
            <w:pPr>
              <w:widowControl w:val="0"/>
              <w:tabs>
                <w:tab w:val="left" w:pos="220"/>
                <w:tab w:val="left" w:pos="720"/>
              </w:tabs>
              <w:autoSpaceDE w:val="0"/>
              <w:autoSpaceDN w:val="0"/>
              <w:adjustRightInd w:val="0"/>
              <w:spacing w:after="240"/>
              <w:jc w:val="both"/>
              <w:rPr>
                <w:rFonts w:ascii="Arial" w:hAnsi="Arial" w:cs="Arial"/>
                <w:b/>
                <w:bCs/>
                <w:sz w:val="16"/>
                <w:szCs w:val="16"/>
              </w:rPr>
            </w:pPr>
          </w:p>
        </w:tc>
        <w:tc>
          <w:tcPr>
            <w:tcW w:w="3118" w:type="dxa"/>
          </w:tcPr>
          <w:p w14:paraId="27530AB1" w14:textId="79865743" w:rsidR="005C7B0C" w:rsidRPr="00B10E46" w:rsidRDefault="005C7B0C" w:rsidP="005C7B0C">
            <w:pPr>
              <w:rPr>
                <w:rFonts w:ascii="Arial" w:hAnsi="Arial" w:cs="Arial"/>
                <w:b/>
                <w:bCs/>
                <w:sz w:val="16"/>
                <w:szCs w:val="16"/>
              </w:rPr>
            </w:pPr>
          </w:p>
        </w:tc>
      </w:tr>
    </w:tbl>
    <w:p w14:paraId="1ED6FB7F" w14:textId="14765981" w:rsidR="00664BB3" w:rsidRPr="00B10E46" w:rsidRDefault="00664BB3">
      <w:pPr>
        <w:rPr>
          <w:rFonts w:ascii="Arial" w:hAnsi="Arial" w:cs="Arial"/>
          <w:sz w:val="16"/>
          <w:szCs w:val="16"/>
        </w:rPr>
      </w:pPr>
    </w:p>
    <w:sectPr w:rsidR="00664BB3" w:rsidRPr="00B10E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1D74EB"/>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nsid w:val="052E7285"/>
    <w:multiLevelType w:val="hybridMultilevel"/>
    <w:tmpl w:val="CDF0128E"/>
    <w:lvl w:ilvl="0" w:tplc="0809000F">
      <w:start w:val="1"/>
      <w:numFmt w:val="decimal"/>
      <w:lvlText w:val="%1."/>
      <w:lvlJc w:val="left"/>
    </w:lvl>
    <w:lvl w:ilvl="1" w:tplc="08090019">
      <w:start w:val="1"/>
      <w:numFmt w:val="lowerLetter"/>
      <w:lvlText w:val="%2."/>
      <w:lvlJc w:val="left"/>
      <w:pPr>
        <w:ind w:left="-1059" w:hanging="360"/>
      </w:pPr>
    </w:lvl>
    <w:lvl w:ilvl="2" w:tplc="0809001B">
      <w:start w:val="1"/>
      <w:numFmt w:val="lowerRoman"/>
      <w:lvlText w:val="%3."/>
      <w:lvlJc w:val="right"/>
      <w:pPr>
        <w:ind w:left="-339" w:hanging="180"/>
      </w:pPr>
    </w:lvl>
    <w:lvl w:ilvl="3" w:tplc="0809000F">
      <w:start w:val="1"/>
      <w:numFmt w:val="decimal"/>
      <w:lvlText w:val="%4."/>
      <w:lvlJc w:val="left"/>
      <w:pPr>
        <w:ind w:left="381" w:hanging="360"/>
      </w:pPr>
    </w:lvl>
    <w:lvl w:ilvl="4" w:tplc="08090019">
      <w:start w:val="1"/>
      <w:numFmt w:val="lowerLetter"/>
      <w:lvlText w:val="%5."/>
      <w:lvlJc w:val="left"/>
      <w:pPr>
        <w:ind w:left="1101" w:hanging="360"/>
      </w:pPr>
    </w:lvl>
    <w:lvl w:ilvl="5" w:tplc="0809001B">
      <w:start w:val="1"/>
      <w:numFmt w:val="lowerRoman"/>
      <w:lvlText w:val="%6."/>
      <w:lvlJc w:val="right"/>
      <w:pPr>
        <w:ind w:left="1821" w:hanging="180"/>
      </w:pPr>
    </w:lvl>
    <w:lvl w:ilvl="6" w:tplc="0809000F">
      <w:start w:val="1"/>
      <w:numFmt w:val="decimal"/>
      <w:lvlText w:val="%7."/>
      <w:lvlJc w:val="left"/>
      <w:pPr>
        <w:ind w:left="2541" w:hanging="360"/>
      </w:pPr>
    </w:lvl>
    <w:lvl w:ilvl="7" w:tplc="08090019">
      <w:start w:val="1"/>
      <w:numFmt w:val="lowerLetter"/>
      <w:lvlText w:val="%8."/>
      <w:lvlJc w:val="left"/>
      <w:pPr>
        <w:ind w:left="3261" w:hanging="360"/>
      </w:pPr>
    </w:lvl>
    <w:lvl w:ilvl="8" w:tplc="0809001B">
      <w:start w:val="1"/>
      <w:numFmt w:val="lowerRoman"/>
      <w:lvlText w:val="%9."/>
      <w:lvlJc w:val="right"/>
      <w:pPr>
        <w:ind w:left="3981" w:hanging="180"/>
      </w:pPr>
    </w:lvl>
  </w:abstractNum>
  <w:abstractNum w:abstractNumId="3">
    <w:nsid w:val="0DC04352"/>
    <w:multiLevelType w:val="hybridMultilevel"/>
    <w:tmpl w:val="DF08BD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B574A5"/>
    <w:multiLevelType w:val="multilevel"/>
    <w:tmpl w:val="8CE80E18"/>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C91211"/>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nsid w:val="20895C27"/>
    <w:multiLevelType w:val="multilevel"/>
    <w:tmpl w:val="420A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A30C0C"/>
    <w:multiLevelType w:val="multilevel"/>
    <w:tmpl w:val="A666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91BCA"/>
    <w:multiLevelType w:val="multilevel"/>
    <w:tmpl w:val="781AF9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16066E4"/>
    <w:multiLevelType w:val="hybridMultilevel"/>
    <w:tmpl w:val="066EE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7F6DBE"/>
    <w:multiLevelType w:val="multilevel"/>
    <w:tmpl w:val="CF82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F03012"/>
    <w:multiLevelType w:val="hybridMultilevel"/>
    <w:tmpl w:val="EF2036B0"/>
    <w:lvl w:ilvl="0" w:tplc="FBCA2EB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D7E4C65"/>
    <w:multiLevelType w:val="multilevel"/>
    <w:tmpl w:val="E92A93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5395446"/>
    <w:multiLevelType w:val="hybridMultilevel"/>
    <w:tmpl w:val="A26A6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6463A0A"/>
    <w:multiLevelType w:val="multilevel"/>
    <w:tmpl w:val="B1741C68"/>
    <w:lvl w:ilvl="0">
      <w:start w:val="1"/>
      <w:numFmt w:val="decimal"/>
      <w:lvlText w:val="%1"/>
      <w:lvlJc w:val="left"/>
      <w:pPr>
        <w:ind w:left="520" w:hanging="520"/>
      </w:pPr>
      <w:rPr>
        <w:rFonts w:ascii="Arial" w:eastAsiaTheme="minorHAnsi" w:hAnsi="Arial" w:cs="Arial" w:hint="default"/>
        <w:b/>
      </w:rPr>
    </w:lvl>
    <w:lvl w:ilvl="1">
      <w:start w:val="1"/>
      <w:numFmt w:val="decimal"/>
      <w:lvlText w:val="%1.%2"/>
      <w:lvlJc w:val="left"/>
      <w:pPr>
        <w:ind w:left="520" w:hanging="520"/>
      </w:pPr>
      <w:rPr>
        <w:rFonts w:ascii="Arial" w:eastAsiaTheme="minorHAnsi" w:hAnsi="Arial" w:cs="Arial" w:hint="default"/>
        <w:b/>
      </w:rPr>
    </w:lvl>
    <w:lvl w:ilvl="2">
      <w:start w:val="1"/>
      <w:numFmt w:val="decimal"/>
      <w:lvlText w:val="%1.%2.%3"/>
      <w:lvlJc w:val="left"/>
      <w:pPr>
        <w:ind w:left="720" w:hanging="720"/>
      </w:pPr>
      <w:rPr>
        <w:rFonts w:ascii="Arial" w:eastAsiaTheme="minorHAnsi" w:hAnsi="Arial" w:cs="Arial" w:hint="default"/>
        <w:b/>
      </w:rPr>
    </w:lvl>
    <w:lvl w:ilvl="3">
      <w:start w:val="1"/>
      <w:numFmt w:val="decimal"/>
      <w:lvlText w:val="%1.%2.%3.%4"/>
      <w:lvlJc w:val="left"/>
      <w:pPr>
        <w:ind w:left="720" w:hanging="720"/>
      </w:pPr>
      <w:rPr>
        <w:rFonts w:ascii="Arial" w:eastAsiaTheme="minorHAnsi" w:hAnsi="Arial" w:cs="Arial" w:hint="default"/>
        <w:b/>
      </w:rPr>
    </w:lvl>
    <w:lvl w:ilvl="4">
      <w:start w:val="1"/>
      <w:numFmt w:val="decimal"/>
      <w:lvlText w:val="%1.%2.%3.%4.%5"/>
      <w:lvlJc w:val="left"/>
      <w:pPr>
        <w:ind w:left="1080" w:hanging="1080"/>
      </w:pPr>
      <w:rPr>
        <w:rFonts w:ascii="Arial" w:eastAsiaTheme="minorHAnsi" w:hAnsi="Arial" w:cs="Arial" w:hint="default"/>
        <w:b/>
      </w:rPr>
    </w:lvl>
    <w:lvl w:ilvl="5">
      <w:start w:val="1"/>
      <w:numFmt w:val="decimal"/>
      <w:lvlText w:val="%1.%2.%3.%4.%5.%6"/>
      <w:lvlJc w:val="left"/>
      <w:pPr>
        <w:ind w:left="1080" w:hanging="1080"/>
      </w:pPr>
      <w:rPr>
        <w:rFonts w:ascii="Arial" w:eastAsiaTheme="minorHAnsi" w:hAnsi="Arial" w:cs="Arial" w:hint="default"/>
        <w:b/>
      </w:rPr>
    </w:lvl>
    <w:lvl w:ilvl="6">
      <w:start w:val="1"/>
      <w:numFmt w:val="decimal"/>
      <w:lvlText w:val="%1.%2.%3.%4.%5.%6.%7"/>
      <w:lvlJc w:val="left"/>
      <w:pPr>
        <w:ind w:left="1440" w:hanging="1440"/>
      </w:pPr>
      <w:rPr>
        <w:rFonts w:ascii="Arial" w:eastAsiaTheme="minorHAnsi" w:hAnsi="Arial" w:cs="Arial" w:hint="default"/>
        <w:b/>
      </w:rPr>
    </w:lvl>
    <w:lvl w:ilvl="7">
      <w:start w:val="1"/>
      <w:numFmt w:val="decimal"/>
      <w:lvlText w:val="%1.%2.%3.%4.%5.%6.%7.%8"/>
      <w:lvlJc w:val="left"/>
      <w:pPr>
        <w:ind w:left="1440" w:hanging="1440"/>
      </w:pPr>
      <w:rPr>
        <w:rFonts w:ascii="Arial" w:eastAsiaTheme="minorHAnsi" w:hAnsi="Arial" w:cs="Arial" w:hint="default"/>
        <w:b/>
      </w:rPr>
    </w:lvl>
    <w:lvl w:ilvl="8">
      <w:start w:val="1"/>
      <w:numFmt w:val="decimal"/>
      <w:lvlText w:val="%1.%2.%3.%4.%5.%6.%7.%8.%9"/>
      <w:lvlJc w:val="left"/>
      <w:pPr>
        <w:ind w:left="1800" w:hanging="1800"/>
      </w:pPr>
      <w:rPr>
        <w:rFonts w:ascii="Arial" w:eastAsiaTheme="minorHAnsi" w:hAnsi="Arial" w:cs="Arial" w:hint="default"/>
        <w:b/>
      </w:rPr>
    </w:lvl>
  </w:abstractNum>
  <w:abstractNum w:abstractNumId="16">
    <w:nsid w:val="49934DD0"/>
    <w:multiLevelType w:val="hybridMultilevel"/>
    <w:tmpl w:val="B1E405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6362F96"/>
    <w:multiLevelType w:val="hybridMultilevel"/>
    <w:tmpl w:val="C706C5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59" w:hanging="360"/>
      </w:pPr>
    </w:lvl>
    <w:lvl w:ilvl="2" w:tplc="0809001B">
      <w:start w:val="1"/>
      <w:numFmt w:val="lowerRoman"/>
      <w:lvlText w:val="%3."/>
      <w:lvlJc w:val="right"/>
      <w:pPr>
        <w:ind w:left="-339" w:hanging="180"/>
      </w:pPr>
    </w:lvl>
    <w:lvl w:ilvl="3" w:tplc="0809000F">
      <w:start w:val="1"/>
      <w:numFmt w:val="decimal"/>
      <w:lvlText w:val="%4."/>
      <w:lvlJc w:val="left"/>
      <w:pPr>
        <w:ind w:left="381" w:hanging="360"/>
      </w:pPr>
    </w:lvl>
    <w:lvl w:ilvl="4" w:tplc="08090019">
      <w:start w:val="1"/>
      <w:numFmt w:val="lowerLetter"/>
      <w:lvlText w:val="%5."/>
      <w:lvlJc w:val="left"/>
      <w:pPr>
        <w:ind w:left="1101" w:hanging="360"/>
      </w:pPr>
    </w:lvl>
    <w:lvl w:ilvl="5" w:tplc="0809001B">
      <w:start w:val="1"/>
      <w:numFmt w:val="lowerRoman"/>
      <w:lvlText w:val="%6."/>
      <w:lvlJc w:val="right"/>
      <w:pPr>
        <w:ind w:left="1821" w:hanging="180"/>
      </w:pPr>
    </w:lvl>
    <w:lvl w:ilvl="6" w:tplc="0809000F">
      <w:start w:val="1"/>
      <w:numFmt w:val="decimal"/>
      <w:lvlText w:val="%7."/>
      <w:lvlJc w:val="left"/>
      <w:pPr>
        <w:ind w:left="2541" w:hanging="360"/>
      </w:pPr>
    </w:lvl>
    <w:lvl w:ilvl="7" w:tplc="08090019">
      <w:start w:val="1"/>
      <w:numFmt w:val="lowerLetter"/>
      <w:lvlText w:val="%8."/>
      <w:lvlJc w:val="left"/>
      <w:pPr>
        <w:ind w:left="3261" w:hanging="360"/>
      </w:pPr>
    </w:lvl>
    <w:lvl w:ilvl="8" w:tplc="0809001B">
      <w:start w:val="1"/>
      <w:numFmt w:val="lowerRoman"/>
      <w:lvlText w:val="%9."/>
      <w:lvlJc w:val="right"/>
      <w:pPr>
        <w:ind w:left="3981" w:hanging="180"/>
      </w:pPr>
    </w:lvl>
  </w:abstractNum>
  <w:abstractNum w:abstractNumId="19">
    <w:nsid w:val="5D8D259E"/>
    <w:multiLevelType w:val="multilevel"/>
    <w:tmpl w:val="8AB01816"/>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heme="minorHAnsi" w:hAnsiTheme="minorHAnsi" w:cs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65DB6101"/>
    <w:multiLevelType w:val="multilevel"/>
    <w:tmpl w:val="4B4E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8D329E9"/>
    <w:multiLevelType w:val="multilevel"/>
    <w:tmpl w:val="2CAE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614B2E"/>
    <w:multiLevelType w:val="multilevel"/>
    <w:tmpl w:val="C2E8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18"/>
  </w:num>
  <w:num w:numId="2">
    <w:abstractNumId w:val="24"/>
  </w:num>
  <w:num w:numId="3">
    <w:abstractNumId w:val="25"/>
  </w:num>
  <w:num w:numId="4">
    <w:abstractNumId w:val="17"/>
  </w:num>
  <w:num w:numId="5">
    <w:abstractNumId w:val="16"/>
  </w:num>
  <w:num w:numId="6">
    <w:abstractNumId w:val="19"/>
  </w:num>
  <w:num w:numId="7">
    <w:abstractNumId w:val="9"/>
  </w:num>
  <w:num w:numId="8">
    <w:abstractNumId w:val="12"/>
  </w:num>
  <w:num w:numId="9">
    <w:abstractNumId w:val="14"/>
  </w:num>
  <w:num w:numId="10">
    <w:abstractNumId w:val="2"/>
  </w:num>
  <w:num w:numId="11">
    <w:abstractNumId w:val="0"/>
  </w:num>
  <w:num w:numId="12">
    <w:abstractNumId w:val="23"/>
  </w:num>
  <w:num w:numId="13">
    <w:abstractNumId w:val="6"/>
  </w:num>
  <w:num w:numId="14">
    <w:abstractNumId w:val="1"/>
  </w:num>
  <w:num w:numId="15">
    <w:abstractNumId w:val="10"/>
  </w:num>
  <w:num w:numId="16">
    <w:abstractNumId w:val="3"/>
  </w:num>
  <w:num w:numId="17">
    <w:abstractNumId w:val="20"/>
  </w:num>
  <w:num w:numId="18">
    <w:abstractNumId w:val="4"/>
  </w:num>
  <w:num w:numId="19">
    <w:abstractNumId w:val="22"/>
  </w:num>
  <w:num w:numId="20">
    <w:abstractNumId w:val="11"/>
  </w:num>
  <w:num w:numId="21">
    <w:abstractNumId w:val="8"/>
  </w:num>
  <w:num w:numId="22">
    <w:abstractNumId w:val="7"/>
  </w:num>
  <w:num w:numId="23">
    <w:abstractNumId w:val="21"/>
  </w:num>
  <w:num w:numId="24">
    <w:abstractNumId w:val="13"/>
  </w:num>
  <w:num w:numId="25">
    <w:abstractNumId w:val="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4DB"/>
    <w:rsid w:val="00020869"/>
    <w:rsid w:val="000530CA"/>
    <w:rsid w:val="000A61A8"/>
    <w:rsid w:val="000B2A0F"/>
    <w:rsid w:val="000B7E55"/>
    <w:rsid w:val="00113634"/>
    <w:rsid w:val="001323CA"/>
    <w:rsid w:val="00196C46"/>
    <w:rsid w:val="00262D16"/>
    <w:rsid w:val="00275BBE"/>
    <w:rsid w:val="0029475B"/>
    <w:rsid w:val="002A0B30"/>
    <w:rsid w:val="002E6B51"/>
    <w:rsid w:val="003449D9"/>
    <w:rsid w:val="00380930"/>
    <w:rsid w:val="00463CE2"/>
    <w:rsid w:val="004B2FC2"/>
    <w:rsid w:val="004B6700"/>
    <w:rsid w:val="004E1806"/>
    <w:rsid w:val="00525679"/>
    <w:rsid w:val="0053641A"/>
    <w:rsid w:val="005552E0"/>
    <w:rsid w:val="0058355E"/>
    <w:rsid w:val="005956A2"/>
    <w:rsid w:val="005A0F26"/>
    <w:rsid w:val="005C7B0C"/>
    <w:rsid w:val="005E0304"/>
    <w:rsid w:val="0063619A"/>
    <w:rsid w:val="00664BB3"/>
    <w:rsid w:val="006B48E8"/>
    <w:rsid w:val="006B7D5F"/>
    <w:rsid w:val="006D6C83"/>
    <w:rsid w:val="00727513"/>
    <w:rsid w:val="00730500"/>
    <w:rsid w:val="00744B14"/>
    <w:rsid w:val="00762D45"/>
    <w:rsid w:val="00781C91"/>
    <w:rsid w:val="00795BDF"/>
    <w:rsid w:val="007A74DB"/>
    <w:rsid w:val="007E0DFC"/>
    <w:rsid w:val="00831EB6"/>
    <w:rsid w:val="008B382F"/>
    <w:rsid w:val="00900B20"/>
    <w:rsid w:val="0092400F"/>
    <w:rsid w:val="00926D39"/>
    <w:rsid w:val="00946C92"/>
    <w:rsid w:val="009475EE"/>
    <w:rsid w:val="009A00AE"/>
    <w:rsid w:val="009A6C1F"/>
    <w:rsid w:val="009D5F4A"/>
    <w:rsid w:val="00A03550"/>
    <w:rsid w:val="00A259BA"/>
    <w:rsid w:val="00A545E7"/>
    <w:rsid w:val="00A930FF"/>
    <w:rsid w:val="00AA47A2"/>
    <w:rsid w:val="00AA6BE9"/>
    <w:rsid w:val="00AD1E0A"/>
    <w:rsid w:val="00B10E46"/>
    <w:rsid w:val="00B75149"/>
    <w:rsid w:val="00C0324C"/>
    <w:rsid w:val="00C2150E"/>
    <w:rsid w:val="00C870C4"/>
    <w:rsid w:val="00CB0242"/>
    <w:rsid w:val="00CD24DB"/>
    <w:rsid w:val="00CE5C77"/>
    <w:rsid w:val="00D35C07"/>
    <w:rsid w:val="00E1466B"/>
    <w:rsid w:val="00E416C1"/>
    <w:rsid w:val="00E55866"/>
    <w:rsid w:val="00E85F14"/>
    <w:rsid w:val="00E8717B"/>
    <w:rsid w:val="00EA7191"/>
    <w:rsid w:val="00EB7A36"/>
    <w:rsid w:val="00ED3EC5"/>
    <w:rsid w:val="00EE5AD7"/>
    <w:rsid w:val="00EF7E25"/>
    <w:rsid w:val="00F12E19"/>
    <w:rsid w:val="00F2035E"/>
    <w:rsid w:val="00F30893"/>
    <w:rsid w:val="00F421B7"/>
    <w:rsid w:val="00F61D9C"/>
    <w:rsid w:val="00F70F4C"/>
    <w:rsid w:val="00F81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8FC17"/>
  <w15:chartTrackingRefBased/>
  <w15:docId w15:val="{8F460763-BE25-49E5-8B8B-519B2B98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4B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46C92"/>
    <w:pPr>
      <w:widowControl w:val="0"/>
      <w:autoSpaceDE w:val="0"/>
      <w:autoSpaceDN w:val="0"/>
      <w:spacing w:before="120" w:after="0" w:line="240" w:lineRule="auto"/>
      <w:ind w:left="1073" w:hanging="360"/>
    </w:pPr>
    <w:rPr>
      <w:rFonts w:ascii="Arial" w:eastAsia="Arial" w:hAnsi="Arial" w:cs="Arial"/>
    </w:rPr>
  </w:style>
  <w:style w:type="paragraph" w:styleId="BodyText">
    <w:name w:val="Body Text"/>
    <w:basedOn w:val="Normal"/>
    <w:link w:val="BodyTextChar"/>
    <w:uiPriority w:val="1"/>
    <w:qFormat/>
    <w:rsid w:val="00F30893"/>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F30893"/>
    <w:rPr>
      <w:rFonts w:ascii="Arial" w:eastAsia="Arial" w:hAnsi="Arial" w:cs="Arial"/>
    </w:rPr>
  </w:style>
  <w:style w:type="character" w:styleId="Hyperlink">
    <w:name w:val="Hyperlink"/>
    <w:basedOn w:val="DefaultParagraphFont"/>
    <w:uiPriority w:val="99"/>
    <w:unhideWhenUsed/>
    <w:rsid w:val="002E6B51"/>
    <w:rPr>
      <w:color w:val="0563C1" w:themeColor="hyperlink"/>
      <w:u w:val="single"/>
    </w:rPr>
  </w:style>
  <w:style w:type="character" w:customStyle="1" w:styleId="UnresolvedMention">
    <w:name w:val="Unresolved Mention"/>
    <w:basedOn w:val="DefaultParagraphFont"/>
    <w:uiPriority w:val="99"/>
    <w:semiHidden/>
    <w:unhideWhenUsed/>
    <w:rsid w:val="002E6B51"/>
    <w:rPr>
      <w:color w:val="605E5C"/>
      <w:shd w:val="clear" w:color="auto" w:fill="E1DFDD"/>
    </w:rPr>
  </w:style>
  <w:style w:type="paragraph" w:styleId="NormalWeb">
    <w:name w:val="Normal (Web)"/>
    <w:basedOn w:val="Normal"/>
    <w:uiPriority w:val="99"/>
    <w:unhideWhenUsed/>
    <w:rsid w:val="005C7B0C"/>
    <w:pPr>
      <w:spacing w:before="100" w:beforeAutospacing="1" w:after="100" w:afterAutospacing="1" w:line="240" w:lineRule="auto"/>
    </w:pPr>
    <w:rPr>
      <w:rFonts w:ascii="Times New Roman" w:hAnsi="Times New Roman" w:cs="Times New Roman"/>
      <w:sz w:val="24"/>
      <w:szCs w:val="24"/>
      <w:lang w:val="en-US"/>
    </w:rPr>
  </w:style>
  <w:style w:type="paragraph" w:customStyle="1" w:styleId="Nornal">
    <w:name w:val="Nornal"/>
    <w:basedOn w:val="Normal"/>
    <w:link w:val="NornalChar"/>
    <w:qFormat/>
    <w:rsid w:val="00C870C4"/>
    <w:pPr>
      <w:spacing w:line="264" w:lineRule="auto"/>
    </w:pPr>
    <w:rPr>
      <w:rFonts w:ascii="Arial" w:hAnsi="Arial" w:cs="Arial"/>
    </w:rPr>
  </w:style>
  <w:style w:type="character" w:customStyle="1" w:styleId="NornalChar">
    <w:name w:val="Nornal Char"/>
    <w:basedOn w:val="DefaultParagraphFont"/>
    <w:link w:val="Nornal"/>
    <w:rsid w:val="00C870C4"/>
    <w:rPr>
      <w:rFonts w:ascii="Arial" w:hAnsi="Arial" w:cs="Arial"/>
    </w:rPr>
  </w:style>
  <w:style w:type="character" w:customStyle="1" w:styleId="apple-converted-space">
    <w:name w:val="apple-converted-space"/>
    <w:basedOn w:val="DefaultParagraphFont"/>
    <w:rsid w:val="00C870C4"/>
  </w:style>
  <w:style w:type="character" w:customStyle="1" w:styleId="s1">
    <w:name w:val="s1"/>
    <w:basedOn w:val="DefaultParagraphFont"/>
    <w:rsid w:val="00463CE2"/>
  </w:style>
  <w:style w:type="character" w:customStyle="1" w:styleId="s2">
    <w:name w:val="s2"/>
    <w:basedOn w:val="DefaultParagraphFont"/>
    <w:rsid w:val="00463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42635">
      <w:bodyDiv w:val="1"/>
      <w:marLeft w:val="0"/>
      <w:marRight w:val="0"/>
      <w:marTop w:val="0"/>
      <w:marBottom w:val="0"/>
      <w:divBdr>
        <w:top w:val="none" w:sz="0" w:space="0" w:color="auto"/>
        <w:left w:val="none" w:sz="0" w:space="0" w:color="auto"/>
        <w:bottom w:val="none" w:sz="0" w:space="0" w:color="auto"/>
        <w:right w:val="none" w:sz="0" w:space="0" w:color="auto"/>
      </w:divBdr>
      <w:divsChild>
        <w:div w:id="1807775145">
          <w:marLeft w:val="0"/>
          <w:marRight w:val="0"/>
          <w:marTop w:val="0"/>
          <w:marBottom w:val="0"/>
          <w:divBdr>
            <w:top w:val="none" w:sz="0" w:space="0" w:color="auto"/>
            <w:left w:val="none" w:sz="0" w:space="0" w:color="auto"/>
            <w:bottom w:val="none" w:sz="0" w:space="0" w:color="auto"/>
            <w:right w:val="none" w:sz="0" w:space="0" w:color="auto"/>
          </w:divBdr>
          <w:divsChild>
            <w:div w:id="1225028956">
              <w:marLeft w:val="0"/>
              <w:marRight w:val="0"/>
              <w:marTop w:val="0"/>
              <w:marBottom w:val="0"/>
              <w:divBdr>
                <w:top w:val="none" w:sz="0" w:space="0" w:color="auto"/>
                <w:left w:val="none" w:sz="0" w:space="0" w:color="auto"/>
                <w:bottom w:val="none" w:sz="0" w:space="0" w:color="auto"/>
                <w:right w:val="none" w:sz="0" w:space="0" w:color="auto"/>
              </w:divBdr>
              <w:divsChild>
                <w:div w:id="122468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334965">
      <w:bodyDiv w:val="1"/>
      <w:marLeft w:val="0"/>
      <w:marRight w:val="0"/>
      <w:marTop w:val="0"/>
      <w:marBottom w:val="0"/>
      <w:divBdr>
        <w:top w:val="none" w:sz="0" w:space="0" w:color="auto"/>
        <w:left w:val="none" w:sz="0" w:space="0" w:color="auto"/>
        <w:bottom w:val="none" w:sz="0" w:space="0" w:color="auto"/>
        <w:right w:val="none" w:sz="0" w:space="0" w:color="auto"/>
      </w:divBdr>
      <w:divsChild>
        <w:div w:id="1039861608">
          <w:marLeft w:val="0"/>
          <w:marRight w:val="0"/>
          <w:marTop w:val="0"/>
          <w:marBottom w:val="0"/>
          <w:divBdr>
            <w:top w:val="none" w:sz="0" w:space="0" w:color="auto"/>
            <w:left w:val="none" w:sz="0" w:space="0" w:color="auto"/>
            <w:bottom w:val="none" w:sz="0" w:space="0" w:color="auto"/>
            <w:right w:val="none" w:sz="0" w:space="0" w:color="auto"/>
          </w:divBdr>
          <w:divsChild>
            <w:div w:id="1830362883">
              <w:marLeft w:val="0"/>
              <w:marRight w:val="0"/>
              <w:marTop w:val="0"/>
              <w:marBottom w:val="0"/>
              <w:divBdr>
                <w:top w:val="none" w:sz="0" w:space="0" w:color="auto"/>
                <w:left w:val="none" w:sz="0" w:space="0" w:color="auto"/>
                <w:bottom w:val="none" w:sz="0" w:space="0" w:color="auto"/>
                <w:right w:val="none" w:sz="0" w:space="0" w:color="auto"/>
              </w:divBdr>
              <w:divsChild>
                <w:div w:id="194931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55439">
      <w:bodyDiv w:val="1"/>
      <w:marLeft w:val="0"/>
      <w:marRight w:val="0"/>
      <w:marTop w:val="0"/>
      <w:marBottom w:val="0"/>
      <w:divBdr>
        <w:top w:val="none" w:sz="0" w:space="0" w:color="auto"/>
        <w:left w:val="none" w:sz="0" w:space="0" w:color="auto"/>
        <w:bottom w:val="none" w:sz="0" w:space="0" w:color="auto"/>
        <w:right w:val="none" w:sz="0" w:space="0" w:color="auto"/>
      </w:divBdr>
      <w:divsChild>
        <w:div w:id="346641319">
          <w:marLeft w:val="0"/>
          <w:marRight w:val="0"/>
          <w:marTop w:val="0"/>
          <w:marBottom w:val="0"/>
          <w:divBdr>
            <w:top w:val="none" w:sz="0" w:space="0" w:color="auto"/>
            <w:left w:val="none" w:sz="0" w:space="0" w:color="auto"/>
            <w:bottom w:val="none" w:sz="0" w:space="0" w:color="auto"/>
            <w:right w:val="none" w:sz="0" w:space="0" w:color="auto"/>
          </w:divBdr>
          <w:divsChild>
            <w:div w:id="247665139">
              <w:marLeft w:val="0"/>
              <w:marRight w:val="0"/>
              <w:marTop w:val="0"/>
              <w:marBottom w:val="0"/>
              <w:divBdr>
                <w:top w:val="none" w:sz="0" w:space="0" w:color="auto"/>
                <w:left w:val="none" w:sz="0" w:space="0" w:color="auto"/>
                <w:bottom w:val="none" w:sz="0" w:space="0" w:color="auto"/>
                <w:right w:val="none" w:sz="0" w:space="0" w:color="auto"/>
              </w:divBdr>
              <w:divsChild>
                <w:div w:id="88148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09608">
      <w:bodyDiv w:val="1"/>
      <w:marLeft w:val="0"/>
      <w:marRight w:val="0"/>
      <w:marTop w:val="0"/>
      <w:marBottom w:val="0"/>
      <w:divBdr>
        <w:top w:val="none" w:sz="0" w:space="0" w:color="auto"/>
        <w:left w:val="none" w:sz="0" w:space="0" w:color="auto"/>
        <w:bottom w:val="none" w:sz="0" w:space="0" w:color="auto"/>
        <w:right w:val="none" w:sz="0" w:space="0" w:color="auto"/>
      </w:divBdr>
      <w:divsChild>
        <w:div w:id="1020427531">
          <w:marLeft w:val="0"/>
          <w:marRight w:val="0"/>
          <w:marTop w:val="0"/>
          <w:marBottom w:val="0"/>
          <w:divBdr>
            <w:top w:val="none" w:sz="0" w:space="0" w:color="auto"/>
            <w:left w:val="none" w:sz="0" w:space="0" w:color="auto"/>
            <w:bottom w:val="none" w:sz="0" w:space="0" w:color="auto"/>
            <w:right w:val="none" w:sz="0" w:space="0" w:color="auto"/>
          </w:divBdr>
          <w:divsChild>
            <w:div w:id="972901823">
              <w:marLeft w:val="0"/>
              <w:marRight w:val="0"/>
              <w:marTop w:val="0"/>
              <w:marBottom w:val="0"/>
              <w:divBdr>
                <w:top w:val="none" w:sz="0" w:space="0" w:color="auto"/>
                <w:left w:val="none" w:sz="0" w:space="0" w:color="auto"/>
                <w:bottom w:val="none" w:sz="0" w:space="0" w:color="auto"/>
                <w:right w:val="none" w:sz="0" w:space="0" w:color="auto"/>
              </w:divBdr>
              <w:divsChild>
                <w:div w:id="112002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832214">
      <w:bodyDiv w:val="1"/>
      <w:marLeft w:val="0"/>
      <w:marRight w:val="0"/>
      <w:marTop w:val="0"/>
      <w:marBottom w:val="0"/>
      <w:divBdr>
        <w:top w:val="none" w:sz="0" w:space="0" w:color="auto"/>
        <w:left w:val="none" w:sz="0" w:space="0" w:color="auto"/>
        <w:bottom w:val="none" w:sz="0" w:space="0" w:color="auto"/>
        <w:right w:val="none" w:sz="0" w:space="0" w:color="auto"/>
      </w:divBdr>
      <w:divsChild>
        <w:div w:id="1610964954">
          <w:marLeft w:val="0"/>
          <w:marRight w:val="0"/>
          <w:marTop w:val="0"/>
          <w:marBottom w:val="0"/>
          <w:divBdr>
            <w:top w:val="none" w:sz="0" w:space="0" w:color="auto"/>
            <w:left w:val="none" w:sz="0" w:space="0" w:color="auto"/>
            <w:bottom w:val="none" w:sz="0" w:space="0" w:color="auto"/>
            <w:right w:val="none" w:sz="0" w:space="0" w:color="auto"/>
          </w:divBdr>
          <w:divsChild>
            <w:div w:id="1946227385">
              <w:marLeft w:val="0"/>
              <w:marRight w:val="0"/>
              <w:marTop w:val="0"/>
              <w:marBottom w:val="0"/>
              <w:divBdr>
                <w:top w:val="none" w:sz="0" w:space="0" w:color="auto"/>
                <w:left w:val="none" w:sz="0" w:space="0" w:color="auto"/>
                <w:bottom w:val="none" w:sz="0" w:space="0" w:color="auto"/>
                <w:right w:val="none" w:sz="0" w:space="0" w:color="auto"/>
              </w:divBdr>
              <w:divsChild>
                <w:div w:id="163081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263780">
      <w:bodyDiv w:val="1"/>
      <w:marLeft w:val="0"/>
      <w:marRight w:val="0"/>
      <w:marTop w:val="0"/>
      <w:marBottom w:val="0"/>
      <w:divBdr>
        <w:top w:val="none" w:sz="0" w:space="0" w:color="auto"/>
        <w:left w:val="none" w:sz="0" w:space="0" w:color="auto"/>
        <w:bottom w:val="none" w:sz="0" w:space="0" w:color="auto"/>
        <w:right w:val="none" w:sz="0" w:space="0" w:color="auto"/>
      </w:divBdr>
      <w:divsChild>
        <w:div w:id="1075277010">
          <w:marLeft w:val="0"/>
          <w:marRight w:val="0"/>
          <w:marTop w:val="0"/>
          <w:marBottom w:val="0"/>
          <w:divBdr>
            <w:top w:val="none" w:sz="0" w:space="0" w:color="auto"/>
            <w:left w:val="none" w:sz="0" w:space="0" w:color="auto"/>
            <w:bottom w:val="none" w:sz="0" w:space="0" w:color="auto"/>
            <w:right w:val="none" w:sz="0" w:space="0" w:color="auto"/>
          </w:divBdr>
          <w:divsChild>
            <w:div w:id="179702893">
              <w:marLeft w:val="0"/>
              <w:marRight w:val="0"/>
              <w:marTop w:val="0"/>
              <w:marBottom w:val="0"/>
              <w:divBdr>
                <w:top w:val="none" w:sz="0" w:space="0" w:color="auto"/>
                <w:left w:val="none" w:sz="0" w:space="0" w:color="auto"/>
                <w:bottom w:val="none" w:sz="0" w:space="0" w:color="auto"/>
                <w:right w:val="none" w:sz="0" w:space="0" w:color="auto"/>
              </w:divBdr>
              <w:divsChild>
                <w:div w:id="144554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955189">
      <w:bodyDiv w:val="1"/>
      <w:marLeft w:val="0"/>
      <w:marRight w:val="0"/>
      <w:marTop w:val="0"/>
      <w:marBottom w:val="0"/>
      <w:divBdr>
        <w:top w:val="none" w:sz="0" w:space="0" w:color="auto"/>
        <w:left w:val="none" w:sz="0" w:space="0" w:color="auto"/>
        <w:bottom w:val="none" w:sz="0" w:space="0" w:color="auto"/>
        <w:right w:val="none" w:sz="0" w:space="0" w:color="auto"/>
      </w:divBdr>
      <w:divsChild>
        <w:div w:id="1959990166">
          <w:marLeft w:val="0"/>
          <w:marRight w:val="0"/>
          <w:marTop w:val="0"/>
          <w:marBottom w:val="0"/>
          <w:divBdr>
            <w:top w:val="none" w:sz="0" w:space="0" w:color="auto"/>
            <w:left w:val="none" w:sz="0" w:space="0" w:color="auto"/>
            <w:bottom w:val="none" w:sz="0" w:space="0" w:color="auto"/>
            <w:right w:val="none" w:sz="0" w:space="0" w:color="auto"/>
          </w:divBdr>
          <w:divsChild>
            <w:div w:id="31151513">
              <w:marLeft w:val="0"/>
              <w:marRight w:val="0"/>
              <w:marTop w:val="0"/>
              <w:marBottom w:val="0"/>
              <w:divBdr>
                <w:top w:val="none" w:sz="0" w:space="0" w:color="auto"/>
                <w:left w:val="none" w:sz="0" w:space="0" w:color="auto"/>
                <w:bottom w:val="none" w:sz="0" w:space="0" w:color="auto"/>
                <w:right w:val="none" w:sz="0" w:space="0" w:color="auto"/>
              </w:divBdr>
              <w:divsChild>
                <w:div w:id="79556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099192">
      <w:bodyDiv w:val="1"/>
      <w:marLeft w:val="0"/>
      <w:marRight w:val="0"/>
      <w:marTop w:val="0"/>
      <w:marBottom w:val="0"/>
      <w:divBdr>
        <w:top w:val="none" w:sz="0" w:space="0" w:color="auto"/>
        <w:left w:val="none" w:sz="0" w:space="0" w:color="auto"/>
        <w:bottom w:val="none" w:sz="0" w:space="0" w:color="auto"/>
        <w:right w:val="none" w:sz="0" w:space="0" w:color="auto"/>
      </w:divBdr>
      <w:divsChild>
        <w:div w:id="274871446">
          <w:marLeft w:val="0"/>
          <w:marRight w:val="0"/>
          <w:marTop w:val="0"/>
          <w:marBottom w:val="0"/>
          <w:divBdr>
            <w:top w:val="none" w:sz="0" w:space="0" w:color="auto"/>
            <w:left w:val="none" w:sz="0" w:space="0" w:color="auto"/>
            <w:bottom w:val="none" w:sz="0" w:space="0" w:color="auto"/>
            <w:right w:val="none" w:sz="0" w:space="0" w:color="auto"/>
          </w:divBdr>
          <w:divsChild>
            <w:div w:id="1542666034">
              <w:marLeft w:val="0"/>
              <w:marRight w:val="0"/>
              <w:marTop w:val="0"/>
              <w:marBottom w:val="0"/>
              <w:divBdr>
                <w:top w:val="none" w:sz="0" w:space="0" w:color="auto"/>
                <w:left w:val="none" w:sz="0" w:space="0" w:color="auto"/>
                <w:bottom w:val="none" w:sz="0" w:space="0" w:color="auto"/>
                <w:right w:val="none" w:sz="0" w:space="0" w:color="auto"/>
              </w:divBdr>
              <w:divsChild>
                <w:div w:id="193863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85920">
      <w:bodyDiv w:val="1"/>
      <w:marLeft w:val="0"/>
      <w:marRight w:val="0"/>
      <w:marTop w:val="0"/>
      <w:marBottom w:val="0"/>
      <w:divBdr>
        <w:top w:val="none" w:sz="0" w:space="0" w:color="auto"/>
        <w:left w:val="none" w:sz="0" w:space="0" w:color="auto"/>
        <w:bottom w:val="none" w:sz="0" w:space="0" w:color="auto"/>
        <w:right w:val="none" w:sz="0" w:space="0" w:color="auto"/>
      </w:divBdr>
      <w:divsChild>
        <w:div w:id="179204968">
          <w:marLeft w:val="0"/>
          <w:marRight w:val="0"/>
          <w:marTop w:val="0"/>
          <w:marBottom w:val="0"/>
          <w:divBdr>
            <w:top w:val="none" w:sz="0" w:space="0" w:color="auto"/>
            <w:left w:val="none" w:sz="0" w:space="0" w:color="auto"/>
            <w:bottom w:val="none" w:sz="0" w:space="0" w:color="auto"/>
            <w:right w:val="none" w:sz="0" w:space="0" w:color="auto"/>
          </w:divBdr>
          <w:divsChild>
            <w:div w:id="1660035875">
              <w:marLeft w:val="0"/>
              <w:marRight w:val="0"/>
              <w:marTop w:val="0"/>
              <w:marBottom w:val="0"/>
              <w:divBdr>
                <w:top w:val="none" w:sz="0" w:space="0" w:color="auto"/>
                <w:left w:val="none" w:sz="0" w:space="0" w:color="auto"/>
                <w:bottom w:val="none" w:sz="0" w:space="0" w:color="auto"/>
                <w:right w:val="none" w:sz="0" w:space="0" w:color="auto"/>
              </w:divBdr>
              <w:divsChild>
                <w:div w:id="169090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1412</Words>
  <Characters>8050</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Natasha Wood</cp:lastModifiedBy>
  <cp:revision>3</cp:revision>
  <dcterms:created xsi:type="dcterms:W3CDTF">2022-05-16T10:08:00Z</dcterms:created>
  <dcterms:modified xsi:type="dcterms:W3CDTF">2022-05-16T10:38:00Z</dcterms:modified>
</cp:coreProperties>
</file>