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812C5" w14:textId="5953971A" w:rsidR="00BE17D2" w:rsidRPr="00702532" w:rsidRDefault="00A45CC7" w:rsidP="00EA7E34">
      <w:pPr>
        <w:pStyle w:val="NormalWeb"/>
        <w:spacing w:before="240" w:beforeAutospacing="0" w:after="240" w:afterAutospacing="0" w:line="360" w:lineRule="auto"/>
        <w:rPr>
          <w:b/>
          <w:bCs/>
          <w:color w:val="000000"/>
          <w:shd w:val="clear" w:color="auto" w:fill="FFFF00"/>
        </w:rPr>
      </w:pPr>
      <w:r w:rsidRPr="0066210A">
        <w:rPr>
          <w:color w:val="000000"/>
        </w:rPr>
        <w:t> </w:t>
      </w:r>
    </w:p>
    <w:p w14:paraId="01041796" w14:textId="37D15109" w:rsidR="00EA7E34" w:rsidRDefault="00EA7E34" w:rsidP="00702532">
      <w:pPr>
        <w:pStyle w:val="NormalWeb"/>
        <w:spacing w:before="0" w:beforeAutospacing="0" w:after="0" w:afterAutospacing="0" w:line="360" w:lineRule="auto"/>
        <w:jc w:val="center"/>
        <w:rPr>
          <w:b/>
          <w:color w:val="0E101A"/>
          <w:sz w:val="44"/>
        </w:rPr>
      </w:pPr>
      <w:r>
        <w:rPr>
          <w:b/>
          <w:color w:val="0E101A"/>
          <w:sz w:val="44"/>
        </w:rPr>
        <w:t xml:space="preserve">LCBB4002 </w:t>
      </w:r>
    </w:p>
    <w:p w14:paraId="67B4E4D5" w14:textId="741EA2CE" w:rsidR="00A45CC7" w:rsidRDefault="00A45CC7" w:rsidP="00702532">
      <w:pPr>
        <w:pStyle w:val="NormalWeb"/>
        <w:spacing w:before="0" w:beforeAutospacing="0" w:after="0" w:afterAutospacing="0" w:line="360" w:lineRule="auto"/>
        <w:jc w:val="center"/>
        <w:rPr>
          <w:b/>
          <w:color w:val="0E101A"/>
          <w:sz w:val="44"/>
        </w:rPr>
      </w:pPr>
      <w:r w:rsidRPr="00702532">
        <w:rPr>
          <w:b/>
          <w:color w:val="0E101A"/>
          <w:sz w:val="44"/>
        </w:rPr>
        <w:t>Community Engagement</w:t>
      </w:r>
    </w:p>
    <w:p w14:paraId="56589F30" w14:textId="56573BCF" w:rsidR="00EA7E34" w:rsidRPr="00702532" w:rsidRDefault="00EA7E34" w:rsidP="00702532">
      <w:pPr>
        <w:pStyle w:val="NormalWeb"/>
        <w:spacing w:before="0" w:beforeAutospacing="0" w:after="0" w:afterAutospacing="0" w:line="360" w:lineRule="auto"/>
        <w:jc w:val="center"/>
        <w:rPr>
          <w:b/>
          <w:color w:val="0E101A"/>
          <w:sz w:val="44"/>
        </w:rPr>
      </w:pPr>
      <w:r>
        <w:rPr>
          <w:b/>
          <w:color w:val="0E101A"/>
          <w:sz w:val="44"/>
        </w:rPr>
        <w:t>Assessment 2</w:t>
      </w:r>
    </w:p>
    <w:p w14:paraId="21BBB458" w14:textId="77777777" w:rsidR="00A45CC7" w:rsidRPr="00702532" w:rsidRDefault="00A45CC7" w:rsidP="0066210A">
      <w:pPr>
        <w:pStyle w:val="NormalWeb"/>
        <w:spacing w:before="240" w:beforeAutospacing="0" w:after="240" w:afterAutospacing="0" w:line="360" w:lineRule="auto"/>
        <w:rPr>
          <w:color w:val="000000"/>
          <w:shd w:val="clear" w:color="auto" w:fill="00FF00"/>
        </w:rPr>
      </w:pPr>
    </w:p>
    <w:p w14:paraId="39025C33"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2A97EE44"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219C6319"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079278FF"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193889FC"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291236A1"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AC68D2A"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6E225374"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5E8891E"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4E12708"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CA31D4C"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58A7B9B6"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58C516F"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631CF2C1"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6899B160"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6B3692DA"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27ACB360"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276A3F38"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2081CEA"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sdt>
      <w:sdtPr>
        <w:rPr>
          <w:rFonts w:ascii="Times New Roman" w:eastAsiaTheme="minorEastAsia" w:hAnsi="Times New Roman" w:cstheme="minorBidi"/>
          <w:b w:val="0"/>
          <w:bCs w:val="0"/>
          <w:color w:val="auto"/>
          <w:sz w:val="24"/>
          <w:szCs w:val="22"/>
        </w:rPr>
        <w:id w:val="195998766"/>
        <w:docPartObj>
          <w:docPartGallery w:val="Table of Contents"/>
          <w:docPartUnique/>
        </w:docPartObj>
      </w:sdtPr>
      <w:sdtContent>
        <w:p w14:paraId="7C4A011D" w14:textId="77777777" w:rsidR="0066210A" w:rsidRPr="00702532" w:rsidRDefault="0066210A">
          <w:pPr>
            <w:pStyle w:val="TOCHeading"/>
          </w:pPr>
          <w:r w:rsidRPr="00702532">
            <w:t>Contents</w:t>
          </w:r>
        </w:p>
        <w:p w14:paraId="3E19BA02" w14:textId="77777777" w:rsidR="00EF37BA" w:rsidRDefault="00AC1B68">
          <w:pPr>
            <w:pStyle w:val="TOC1"/>
            <w:tabs>
              <w:tab w:val="right" w:leader="dot" w:pos="10847"/>
            </w:tabs>
            <w:rPr>
              <w:rFonts w:asciiTheme="minorHAnsi" w:hAnsiTheme="minorHAnsi"/>
              <w:noProof/>
              <w:sz w:val="22"/>
            </w:rPr>
          </w:pPr>
          <w:r w:rsidRPr="00702532">
            <w:fldChar w:fldCharType="begin"/>
          </w:r>
          <w:r w:rsidR="0066210A" w:rsidRPr="00702532">
            <w:instrText xml:space="preserve"> TOC \o "1-3" \h \z \u </w:instrText>
          </w:r>
          <w:r w:rsidRPr="00702532">
            <w:fldChar w:fldCharType="separate"/>
          </w:r>
          <w:hyperlink w:anchor="_Toc120841069" w:history="1">
            <w:r w:rsidR="00EF37BA" w:rsidRPr="00525441">
              <w:rPr>
                <w:rStyle w:val="Hyperlink"/>
                <w:noProof/>
              </w:rPr>
              <w:t>Introduction:</w:t>
            </w:r>
            <w:r w:rsidR="00EF37BA">
              <w:rPr>
                <w:noProof/>
                <w:webHidden/>
              </w:rPr>
              <w:tab/>
            </w:r>
            <w:r>
              <w:rPr>
                <w:noProof/>
                <w:webHidden/>
              </w:rPr>
              <w:fldChar w:fldCharType="begin"/>
            </w:r>
            <w:r w:rsidR="00EF37BA">
              <w:rPr>
                <w:noProof/>
                <w:webHidden/>
              </w:rPr>
              <w:instrText xml:space="preserve"> PAGEREF _Toc120841069 \h </w:instrText>
            </w:r>
            <w:r>
              <w:rPr>
                <w:noProof/>
                <w:webHidden/>
              </w:rPr>
            </w:r>
            <w:r>
              <w:rPr>
                <w:noProof/>
                <w:webHidden/>
              </w:rPr>
              <w:fldChar w:fldCharType="separate"/>
            </w:r>
            <w:r w:rsidR="00EF37BA">
              <w:rPr>
                <w:noProof/>
                <w:webHidden/>
              </w:rPr>
              <w:t>3</w:t>
            </w:r>
            <w:r>
              <w:rPr>
                <w:noProof/>
                <w:webHidden/>
              </w:rPr>
              <w:fldChar w:fldCharType="end"/>
            </w:r>
          </w:hyperlink>
        </w:p>
        <w:p w14:paraId="7C01BDF5" w14:textId="77777777" w:rsidR="00EF37BA" w:rsidRDefault="00000000">
          <w:pPr>
            <w:pStyle w:val="TOC2"/>
            <w:tabs>
              <w:tab w:val="right" w:leader="dot" w:pos="10847"/>
            </w:tabs>
            <w:rPr>
              <w:rFonts w:asciiTheme="minorHAnsi" w:hAnsiTheme="minorHAnsi"/>
              <w:noProof/>
              <w:sz w:val="22"/>
            </w:rPr>
          </w:pPr>
          <w:hyperlink w:anchor="_Toc120841070" w:history="1">
            <w:r w:rsidR="00EF37BA" w:rsidRPr="00525441">
              <w:rPr>
                <w:rStyle w:val="Hyperlink"/>
                <w:noProof/>
              </w:rPr>
              <w:t>Indicate the differences between the two initiatives, and compare, contrast, and assess the guiding principles of each development's public outreach strategies.</w:t>
            </w:r>
            <w:r w:rsidR="00EF37BA">
              <w:rPr>
                <w:noProof/>
                <w:webHidden/>
              </w:rPr>
              <w:tab/>
            </w:r>
            <w:r w:rsidR="00AC1B68">
              <w:rPr>
                <w:noProof/>
                <w:webHidden/>
              </w:rPr>
              <w:fldChar w:fldCharType="begin"/>
            </w:r>
            <w:r w:rsidR="00EF37BA">
              <w:rPr>
                <w:noProof/>
                <w:webHidden/>
              </w:rPr>
              <w:instrText xml:space="preserve"> PAGEREF _Toc120841070 \h </w:instrText>
            </w:r>
            <w:r w:rsidR="00AC1B68">
              <w:rPr>
                <w:noProof/>
                <w:webHidden/>
              </w:rPr>
            </w:r>
            <w:r w:rsidR="00AC1B68">
              <w:rPr>
                <w:noProof/>
                <w:webHidden/>
              </w:rPr>
              <w:fldChar w:fldCharType="separate"/>
            </w:r>
            <w:r w:rsidR="00EF37BA">
              <w:rPr>
                <w:noProof/>
                <w:webHidden/>
              </w:rPr>
              <w:t>3</w:t>
            </w:r>
            <w:r w:rsidR="00AC1B68">
              <w:rPr>
                <w:noProof/>
                <w:webHidden/>
              </w:rPr>
              <w:fldChar w:fldCharType="end"/>
            </w:r>
          </w:hyperlink>
        </w:p>
        <w:p w14:paraId="69E15B09" w14:textId="77777777" w:rsidR="00EF37BA" w:rsidRDefault="00000000">
          <w:pPr>
            <w:pStyle w:val="TOC2"/>
            <w:tabs>
              <w:tab w:val="right" w:leader="dot" w:pos="10847"/>
            </w:tabs>
            <w:rPr>
              <w:rFonts w:asciiTheme="minorHAnsi" w:hAnsiTheme="minorHAnsi"/>
              <w:noProof/>
              <w:sz w:val="22"/>
            </w:rPr>
          </w:pPr>
          <w:hyperlink w:anchor="_Toc120841071" w:history="1">
            <w:r w:rsidR="00EF37BA" w:rsidRPr="00525441">
              <w:rPr>
                <w:rStyle w:val="Hyperlink"/>
                <w:noProof/>
              </w:rPr>
              <w:t>Reflect on what could have been done differently and why?</w:t>
            </w:r>
            <w:r w:rsidR="00EF37BA">
              <w:rPr>
                <w:noProof/>
                <w:webHidden/>
              </w:rPr>
              <w:tab/>
            </w:r>
            <w:r w:rsidR="00AC1B68">
              <w:rPr>
                <w:noProof/>
                <w:webHidden/>
              </w:rPr>
              <w:fldChar w:fldCharType="begin"/>
            </w:r>
            <w:r w:rsidR="00EF37BA">
              <w:rPr>
                <w:noProof/>
                <w:webHidden/>
              </w:rPr>
              <w:instrText xml:space="preserve"> PAGEREF _Toc120841071 \h </w:instrText>
            </w:r>
            <w:r w:rsidR="00AC1B68">
              <w:rPr>
                <w:noProof/>
                <w:webHidden/>
              </w:rPr>
            </w:r>
            <w:r w:rsidR="00AC1B68">
              <w:rPr>
                <w:noProof/>
                <w:webHidden/>
              </w:rPr>
              <w:fldChar w:fldCharType="separate"/>
            </w:r>
            <w:r w:rsidR="00EF37BA">
              <w:rPr>
                <w:noProof/>
                <w:webHidden/>
              </w:rPr>
              <w:t>6</w:t>
            </w:r>
            <w:r w:rsidR="00AC1B68">
              <w:rPr>
                <w:noProof/>
                <w:webHidden/>
              </w:rPr>
              <w:fldChar w:fldCharType="end"/>
            </w:r>
          </w:hyperlink>
        </w:p>
        <w:p w14:paraId="056E4C01" w14:textId="77777777" w:rsidR="00EF37BA" w:rsidRDefault="00000000">
          <w:pPr>
            <w:pStyle w:val="TOC2"/>
            <w:tabs>
              <w:tab w:val="right" w:leader="dot" w:pos="10847"/>
            </w:tabs>
            <w:rPr>
              <w:rFonts w:asciiTheme="minorHAnsi" w:hAnsiTheme="minorHAnsi"/>
              <w:noProof/>
              <w:sz w:val="22"/>
            </w:rPr>
          </w:pPr>
          <w:hyperlink w:anchor="_Toc120841072" w:history="1">
            <w:r w:rsidR="00EF37BA" w:rsidRPr="00525441">
              <w:rPr>
                <w:rStyle w:val="Hyperlink"/>
                <w:noProof/>
              </w:rPr>
              <w:t>Talk about the results of the active consultation process, communications, involvement, and inclusion.</w:t>
            </w:r>
            <w:r w:rsidR="00EF37BA">
              <w:rPr>
                <w:noProof/>
                <w:webHidden/>
              </w:rPr>
              <w:tab/>
            </w:r>
            <w:r w:rsidR="00AC1B68">
              <w:rPr>
                <w:noProof/>
                <w:webHidden/>
              </w:rPr>
              <w:fldChar w:fldCharType="begin"/>
            </w:r>
            <w:r w:rsidR="00EF37BA">
              <w:rPr>
                <w:noProof/>
                <w:webHidden/>
              </w:rPr>
              <w:instrText xml:space="preserve"> PAGEREF _Toc120841072 \h </w:instrText>
            </w:r>
            <w:r w:rsidR="00AC1B68">
              <w:rPr>
                <w:noProof/>
                <w:webHidden/>
              </w:rPr>
            </w:r>
            <w:r w:rsidR="00AC1B68">
              <w:rPr>
                <w:noProof/>
                <w:webHidden/>
              </w:rPr>
              <w:fldChar w:fldCharType="separate"/>
            </w:r>
            <w:r w:rsidR="00EF37BA">
              <w:rPr>
                <w:noProof/>
                <w:webHidden/>
              </w:rPr>
              <w:t>6</w:t>
            </w:r>
            <w:r w:rsidR="00AC1B68">
              <w:rPr>
                <w:noProof/>
                <w:webHidden/>
              </w:rPr>
              <w:fldChar w:fldCharType="end"/>
            </w:r>
          </w:hyperlink>
        </w:p>
        <w:p w14:paraId="73666CC5" w14:textId="77777777" w:rsidR="00EF37BA" w:rsidRDefault="00000000">
          <w:pPr>
            <w:pStyle w:val="TOC2"/>
            <w:tabs>
              <w:tab w:val="right" w:leader="dot" w:pos="10847"/>
            </w:tabs>
            <w:rPr>
              <w:rFonts w:asciiTheme="minorHAnsi" w:hAnsiTheme="minorHAnsi"/>
              <w:noProof/>
              <w:sz w:val="22"/>
            </w:rPr>
          </w:pPr>
          <w:hyperlink w:anchor="_Toc120841073" w:history="1">
            <w:r w:rsidR="00EF37BA" w:rsidRPr="00525441">
              <w:rPr>
                <w:rStyle w:val="Hyperlink"/>
                <w:noProof/>
              </w:rPr>
              <w:t>Investigate the best methods through conducting research, community mapping, social engagement impact analysis, and assessment.</w:t>
            </w:r>
            <w:r w:rsidR="00EF37BA">
              <w:rPr>
                <w:noProof/>
                <w:webHidden/>
              </w:rPr>
              <w:tab/>
            </w:r>
            <w:r w:rsidR="00AC1B68">
              <w:rPr>
                <w:noProof/>
                <w:webHidden/>
              </w:rPr>
              <w:fldChar w:fldCharType="begin"/>
            </w:r>
            <w:r w:rsidR="00EF37BA">
              <w:rPr>
                <w:noProof/>
                <w:webHidden/>
              </w:rPr>
              <w:instrText xml:space="preserve"> PAGEREF _Toc120841073 \h </w:instrText>
            </w:r>
            <w:r w:rsidR="00AC1B68">
              <w:rPr>
                <w:noProof/>
                <w:webHidden/>
              </w:rPr>
            </w:r>
            <w:r w:rsidR="00AC1B68">
              <w:rPr>
                <w:noProof/>
                <w:webHidden/>
              </w:rPr>
              <w:fldChar w:fldCharType="separate"/>
            </w:r>
            <w:r w:rsidR="00EF37BA">
              <w:rPr>
                <w:noProof/>
                <w:webHidden/>
              </w:rPr>
              <w:t>7</w:t>
            </w:r>
            <w:r w:rsidR="00AC1B68">
              <w:rPr>
                <w:noProof/>
                <w:webHidden/>
              </w:rPr>
              <w:fldChar w:fldCharType="end"/>
            </w:r>
          </w:hyperlink>
        </w:p>
        <w:p w14:paraId="3B67BA6D" w14:textId="77777777" w:rsidR="00EF37BA" w:rsidRDefault="00000000">
          <w:pPr>
            <w:pStyle w:val="TOC1"/>
            <w:tabs>
              <w:tab w:val="right" w:leader="dot" w:pos="10847"/>
            </w:tabs>
            <w:rPr>
              <w:rFonts w:asciiTheme="minorHAnsi" w:hAnsiTheme="minorHAnsi"/>
              <w:noProof/>
              <w:sz w:val="22"/>
            </w:rPr>
          </w:pPr>
          <w:hyperlink w:anchor="_Toc120841074" w:history="1">
            <w:r w:rsidR="00EF37BA" w:rsidRPr="00525441">
              <w:rPr>
                <w:rStyle w:val="Hyperlink"/>
                <w:noProof/>
              </w:rPr>
              <w:t>Conclusion:</w:t>
            </w:r>
            <w:r w:rsidR="00EF37BA">
              <w:rPr>
                <w:noProof/>
                <w:webHidden/>
              </w:rPr>
              <w:tab/>
            </w:r>
            <w:r w:rsidR="00AC1B68">
              <w:rPr>
                <w:noProof/>
                <w:webHidden/>
              </w:rPr>
              <w:fldChar w:fldCharType="begin"/>
            </w:r>
            <w:r w:rsidR="00EF37BA">
              <w:rPr>
                <w:noProof/>
                <w:webHidden/>
              </w:rPr>
              <w:instrText xml:space="preserve"> PAGEREF _Toc120841074 \h </w:instrText>
            </w:r>
            <w:r w:rsidR="00AC1B68">
              <w:rPr>
                <w:noProof/>
                <w:webHidden/>
              </w:rPr>
            </w:r>
            <w:r w:rsidR="00AC1B68">
              <w:rPr>
                <w:noProof/>
                <w:webHidden/>
              </w:rPr>
              <w:fldChar w:fldCharType="separate"/>
            </w:r>
            <w:r w:rsidR="00EF37BA">
              <w:rPr>
                <w:noProof/>
                <w:webHidden/>
              </w:rPr>
              <w:t>7</w:t>
            </w:r>
            <w:r w:rsidR="00AC1B68">
              <w:rPr>
                <w:noProof/>
                <w:webHidden/>
              </w:rPr>
              <w:fldChar w:fldCharType="end"/>
            </w:r>
          </w:hyperlink>
        </w:p>
        <w:p w14:paraId="1567C0FD" w14:textId="77777777" w:rsidR="00EF37BA" w:rsidRDefault="00000000">
          <w:pPr>
            <w:pStyle w:val="TOC1"/>
            <w:tabs>
              <w:tab w:val="right" w:leader="dot" w:pos="10847"/>
            </w:tabs>
            <w:rPr>
              <w:rFonts w:asciiTheme="minorHAnsi" w:hAnsiTheme="minorHAnsi"/>
              <w:noProof/>
              <w:sz w:val="22"/>
            </w:rPr>
          </w:pPr>
          <w:hyperlink w:anchor="_Toc120841075" w:history="1">
            <w:r w:rsidR="00EF37BA" w:rsidRPr="00525441">
              <w:rPr>
                <w:rStyle w:val="Hyperlink"/>
                <w:noProof/>
              </w:rPr>
              <w:t>Reference:</w:t>
            </w:r>
            <w:r w:rsidR="00EF37BA">
              <w:rPr>
                <w:noProof/>
                <w:webHidden/>
              </w:rPr>
              <w:tab/>
            </w:r>
            <w:r w:rsidR="00AC1B68">
              <w:rPr>
                <w:noProof/>
                <w:webHidden/>
              </w:rPr>
              <w:fldChar w:fldCharType="begin"/>
            </w:r>
            <w:r w:rsidR="00EF37BA">
              <w:rPr>
                <w:noProof/>
                <w:webHidden/>
              </w:rPr>
              <w:instrText xml:space="preserve"> PAGEREF _Toc120841075 \h </w:instrText>
            </w:r>
            <w:r w:rsidR="00AC1B68">
              <w:rPr>
                <w:noProof/>
                <w:webHidden/>
              </w:rPr>
            </w:r>
            <w:r w:rsidR="00AC1B68">
              <w:rPr>
                <w:noProof/>
                <w:webHidden/>
              </w:rPr>
              <w:fldChar w:fldCharType="separate"/>
            </w:r>
            <w:r w:rsidR="00EF37BA">
              <w:rPr>
                <w:noProof/>
                <w:webHidden/>
              </w:rPr>
              <w:t>8</w:t>
            </w:r>
            <w:r w:rsidR="00AC1B68">
              <w:rPr>
                <w:noProof/>
                <w:webHidden/>
              </w:rPr>
              <w:fldChar w:fldCharType="end"/>
            </w:r>
          </w:hyperlink>
        </w:p>
        <w:p w14:paraId="48637823" w14:textId="77777777" w:rsidR="0066210A" w:rsidRPr="00702532" w:rsidRDefault="00AC1B68">
          <w:r w:rsidRPr="00702532">
            <w:fldChar w:fldCharType="end"/>
          </w:r>
        </w:p>
      </w:sdtContent>
    </w:sdt>
    <w:p w14:paraId="2B04A278"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6BD9A192"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17183EED"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1832B855"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6CD64B20"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740CF7F1"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090D95B"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3FEF34D3"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56CA6867"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2E142AE2"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56BDF66B"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50A34A4D"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2366473D"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7815C91B" w14:textId="77777777" w:rsidR="00BE17D2" w:rsidRPr="00702532" w:rsidRDefault="00BE17D2" w:rsidP="0066210A">
      <w:pPr>
        <w:pStyle w:val="NormalWeb"/>
        <w:spacing w:before="240" w:beforeAutospacing="0" w:after="240" w:afterAutospacing="0" w:line="360" w:lineRule="auto"/>
        <w:rPr>
          <w:color w:val="000000"/>
          <w:shd w:val="clear" w:color="auto" w:fill="00FF00"/>
        </w:rPr>
      </w:pPr>
    </w:p>
    <w:p w14:paraId="76D10C83" w14:textId="77777777" w:rsidR="0066210A" w:rsidRPr="00702532" w:rsidRDefault="0066210A" w:rsidP="00EF37BA">
      <w:pPr>
        <w:pStyle w:val="Heading1"/>
      </w:pPr>
      <w:bookmarkStart w:id="0" w:name="_Toc120841069"/>
      <w:r w:rsidRPr="00EF37BA">
        <w:rPr>
          <w:rStyle w:val="Strong"/>
          <w:b/>
          <w:bCs/>
        </w:rPr>
        <w:lastRenderedPageBreak/>
        <w:t>Introduction</w:t>
      </w:r>
      <w:r w:rsidRPr="00702532">
        <w:t>:</w:t>
      </w:r>
      <w:bookmarkEnd w:id="0"/>
      <w:r w:rsidRPr="00702532">
        <w:t> </w:t>
      </w:r>
    </w:p>
    <w:p w14:paraId="4CD9F999" w14:textId="77777777" w:rsidR="0066210A" w:rsidRPr="00702532" w:rsidRDefault="00FD5FB3" w:rsidP="0066210A">
      <w:pPr>
        <w:pStyle w:val="NormalWeb"/>
        <w:spacing w:before="0" w:beforeAutospacing="0" w:after="0" w:afterAutospacing="0" w:line="360" w:lineRule="auto"/>
        <w:rPr>
          <w:color w:val="0E101A"/>
        </w:rPr>
      </w:pPr>
      <w:r>
        <w:rPr>
          <w:color w:val="0E101A"/>
        </w:rPr>
        <w:t>The t</w:t>
      </w:r>
      <w:r w:rsidR="0066210A" w:rsidRPr="00702532">
        <w:rPr>
          <w:color w:val="0E101A"/>
        </w:rPr>
        <w:t>ournament, sometimes known as the League Matches, is an outdoor sports competition held every four years for players from either the Federation</w:t>
      </w:r>
      <w:r w:rsidR="006900F6">
        <w:rPr>
          <w:color w:val="0E101A"/>
        </w:rPr>
        <w:t xml:space="preserve"> </w:t>
      </w:r>
      <w:r w:rsidR="00702532" w:rsidRPr="00702532">
        <w:rPr>
          <w:color w:val="0E101A"/>
        </w:rPr>
        <w:t>(</w:t>
      </w:r>
      <w:r w:rsidR="000D76F2" w:rsidRPr="00702532">
        <w:rPr>
          <w:color w:val="222222"/>
          <w:shd w:val="clear" w:color="auto" w:fill="FFFFFF"/>
        </w:rPr>
        <w:t>Epstein</w:t>
      </w:r>
      <w:r w:rsidR="000D76F2" w:rsidRPr="00702532">
        <w:rPr>
          <w:color w:val="0E101A"/>
        </w:rPr>
        <w:t xml:space="preserve"> et al., 2018)</w:t>
      </w:r>
      <w:r w:rsidR="0066210A" w:rsidRPr="00702532">
        <w:rPr>
          <w:color w:val="0E101A"/>
        </w:rPr>
        <w:t>. Cooperation, which has about as many classifications as individuals are attempting to understand it, is most simply defined as the process of enhancing participation to accomplish protracted objectives sustaining results, procedures, interactions, dialogue, choices, or application</w:t>
      </w:r>
      <w:r w:rsidR="002F4EDE" w:rsidRPr="002F4EDE">
        <w:rPr>
          <w:color w:val="0E101A"/>
        </w:rPr>
        <w:t xml:space="preserve"> </w:t>
      </w:r>
      <w:r w:rsidR="002F4EDE">
        <w:rPr>
          <w:color w:val="0E101A"/>
        </w:rPr>
        <w:t xml:space="preserve"> in c</w:t>
      </w:r>
      <w:r w:rsidR="002F4EDE" w:rsidRPr="00857328">
        <w:rPr>
          <w:color w:val="0E101A"/>
        </w:rPr>
        <w:t xml:space="preserve">ommonwealth of </w:t>
      </w:r>
      <w:r w:rsidR="002F4EDE">
        <w:t>games</w:t>
      </w:r>
      <w:r w:rsidR="0066210A" w:rsidRPr="00702532">
        <w:rPr>
          <w:color w:val="0E101A"/>
        </w:rPr>
        <w:t xml:space="preserve">. </w:t>
      </w:r>
      <w:r w:rsidR="002F4EDE">
        <w:rPr>
          <w:color w:val="0E101A"/>
        </w:rPr>
        <w:t xml:space="preserve">From the project of </w:t>
      </w:r>
      <w:r w:rsidR="002F4EDE">
        <w:rPr>
          <w:bCs/>
        </w:rPr>
        <w:t>community</w:t>
      </w:r>
      <w:r w:rsidR="002F4EDE" w:rsidRPr="00112151">
        <w:rPr>
          <w:bCs/>
        </w:rPr>
        <w:t xml:space="preserve"> engagement in Commonwealth of games</w:t>
      </w:r>
      <w:r w:rsidR="002F4EDE" w:rsidRPr="00702532">
        <w:rPr>
          <w:sz w:val="23"/>
          <w:szCs w:val="23"/>
        </w:rPr>
        <w:t xml:space="preserve"> </w:t>
      </w:r>
      <w:r w:rsidR="002F4EDE">
        <w:rPr>
          <w:sz w:val="23"/>
          <w:szCs w:val="23"/>
        </w:rPr>
        <w:t xml:space="preserve">the user </w:t>
      </w:r>
      <w:r w:rsidR="0066210A" w:rsidRPr="00702532">
        <w:rPr>
          <w:color w:val="0E101A"/>
        </w:rPr>
        <w:t>should also include techniques and tactics that have been considered in the social environment that it is used in if it is to be effective. People got, feedback forms, polling, and virtual participation constitutes four common ways of interaction; each has advantages and disadvantages. The methods</w:t>
      </w:r>
      <w:r w:rsidR="00563EB0" w:rsidRPr="00702532">
        <w:rPr>
          <w:color w:val="0E101A"/>
        </w:rPr>
        <w:t xml:space="preserve"> of </w:t>
      </w:r>
      <w:r w:rsidR="00563EB0" w:rsidRPr="00702532">
        <w:rPr>
          <w:sz w:val="23"/>
          <w:szCs w:val="23"/>
        </w:rPr>
        <w:t>Common-wealth games</w:t>
      </w:r>
      <w:r w:rsidR="0066210A" w:rsidRPr="00702532">
        <w:rPr>
          <w:color w:val="0E101A"/>
        </w:rPr>
        <w:t xml:space="preserve"> should employ will be determined by the organizational member users' survey and the objectives of any program</w:t>
      </w:r>
      <w:r w:rsidR="000D76F2" w:rsidRPr="00702532">
        <w:rPr>
          <w:color w:val="0E101A"/>
        </w:rPr>
        <w:t xml:space="preserve"> (</w:t>
      </w:r>
      <w:proofErr w:type="spellStart"/>
      <w:r w:rsidR="000D76F2" w:rsidRPr="00702532">
        <w:rPr>
          <w:color w:val="222222"/>
          <w:shd w:val="clear" w:color="auto" w:fill="FFFFFF"/>
        </w:rPr>
        <w:t>Gelmon</w:t>
      </w:r>
      <w:proofErr w:type="spellEnd"/>
      <w:r w:rsidR="000D76F2" w:rsidRPr="00702532">
        <w:rPr>
          <w:color w:val="0E101A"/>
        </w:rPr>
        <w:t xml:space="preserve"> et al., 2018)</w:t>
      </w:r>
      <w:r w:rsidR="0066210A" w:rsidRPr="00702532">
        <w:rPr>
          <w:color w:val="0E101A"/>
        </w:rPr>
        <w:t>.</w:t>
      </w:r>
    </w:p>
    <w:p w14:paraId="61492DBC" w14:textId="77777777" w:rsidR="0066210A" w:rsidRPr="00702532" w:rsidRDefault="0066210A" w:rsidP="00563EB0">
      <w:pPr>
        <w:pStyle w:val="NormalWeb"/>
        <w:spacing w:before="0" w:beforeAutospacing="0" w:after="0" w:afterAutospacing="0" w:line="360" w:lineRule="auto"/>
        <w:rPr>
          <w:color w:val="0E101A"/>
        </w:rPr>
      </w:pPr>
      <w:r w:rsidRPr="00702532">
        <w:rPr>
          <w:color w:val="0E101A"/>
        </w:rPr>
        <w:t> </w:t>
      </w:r>
    </w:p>
    <w:p w14:paraId="4F6C6641" w14:textId="77777777" w:rsidR="0066210A" w:rsidRDefault="00702532" w:rsidP="00EF37BA">
      <w:pPr>
        <w:pStyle w:val="Heading2"/>
      </w:pPr>
      <w:bookmarkStart w:id="1" w:name="_Toc120841070"/>
      <w:r w:rsidRPr="00702532">
        <w:t xml:space="preserve">Indicate the </w:t>
      </w:r>
      <w:r w:rsidRPr="00EF37BA">
        <w:t>differences</w:t>
      </w:r>
      <w:r w:rsidRPr="00702532">
        <w:t xml:space="preserve"> between the two initiatives, and compare, contrast, and assess the guiding principles of each development's public outreach strategies.</w:t>
      </w:r>
      <w:bookmarkEnd w:id="1"/>
    </w:p>
    <w:p w14:paraId="0C9BA71B" w14:textId="77777777" w:rsidR="00702532" w:rsidRPr="00702532" w:rsidRDefault="00702532" w:rsidP="0066210A">
      <w:pPr>
        <w:pStyle w:val="NormalWeb"/>
        <w:spacing w:before="0" w:beforeAutospacing="0" w:after="0" w:afterAutospacing="0" w:line="360" w:lineRule="auto"/>
        <w:rPr>
          <w:color w:val="0E101A"/>
        </w:rPr>
      </w:pPr>
    </w:p>
    <w:p w14:paraId="4A6661F8"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xml:space="preserve">To reach excellence, participation uses a variety of techniques and tactics. Whether user </w:t>
      </w:r>
      <w:r w:rsidR="00563EB0" w:rsidRPr="00702532">
        <w:rPr>
          <w:color w:val="0E101A"/>
        </w:rPr>
        <w:t xml:space="preserve">of </w:t>
      </w:r>
      <w:r w:rsidR="00563EB0" w:rsidRPr="00702532">
        <w:rPr>
          <w:sz w:val="23"/>
          <w:szCs w:val="23"/>
        </w:rPr>
        <w:t xml:space="preserve">Common-wealth games </w:t>
      </w:r>
      <w:r w:rsidRPr="00702532">
        <w:rPr>
          <w:color w:val="0E101A"/>
        </w:rPr>
        <w:t>represents shareholders, lobbyists, or public representatives, individual groups are referred to as communities in a wide sense</w:t>
      </w:r>
      <w:r w:rsidR="000D76F2" w:rsidRPr="00702532">
        <w:rPr>
          <w:color w:val="0E101A"/>
        </w:rPr>
        <w:t xml:space="preserve"> (</w:t>
      </w:r>
      <w:r w:rsidR="000D76F2" w:rsidRPr="00702532">
        <w:rPr>
          <w:color w:val="222222"/>
          <w:shd w:val="clear" w:color="auto" w:fill="FFFFFF"/>
        </w:rPr>
        <w:t>Phua and Kim, 2017</w:t>
      </w:r>
      <w:r w:rsidR="000D76F2" w:rsidRPr="00702532">
        <w:rPr>
          <w:color w:val="0E101A"/>
        </w:rPr>
        <w:t>)</w:t>
      </w:r>
      <w:r w:rsidRPr="00702532">
        <w:rPr>
          <w:color w:val="0E101A"/>
        </w:rPr>
        <w:t>.</w:t>
      </w:r>
    </w:p>
    <w:p w14:paraId="54C9328C" w14:textId="77777777" w:rsidR="006900F6" w:rsidRPr="006900F6" w:rsidRDefault="006900F6" w:rsidP="006900F6">
      <w:pPr>
        <w:pStyle w:val="NormalWeb"/>
        <w:spacing w:before="0" w:beforeAutospacing="0" w:after="0" w:afterAutospacing="0" w:line="360" w:lineRule="auto"/>
        <w:rPr>
          <w:rStyle w:val="css-278qcu"/>
          <w:color w:val="0E101A"/>
        </w:rPr>
      </w:pPr>
    </w:p>
    <w:p w14:paraId="45A4FB54" w14:textId="77777777" w:rsidR="006900F6" w:rsidRPr="006900F6" w:rsidRDefault="006900F6" w:rsidP="006900F6">
      <w:pPr>
        <w:pStyle w:val="NormalWeb"/>
        <w:spacing w:before="0" w:beforeAutospacing="0" w:after="0" w:afterAutospacing="0" w:line="360" w:lineRule="auto"/>
        <w:rPr>
          <w:color w:val="0E101A"/>
        </w:rPr>
      </w:pPr>
      <w:r w:rsidRPr="006900F6">
        <w:rPr>
          <w:color w:val="0E101A"/>
        </w:rPr>
        <w:t>Therefore, if users have been connected by geographical, significant events, or another connection, inclusive practice is a continual process with the specific objective of cooperating with identifying people and groups to pinpoint and address pressing issues affecting local people.</w:t>
      </w:r>
      <w:r w:rsidR="002F4EDE" w:rsidRPr="002F4EDE">
        <w:rPr>
          <w:color w:val="0E101A"/>
        </w:rPr>
        <w:t xml:space="preserve"> </w:t>
      </w:r>
      <w:r w:rsidR="002F4EDE">
        <w:rPr>
          <w:color w:val="0E101A"/>
        </w:rPr>
        <w:t xml:space="preserve">From the project of </w:t>
      </w:r>
      <w:r w:rsidR="002F4EDE">
        <w:rPr>
          <w:bCs/>
        </w:rPr>
        <w:t>community</w:t>
      </w:r>
      <w:r w:rsidR="002F4EDE" w:rsidRPr="00112151">
        <w:rPr>
          <w:bCs/>
        </w:rPr>
        <w:t xml:space="preserve"> engagement in Commonwealth</w:t>
      </w:r>
      <w:r w:rsidR="002F4EDE">
        <w:rPr>
          <w:bCs/>
        </w:rPr>
        <w:t>,</w:t>
      </w:r>
      <w:r w:rsidR="002F4EDE">
        <w:rPr>
          <w:color w:val="0E101A"/>
        </w:rPr>
        <w:t xml:space="preserve"> t</w:t>
      </w:r>
      <w:r w:rsidRPr="006900F6">
        <w:rPr>
          <w:color w:val="0E101A"/>
        </w:rPr>
        <w:t>he term "people" is connected to "connection," extending the definition and shifting the focus once more from an individual to a group. A widely accepted game has implications for inclusivity, making sure to take into consideration the plurality of people present in every congregation. Participation combines artistic production with the inquiry. Biology is influenced by a variety of disciplines, including mathematics, social welfare, behavioral sciences, cultural awareness, and leadership design, neurobiology, and team dynamics. Additionally, it is drawn from architectural concepts on local support, social integration, electorate expansion, and public opinion that have been established</w:t>
      </w:r>
      <w:r>
        <w:rPr>
          <w:color w:val="0E101A"/>
        </w:rPr>
        <w:t xml:space="preserve"> </w:t>
      </w:r>
      <w:r w:rsidRPr="006900F6">
        <w:rPr>
          <w:color w:val="0E101A"/>
        </w:rPr>
        <w:t>(World Health Organization, 2020). The art is the knowledge of Common-wealth games, the skill, and the tact used to apply and evaluate the study in ways that represent the people and the aims of specific value in effect.</w:t>
      </w:r>
      <w:r w:rsidR="002F4EDE" w:rsidRPr="002F4EDE">
        <w:rPr>
          <w:color w:val="0E101A"/>
        </w:rPr>
        <w:t xml:space="preserve"> </w:t>
      </w:r>
      <w:r w:rsidR="002F4EDE">
        <w:rPr>
          <w:color w:val="0E101A"/>
        </w:rPr>
        <w:t xml:space="preserve">The project of </w:t>
      </w:r>
      <w:r w:rsidR="002F4EDE">
        <w:rPr>
          <w:bCs/>
        </w:rPr>
        <w:t>community</w:t>
      </w:r>
      <w:r w:rsidR="002F4EDE" w:rsidRPr="00112151">
        <w:rPr>
          <w:bCs/>
        </w:rPr>
        <w:t xml:space="preserve"> engagement in Commonwealth</w:t>
      </w:r>
      <w:r w:rsidR="002F4EDE">
        <w:rPr>
          <w:bCs/>
        </w:rPr>
        <w:t>,</w:t>
      </w:r>
      <w:r w:rsidRPr="006900F6">
        <w:rPr>
          <w:color w:val="0E101A"/>
        </w:rPr>
        <w:t xml:space="preserve"> Although the results of such acts may entail a variety of organizational structures and be defined individually, in the presentations there, customers are all put together under the general classification of social inclusion. Inclusive practice can be difficult and labor-intensive, demanding commitments of time, money, and experienced employees. Making the right judgments for communities and organizations can be difficult for individuals and politicians, not just in American cities but also in many other parts of the world. A great </w:t>
      </w:r>
      <w:r w:rsidRPr="006900F6">
        <w:rPr>
          <w:color w:val="0E101A"/>
        </w:rPr>
        <w:lastRenderedPageBreak/>
        <w:t>foundation in the most successful resources' technologies, processes, and knowledge is necessary to create and carry out effective plans (Seering et al., 2019).</w:t>
      </w:r>
    </w:p>
    <w:p w14:paraId="654A9084" w14:textId="77777777" w:rsidR="006900F6" w:rsidRPr="00DC6F80" w:rsidRDefault="006900F6" w:rsidP="00DC6F80">
      <w:pPr>
        <w:pStyle w:val="NormalWeb"/>
        <w:spacing w:before="0" w:beforeAutospacing="0" w:after="0" w:afterAutospacing="0" w:line="360" w:lineRule="auto"/>
        <w:rPr>
          <w:rStyle w:val="css-278qcu"/>
          <w:color w:val="0E101A"/>
        </w:rPr>
      </w:pPr>
      <w:r w:rsidRPr="006900F6">
        <w:rPr>
          <w:color w:val="0E101A"/>
        </w:rPr>
        <w:t xml:space="preserve"> </w:t>
      </w:r>
    </w:p>
    <w:p w14:paraId="78971155" w14:textId="77777777" w:rsidR="0066210A" w:rsidRPr="00702532" w:rsidRDefault="0066210A" w:rsidP="0066210A">
      <w:pPr>
        <w:pStyle w:val="NormalWeb"/>
        <w:spacing w:before="0" w:beforeAutospacing="0" w:after="0" w:afterAutospacing="0" w:line="360" w:lineRule="auto"/>
        <w:rPr>
          <w:color w:val="0E101A"/>
        </w:rPr>
      </w:pPr>
      <w:r w:rsidRPr="00702532">
        <w:rPr>
          <w:rStyle w:val="Strong"/>
          <w:color w:val="0E101A"/>
        </w:rPr>
        <w:t>Community engagement approaches</w:t>
      </w:r>
    </w:p>
    <w:p w14:paraId="5680F3F8" w14:textId="77777777" w:rsidR="0066210A" w:rsidRPr="00702532" w:rsidRDefault="002F4EDE" w:rsidP="0066210A">
      <w:pPr>
        <w:pStyle w:val="NormalWeb"/>
        <w:spacing w:before="0" w:beforeAutospacing="0" w:after="0" w:afterAutospacing="0" w:line="360" w:lineRule="auto"/>
        <w:rPr>
          <w:color w:val="0E101A"/>
        </w:rPr>
      </w:pPr>
      <w:r>
        <w:rPr>
          <w:color w:val="0E101A"/>
        </w:rPr>
        <w:t xml:space="preserve">From the project of </w:t>
      </w:r>
      <w:r>
        <w:rPr>
          <w:bCs/>
        </w:rPr>
        <w:t>community</w:t>
      </w:r>
      <w:r w:rsidRPr="00112151">
        <w:rPr>
          <w:bCs/>
        </w:rPr>
        <w:t xml:space="preserve"> engagement in </w:t>
      </w:r>
      <w:r w:rsidR="00DC6F80" w:rsidRPr="00112151">
        <w:rPr>
          <w:bCs/>
        </w:rPr>
        <w:t>Commonwealth</w:t>
      </w:r>
      <w:r w:rsidR="00DC6F80">
        <w:rPr>
          <w:bCs/>
        </w:rPr>
        <w:t>,</w:t>
      </w:r>
      <w:r w:rsidR="00DC6F80">
        <w:rPr>
          <w:color w:val="0E101A"/>
        </w:rPr>
        <w:t xml:space="preserve"> t</w:t>
      </w:r>
      <w:r w:rsidR="00DC6F80" w:rsidRPr="00702532">
        <w:rPr>
          <w:color w:val="0E101A"/>
        </w:rPr>
        <w:t>he</w:t>
      </w:r>
      <w:r w:rsidR="0066210A" w:rsidRPr="00702532">
        <w:rPr>
          <w:color w:val="0E101A"/>
        </w:rPr>
        <w:t xml:space="preserve"> methods users employ will be determined by the interested parties who will survey the objectives of any program. The Ann E. Wilson Institute's Parents Communities Initiative fostered social service organizations during a nine period in three hilly areas: one each in Brooklyn, Brooklyn; Dayton, Virginia; and Francisco, California. Through a give prominence, this activity aimed to create more comprehensive sets of organizations to improve the success of both young people and adults. The Center approached FCCC utilizing what it called a cognitive investor model, enhancing current social inclusion with customizable customer help and also other locally-directed aids. Various classification procedures were carried out about the initiative by Both the Urban Institute and several separate research businesses</w:t>
      </w:r>
      <w:r w:rsidR="000D76F2" w:rsidRPr="00702532">
        <w:rPr>
          <w:color w:val="0E101A"/>
        </w:rPr>
        <w:t xml:space="preserve"> (</w:t>
      </w:r>
      <w:r w:rsidR="000D76F2" w:rsidRPr="00702532">
        <w:rPr>
          <w:color w:val="222222"/>
          <w:shd w:val="clear" w:color="auto" w:fill="FFFFFF"/>
        </w:rPr>
        <w:t>Dessart</w:t>
      </w:r>
      <w:r w:rsidR="000D76F2" w:rsidRPr="00702532">
        <w:rPr>
          <w:color w:val="0E101A"/>
        </w:rPr>
        <w:t xml:space="preserve"> et al., 2016)</w:t>
      </w:r>
      <w:r w:rsidR="0066210A" w:rsidRPr="00702532">
        <w:rPr>
          <w:color w:val="0E101A"/>
        </w:rPr>
        <w:t>.</w:t>
      </w:r>
    </w:p>
    <w:p w14:paraId="2C1C684E"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58DA51CD"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The Nonprofit's objective to strengthen the local alliances policymaking power in all elements of FCCC, including formative assessments, was echoed in Kyle's planned co-investor methodology to FCCC. Initial aspirations and objectives for integrating local actors in the assessment seemed modest, with the main focus being on making sure the events were viable and advantageous for the community projects. However, these objectives and hopes shifted over time.</w:t>
      </w:r>
      <w:r w:rsidR="002F4EDE">
        <w:rPr>
          <w:color w:val="0E101A"/>
        </w:rPr>
        <w:t xml:space="preserve"> The project of </w:t>
      </w:r>
      <w:r w:rsidR="002F4EDE">
        <w:rPr>
          <w:bCs/>
        </w:rPr>
        <w:t>community</w:t>
      </w:r>
      <w:r w:rsidR="002F4EDE" w:rsidRPr="00112151">
        <w:rPr>
          <w:bCs/>
        </w:rPr>
        <w:t xml:space="preserve"> engagement in Commonwealth</w:t>
      </w:r>
      <w:r w:rsidR="002F4EDE">
        <w:rPr>
          <w:bCs/>
        </w:rPr>
        <w:t>,</w:t>
      </w:r>
      <w:r w:rsidR="002F4EDE">
        <w:rPr>
          <w:color w:val="0E101A"/>
        </w:rPr>
        <w:t xml:space="preserve"> t</w:t>
      </w:r>
      <w:r w:rsidRPr="00702532">
        <w:rPr>
          <w:color w:val="0E101A"/>
        </w:rPr>
        <w:t>he area of culture testing methods also expanded and matured through FCCC, and the Institute came to perceive these techniques as essential to advancing ethno cultural justice and tolerance</w:t>
      </w:r>
      <w:r w:rsidR="000D76F2" w:rsidRPr="00702532">
        <w:rPr>
          <w:color w:val="0E101A"/>
        </w:rPr>
        <w:t xml:space="preserve"> (</w:t>
      </w:r>
      <w:r w:rsidR="000D76F2" w:rsidRPr="00702532">
        <w:rPr>
          <w:color w:val="222222"/>
          <w:shd w:val="clear" w:color="auto" w:fill="FFFFFF"/>
        </w:rPr>
        <w:t>Andersson</w:t>
      </w:r>
      <w:r w:rsidR="000D76F2" w:rsidRPr="00702532">
        <w:rPr>
          <w:color w:val="0E101A"/>
        </w:rPr>
        <w:t xml:space="preserve"> et al., 2015)</w:t>
      </w:r>
      <w:r w:rsidRPr="00702532">
        <w:rPr>
          <w:color w:val="0E101A"/>
        </w:rPr>
        <w:t>. </w:t>
      </w:r>
    </w:p>
    <w:p w14:paraId="4A80FAAA" w14:textId="77777777" w:rsidR="0066210A" w:rsidRPr="00702532" w:rsidRDefault="0066210A" w:rsidP="0066210A">
      <w:pPr>
        <w:pStyle w:val="NormalWeb"/>
        <w:spacing w:before="0" w:beforeAutospacing="0" w:after="0" w:afterAutospacing="0" w:line="360" w:lineRule="auto"/>
        <w:rPr>
          <w:color w:val="0E101A"/>
        </w:rPr>
      </w:pPr>
    </w:p>
    <w:p w14:paraId="511D39C0"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The judges used a growing number of culture evaluations as these standards increased. In FCCC, "town" is defined as trainees and coordinators. CEM in FCCC involved including the reported strong correlation between personnel in data gathering management and purchase decision. In the second portion of the operation, interactive activities known as Data Strolls were used to engage this administration and course volunteers in assessing early assessment. At FCCC user gatherings starting in 2016, the Organization also engaged a select handful of program individuals to hear approximately monitoring initiatives</w:t>
      </w:r>
      <w:r w:rsidR="000D76F2" w:rsidRPr="00702532">
        <w:rPr>
          <w:color w:val="0E101A"/>
        </w:rPr>
        <w:t xml:space="preserve"> (</w:t>
      </w:r>
      <w:r w:rsidR="000D76F2" w:rsidRPr="00702532">
        <w:rPr>
          <w:color w:val="222222"/>
          <w:shd w:val="clear" w:color="auto" w:fill="FFFFFF"/>
        </w:rPr>
        <w:t>Harrington</w:t>
      </w:r>
      <w:r w:rsidR="000D76F2" w:rsidRPr="00702532">
        <w:rPr>
          <w:color w:val="0E101A"/>
        </w:rPr>
        <w:t xml:space="preserve"> et al., 2014)</w:t>
      </w:r>
      <w:r w:rsidRPr="00702532">
        <w:rPr>
          <w:color w:val="0E101A"/>
        </w:rPr>
        <w:t>.</w:t>
      </w:r>
    </w:p>
    <w:p w14:paraId="693D6D77"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749D4B97"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xml:space="preserve">CEM is a gradient that ranges from simple communication and consultation with neighborhood interested parties appraisal initiatives to forging close alliances with including citizens in the decision-making process for evaluating conception and implementation. With examiners addressing or considering the local population, the majority of CEM in FCCC fell at the latter end of this scale. The majority of the time, evaluation teams worked with partnering employees then instead of individuals. Coalition personnel, Base officials, examiners, and other parties all confirmed during discussions also with Urban College researchers about one‘s involvement in implementing CEM in FCCC that CEM brought importance to the assessments and residents. There must have been a consensus that Statistics Strolls gave FCCC workshop trainees a sense of empowerment. The response from either of these volunteers, in the opinion of the inspectors, provided further depth to the discoveries. </w:t>
      </w:r>
      <w:r w:rsidRPr="00702532">
        <w:rPr>
          <w:color w:val="0E101A"/>
        </w:rPr>
        <w:lastRenderedPageBreak/>
        <w:t>Additionally, graders believed that asking partnered workers for incentives to undertake goods increased evaluation precision</w:t>
      </w:r>
      <w:r w:rsidR="000D76F2" w:rsidRPr="00702532">
        <w:rPr>
          <w:color w:val="0E101A"/>
        </w:rPr>
        <w:t xml:space="preserve"> (</w:t>
      </w:r>
      <w:r w:rsidR="000D76F2" w:rsidRPr="00702532">
        <w:rPr>
          <w:color w:val="222222"/>
          <w:shd w:val="clear" w:color="auto" w:fill="FFFFFF"/>
        </w:rPr>
        <w:t>World Health Organization, 2020</w:t>
      </w:r>
      <w:r w:rsidR="000D76F2" w:rsidRPr="00702532">
        <w:rPr>
          <w:color w:val="0E101A"/>
        </w:rPr>
        <w:t>)</w:t>
      </w:r>
      <w:r w:rsidRPr="00702532">
        <w:rPr>
          <w:color w:val="0E101A"/>
        </w:rPr>
        <w:t>.</w:t>
      </w:r>
    </w:p>
    <w:p w14:paraId="5169C622"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61E2DDF1" w14:textId="77777777" w:rsidR="0066210A" w:rsidRPr="00702532" w:rsidRDefault="002F4EDE" w:rsidP="0066210A">
      <w:pPr>
        <w:pStyle w:val="NormalWeb"/>
        <w:spacing w:before="0" w:beforeAutospacing="0" w:after="0" w:afterAutospacing="0" w:line="360" w:lineRule="auto"/>
        <w:rPr>
          <w:color w:val="0E101A"/>
        </w:rPr>
      </w:pPr>
      <w:r>
        <w:rPr>
          <w:color w:val="0E101A"/>
        </w:rPr>
        <w:t xml:space="preserve">From the project of </w:t>
      </w:r>
      <w:r>
        <w:rPr>
          <w:bCs/>
        </w:rPr>
        <w:t>community</w:t>
      </w:r>
      <w:r w:rsidRPr="00112151">
        <w:rPr>
          <w:bCs/>
        </w:rPr>
        <w:t xml:space="preserve"> engagement in Commonwealth</w:t>
      </w:r>
      <w:r>
        <w:rPr>
          <w:bCs/>
        </w:rPr>
        <w:t xml:space="preserve">, </w:t>
      </w:r>
      <w:r w:rsidR="0066210A" w:rsidRPr="00702532">
        <w:rPr>
          <w:color w:val="0E101A"/>
        </w:rPr>
        <w:t>Participants identified problems with implementing CEM, considering this enhanced benefit. Only within the final years of the review were interventions focuses on the connection, and only at a small number of intersections. A few Primer employees and reviewers thought that the parents had just participated in a tokenistic manner. Advocates also pointed out those incorporating relationship workers in product reviews required extra time, which was frequently needed for them to carry out the primary duties of serving parents. The notion that that same person was included in the organization of the assessment, which eventually resulted in the assessment activity lacking an objectives survey, was also underlined by the inspectors</w:t>
      </w:r>
      <w:r w:rsidR="000D76F2" w:rsidRPr="00702532">
        <w:rPr>
          <w:color w:val="0E101A"/>
        </w:rPr>
        <w:t xml:space="preserve"> (</w:t>
      </w:r>
      <w:r w:rsidR="000D76F2" w:rsidRPr="00702532">
        <w:rPr>
          <w:color w:val="222222"/>
          <w:shd w:val="clear" w:color="auto" w:fill="FFFFFF"/>
        </w:rPr>
        <w:t>Calabrese Barton and Tan, 2018</w:t>
      </w:r>
      <w:r w:rsidR="000D76F2" w:rsidRPr="00702532">
        <w:rPr>
          <w:color w:val="0E101A"/>
        </w:rPr>
        <w:t>)</w:t>
      </w:r>
      <w:r w:rsidR="0066210A" w:rsidRPr="00702532">
        <w:rPr>
          <w:color w:val="0E101A"/>
        </w:rPr>
        <w:t>.</w:t>
      </w:r>
    </w:p>
    <w:p w14:paraId="57694D5A"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7DC957A0"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Regarding these drawbacks, the FCCC rating systems incorporated far more public comments. Just one Nonprofit's exceptional level of strong support made this approach for solving. Applying this technique in assessing various initiatives that emphasize shared policymaking can benefit from various insights learned from the FCCC's success with CEM, along with the foregoing: When choosing sponsors for any organization and appraisal, consider the society. This involves deciding on assessors with the social proficiency required to win over residents during all stages of the project, make sure all parties have a shared awareness of and desire for citizen participation in the assessment and planning. Clearly explain promises about how collaborative judgment calls will operate and keep promises by creating a secure environment for input. By starting the assessments and all the collaboration, focused on making friends</w:t>
      </w:r>
      <w:r w:rsidR="00702532" w:rsidRPr="00702532">
        <w:rPr>
          <w:color w:val="0E101A"/>
        </w:rPr>
        <w:t xml:space="preserve"> </w:t>
      </w:r>
      <w:r w:rsidR="000D76F2" w:rsidRPr="00702532">
        <w:rPr>
          <w:color w:val="0E101A"/>
        </w:rPr>
        <w:t>(</w:t>
      </w:r>
      <w:r w:rsidR="00702532" w:rsidRPr="00702532">
        <w:rPr>
          <w:color w:val="222222"/>
          <w:shd w:val="clear" w:color="auto" w:fill="FFFFFF"/>
        </w:rPr>
        <w:t xml:space="preserve">Jones </w:t>
      </w:r>
      <w:r w:rsidR="000D76F2" w:rsidRPr="00702532">
        <w:rPr>
          <w:color w:val="0E101A"/>
        </w:rPr>
        <w:t>et al., 20</w:t>
      </w:r>
      <w:r w:rsidR="00702532" w:rsidRPr="00702532">
        <w:rPr>
          <w:color w:val="0E101A"/>
        </w:rPr>
        <w:t>14</w:t>
      </w:r>
      <w:r w:rsidR="000D76F2" w:rsidRPr="00702532">
        <w:rPr>
          <w:color w:val="0E101A"/>
        </w:rPr>
        <w:t>)</w:t>
      </w:r>
      <w:r w:rsidRPr="00702532">
        <w:rPr>
          <w:color w:val="0E101A"/>
        </w:rPr>
        <w:t>.</w:t>
      </w:r>
    </w:p>
    <w:p w14:paraId="30337E7A" w14:textId="77777777" w:rsidR="0066210A" w:rsidRPr="00702532" w:rsidRDefault="0066210A" w:rsidP="0066210A">
      <w:pPr>
        <w:pStyle w:val="NormalWeb"/>
        <w:spacing w:before="0" w:beforeAutospacing="0" w:after="0" w:afterAutospacing="0" w:line="360" w:lineRule="auto"/>
        <w:rPr>
          <w:color w:val="0E101A"/>
        </w:rPr>
      </w:pPr>
    </w:p>
    <w:p w14:paraId="4287D0C8"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Ensure that local and external players have the information and abilities necessary to promote participation and partnerships.</w:t>
      </w:r>
    </w:p>
    <w:p w14:paraId="6F6166EA" w14:textId="77777777" w:rsidR="0066210A" w:rsidRPr="00702532" w:rsidRDefault="0066210A" w:rsidP="0066210A">
      <w:pPr>
        <w:pStyle w:val="NormalWeb"/>
        <w:spacing w:before="0" w:beforeAutospacing="0" w:after="0" w:afterAutospacing="0" w:line="360" w:lineRule="auto"/>
        <w:rPr>
          <w:color w:val="0E101A"/>
        </w:rPr>
      </w:pPr>
    </w:p>
    <w:p w14:paraId="06B60C2F" w14:textId="7F775453" w:rsidR="0066210A" w:rsidRPr="00702532" w:rsidRDefault="0066210A" w:rsidP="0066210A">
      <w:pPr>
        <w:pStyle w:val="NormalWeb"/>
        <w:spacing w:before="0" w:beforeAutospacing="0" w:after="0" w:afterAutospacing="0" w:line="360" w:lineRule="auto"/>
        <w:rPr>
          <w:color w:val="0E101A"/>
        </w:rPr>
      </w:pPr>
      <w:r w:rsidRPr="00702532">
        <w:rPr>
          <w:color w:val="0E101A"/>
        </w:rPr>
        <w:t>Prioritize</w:t>
      </w:r>
      <w:r w:rsidR="00A55A00">
        <w:rPr>
          <w:color w:val="0E101A"/>
        </w:rPr>
        <w:t xml:space="preserve"> the </w:t>
      </w:r>
      <w:r w:rsidRPr="00702532">
        <w:rPr>
          <w:color w:val="0E101A"/>
        </w:rPr>
        <w:t>initial values and aims for social inclusion and devise a mechanism for updating them across time.</w:t>
      </w:r>
    </w:p>
    <w:p w14:paraId="10FE0D37" w14:textId="77777777" w:rsidR="0066210A" w:rsidRPr="00702532" w:rsidRDefault="0066210A" w:rsidP="0066210A">
      <w:pPr>
        <w:pStyle w:val="NormalWeb"/>
        <w:spacing w:before="0" w:beforeAutospacing="0" w:after="0" w:afterAutospacing="0" w:line="360" w:lineRule="auto"/>
        <w:rPr>
          <w:color w:val="0E101A"/>
        </w:rPr>
      </w:pPr>
    </w:p>
    <w:p w14:paraId="7D4DBBE9"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Demonstrate the funder's willingness up front to fully fund social inclusion in effort development and evaluation.</w:t>
      </w:r>
    </w:p>
    <w:p w14:paraId="2A2EDE0B" w14:textId="77777777" w:rsidR="0066210A" w:rsidRPr="00702532" w:rsidRDefault="0066210A" w:rsidP="0066210A">
      <w:pPr>
        <w:pStyle w:val="NormalWeb"/>
        <w:spacing w:before="0" w:beforeAutospacing="0" w:after="0" w:afterAutospacing="0" w:line="360" w:lineRule="auto"/>
        <w:rPr>
          <w:color w:val="0E101A"/>
        </w:rPr>
      </w:pPr>
    </w:p>
    <w:p w14:paraId="63092456"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Lower the cost of involvement and fairly recompense individuals for individual achievements to the crowd appraisal.</w:t>
      </w:r>
    </w:p>
    <w:p w14:paraId="70C3D6FF" w14:textId="77777777" w:rsidR="0066210A" w:rsidRPr="00702532" w:rsidRDefault="0066210A" w:rsidP="0066210A">
      <w:pPr>
        <w:pStyle w:val="NormalWeb"/>
        <w:spacing w:before="0" w:beforeAutospacing="0" w:after="0" w:afterAutospacing="0" w:line="360" w:lineRule="auto"/>
        <w:rPr>
          <w:color w:val="0E101A"/>
        </w:rPr>
      </w:pPr>
    </w:p>
    <w:p w14:paraId="241BFA16"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xml:space="preserve">The necessity to consider the viewpoints of persons with direct experience in decisions concerning the policy that affects user lives is being recognized more widely across the country, attempting to make some principles particularly </w:t>
      </w:r>
      <w:r w:rsidR="00FD5FB3" w:rsidRPr="00702532">
        <w:rPr>
          <w:color w:val="0E101A"/>
        </w:rPr>
        <w:t>pertinent (</w:t>
      </w:r>
      <w:r w:rsidR="00702532" w:rsidRPr="00702532">
        <w:rPr>
          <w:color w:val="222222"/>
          <w:shd w:val="clear" w:color="auto" w:fill="FFFFFF"/>
        </w:rPr>
        <w:t>Jevtić</w:t>
      </w:r>
      <w:r w:rsidR="00702532" w:rsidRPr="00702532">
        <w:rPr>
          <w:color w:val="0E101A"/>
        </w:rPr>
        <w:t xml:space="preserve"> </w:t>
      </w:r>
      <w:r w:rsidR="000D76F2" w:rsidRPr="00702532">
        <w:rPr>
          <w:color w:val="0E101A"/>
        </w:rPr>
        <w:t>et al., 20</w:t>
      </w:r>
      <w:r w:rsidR="00702532" w:rsidRPr="00702532">
        <w:rPr>
          <w:color w:val="0E101A"/>
        </w:rPr>
        <w:t>14</w:t>
      </w:r>
      <w:r w:rsidR="000D76F2" w:rsidRPr="00702532">
        <w:rPr>
          <w:color w:val="0E101A"/>
        </w:rPr>
        <w:t>)</w:t>
      </w:r>
      <w:r w:rsidRPr="00702532">
        <w:rPr>
          <w:color w:val="0E101A"/>
        </w:rPr>
        <w:t>.</w:t>
      </w:r>
    </w:p>
    <w:p w14:paraId="6055E4CC"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5A3758E6" w14:textId="77777777" w:rsidR="0066210A" w:rsidRPr="00702532" w:rsidRDefault="0066210A" w:rsidP="00EF37BA">
      <w:pPr>
        <w:pStyle w:val="Heading2"/>
        <w:rPr>
          <w:rStyle w:val="Strong"/>
          <w:b/>
          <w:color w:val="0E101A"/>
          <w:sz w:val="28"/>
        </w:rPr>
      </w:pPr>
      <w:bookmarkStart w:id="2" w:name="_Toc120841071"/>
      <w:r w:rsidRPr="00702532">
        <w:rPr>
          <w:rStyle w:val="Strong"/>
          <w:b/>
          <w:color w:val="0E101A"/>
          <w:sz w:val="28"/>
          <w:szCs w:val="24"/>
        </w:rPr>
        <w:lastRenderedPageBreak/>
        <w:t xml:space="preserve">Reflect on what could have </w:t>
      </w:r>
      <w:r w:rsidRPr="00EF37BA">
        <w:rPr>
          <w:rStyle w:val="Strong"/>
          <w:b/>
          <w:bCs/>
          <w:szCs w:val="24"/>
        </w:rPr>
        <w:t>been</w:t>
      </w:r>
      <w:r w:rsidRPr="00702532">
        <w:rPr>
          <w:rStyle w:val="Strong"/>
          <w:b/>
          <w:color w:val="0E101A"/>
          <w:sz w:val="28"/>
          <w:szCs w:val="24"/>
        </w:rPr>
        <w:t xml:space="preserve"> done differently and why?</w:t>
      </w:r>
      <w:bookmarkEnd w:id="2"/>
    </w:p>
    <w:p w14:paraId="185A53E3" w14:textId="77777777" w:rsidR="0066210A" w:rsidRPr="00702532" w:rsidRDefault="0066210A" w:rsidP="0066210A">
      <w:pPr>
        <w:pStyle w:val="NormalWeb"/>
        <w:spacing w:before="0" w:beforeAutospacing="0" w:after="0" w:afterAutospacing="0" w:line="360" w:lineRule="auto"/>
        <w:rPr>
          <w:color w:val="0E101A"/>
          <w:sz w:val="28"/>
        </w:rPr>
      </w:pPr>
    </w:p>
    <w:p w14:paraId="5C50E742" w14:textId="77777777" w:rsidR="00591548" w:rsidRDefault="00591548" w:rsidP="0066210A">
      <w:pPr>
        <w:pStyle w:val="NormalWeb"/>
        <w:spacing w:before="0" w:beforeAutospacing="0" w:after="0" w:afterAutospacing="0" w:line="360" w:lineRule="auto"/>
        <w:rPr>
          <w:color w:val="0E101A"/>
        </w:rPr>
      </w:pPr>
      <w:r>
        <w:rPr>
          <w:color w:val="0E101A"/>
        </w:rPr>
        <w:t>I think hank that in t</w:t>
      </w:r>
      <w:r w:rsidR="0066210A" w:rsidRPr="00702532">
        <w:rPr>
          <w:color w:val="0E101A"/>
        </w:rPr>
        <w:t>his same way</w:t>
      </w:r>
      <w:r>
        <w:rPr>
          <w:color w:val="0E101A"/>
        </w:rPr>
        <w:t>, country</w:t>
      </w:r>
      <w:r w:rsidR="0066210A" w:rsidRPr="00702532">
        <w:rPr>
          <w:color w:val="0E101A"/>
        </w:rPr>
        <w:t xml:space="preserve"> governments make connections with their suppliers and constituents has the possibility of evolving as a result of substantial social integration. A larger diversity of objectives and outcomes can be addressed by long-term citizen participation between a region and campus students and educators than is achievable with one being so. How way governments form connections with their allies and individuals has the possibility of shifting as a result of substantial public participation.</w:t>
      </w:r>
    </w:p>
    <w:p w14:paraId="26C4A6DF" w14:textId="77777777" w:rsidR="00591548" w:rsidRDefault="00591548" w:rsidP="0066210A">
      <w:pPr>
        <w:pStyle w:val="NormalWeb"/>
        <w:spacing w:before="0" w:beforeAutospacing="0" w:after="0" w:afterAutospacing="0" w:line="360" w:lineRule="auto"/>
        <w:rPr>
          <w:color w:val="0E101A"/>
        </w:rPr>
      </w:pPr>
    </w:p>
    <w:p w14:paraId="61426EF5" w14:textId="77777777" w:rsidR="0066210A" w:rsidRPr="00702532" w:rsidRDefault="00591548" w:rsidP="0066210A">
      <w:pPr>
        <w:pStyle w:val="NormalWeb"/>
        <w:spacing w:before="0" w:beforeAutospacing="0" w:after="0" w:afterAutospacing="0" w:line="360" w:lineRule="auto"/>
        <w:rPr>
          <w:color w:val="0E101A"/>
        </w:rPr>
      </w:pPr>
      <w:r>
        <w:rPr>
          <w:color w:val="0E101A"/>
        </w:rPr>
        <w:t>I learn a lot of subjective matter that a</w:t>
      </w:r>
      <w:r w:rsidR="0066210A" w:rsidRPr="00702532">
        <w:rPr>
          <w:color w:val="0E101A"/>
        </w:rPr>
        <w:t xml:space="preserve"> larger range of objectives and outcomes can be addressed by hard citizen participation among a region and institution faculty and staff than is achievable with a solitary being so. </w:t>
      </w:r>
      <w:r>
        <w:rPr>
          <w:color w:val="0E101A"/>
        </w:rPr>
        <w:t>I think also, i</w:t>
      </w:r>
      <w:r w:rsidR="0066210A" w:rsidRPr="00702532">
        <w:rPr>
          <w:color w:val="0E101A"/>
        </w:rPr>
        <w:t>t is essential to create a mutually beneficial engagement if it is designed to go beyond the duration and financial restrictions of a unique school program</w:t>
      </w:r>
      <w:r w:rsidR="00702532" w:rsidRPr="00702532">
        <w:rPr>
          <w:color w:val="0E101A"/>
        </w:rPr>
        <w:t xml:space="preserve"> </w:t>
      </w:r>
      <w:r w:rsidR="000D76F2" w:rsidRPr="00702532">
        <w:rPr>
          <w:color w:val="0E101A"/>
        </w:rPr>
        <w:t>(</w:t>
      </w:r>
      <w:r w:rsidR="00702532" w:rsidRPr="00702532">
        <w:rPr>
          <w:color w:val="222222"/>
          <w:shd w:val="clear" w:color="auto" w:fill="FFFFFF"/>
        </w:rPr>
        <w:t>Grigoriev</w:t>
      </w:r>
      <w:r w:rsidR="00702532" w:rsidRPr="00702532">
        <w:rPr>
          <w:color w:val="0E101A"/>
        </w:rPr>
        <w:t xml:space="preserve"> </w:t>
      </w:r>
      <w:r w:rsidR="000D76F2" w:rsidRPr="00702532">
        <w:rPr>
          <w:color w:val="0E101A"/>
        </w:rPr>
        <w:t>et al., 20</w:t>
      </w:r>
      <w:r w:rsidR="00702532" w:rsidRPr="00702532">
        <w:rPr>
          <w:color w:val="0E101A"/>
        </w:rPr>
        <w:t>14</w:t>
      </w:r>
      <w:r w:rsidR="000D76F2" w:rsidRPr="00702532">
        <w:rPr>
          <w:color w:val="0E101A"/>
        </w:rPr>
        <w:t>)</w:t>
      </w:r>
      <w:r w:rsidR="0066210A" w:rsidRPr="00702532">
        <w:rPr>
          <w:color w:val="0E101A"/>
        </w:rPr>
        <w:t>. </w:t>
      </w:r>
    </w:p>
    <w:p w14:paraId="4CA7A4D0"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566AAA69" w14:textId="77777777" w:rsidR="00591548" w:rsidRDefault="00591548" w:rsidP="0066210A">
      <w:pPr>
        <w:pStyle w:val="NormalWeb"/>
        <w:spacing w:before="0" w:beforeAutospacing="0" w:after="0" w:afterAutospacing="0" w:line="360" w:lineRule="auto"/>
        <w:rPr>
          <w:color w:val="0E101A"/>
        </w:rPr>
      </w:pPr>
      <w:r>
        <w:rPr>
          <w:color w:val="0E101A"/>
        </w:rPr>
        <w:t>It seems to me that the c</w:t>
      </w:r>
      <w:r w:rsidR="0066210A" w:rsidRPr="00702532">
        <w:rPr>
          <w:color w:val="0E101A"/>
        </w:rPr>
        <w:t xml:space="preserve">itizens always had the opportunity to strengthen its sense of individuality and organization and reach results that could enhance the social and environmental aspects of their area. Teachers can pick up information they'll need for college education and put it to use. The Studies of Involvement and/or the Philosophy of Education and Instruction are two areas in which faculty can expand their study. This study examined the difficulties and choices locals encountered while participating in a series of group filmmakers and symposium curricula with visual arts, by concentrating on the procedures and advantages of crowd-registered engagement in culture development companies. </w:t>
      </w:r>
    </w:p>
    <w:p w14:paraId="551858BB" w14:textId="77777777" w:rsidR="00591548" w:rsidRDefault="00591548" w:rsidP="0066210A">
      <w:pPr>
        <w:pStyle w:val="NormalWeb"/>
        <w:spacing w:before="0" w:beforeAutospacing="0" w:after="0" w:afterAutospacing="0" w:line="360" w:lineRule="auto"/>
        <w:rPr>
          <w:color w:val="0E101A"/>
        </w:rPr>
      </w:pPr>
    </w:p>
    <w:p w14:paraId="2210EEED" w14:textId="77777777" w:rsidR="00591548" w:rsidRDefault="00591548" w:rsidP="0066210A">
      <w:pPr>
        <w:pStyle w:val="NormalWeb"/>
        <w:spacing w:before="0" w:beforeAutospacing="0" w:after="0" w:afterAutospacing="0" w:line="360" w:lineRule="auto"/>
        <w:rPr>
          <w:color w:val="0E101A"/>
        </w:rPr>
      </w:pPr>
    </w:p>
    <w:p w14:paraId="7EAAD0A3" w14:textId="77777777" w:rsidR="0066210A" w:rsidRPr="00702532" w:rsidRDefault="00591548" w:rsidP="0066210A">
      <w:pPr>
        <w:pStyle w:val="NormalWeb"/>
        <w:spacing w:before="0" w:beforeAutospacing="0" w:after="0" w:afterAutospacing="0" w:line="360" w:lineRule="auto"/>
        <w:rPr>
          <w:color w:val="0E101A"/>
        </w:rPr>
      </w:pPr>
      <w:r>
        <w:rPr>
          <w:color w:val="0E101A"/>
        </w:rPr>
        <w:t>I think that the</w:t>
      </w:r>
      <w:r w:rsidR="0066210A" w:rsidRPr="00702532">
        <w:rPr>
          <w:color w:val="0E101A"/>
        </w:rPr>
        <w:t xml:space="preserve"> Ouch Park area in Lexington, Maryland was the location of each program, which was conducted place in the context of a quarter</w:t>
      </w:r>
      <w:r>
        <w:rPr>
          <w:color w:val="0E101A"/>
        </w:rPr>
        <w:t xml:space="preserve">, that is very significant for economic </w:t>
      </w:r>
      <w:r w:rsidR="001218CB">
        <w:rPr>
          <w:color w:val="0E101A"/>
        </w:rPr>
        <w:t>Ares</w:t>
      </w:r>
      <w:r>
        <w:rPr>
          <w:color w:val="0E101A"/>
        </w:rPr>
        <w:t>.</w:t>
      </w:r>
      <w:r w:rsidR="0066210A" w:rsidRPr="00702532">
        <w:rPr>
          <w:color w:val="0E101A"/>
        </w:rPr>
        <w:t>. The first study used on-site research, narratives, and local access to community datasets to inventory the facilities of the district. For a communal access park and transport hub, evaluation and planning drawings were created for assignment 2. The concept and construction of a gardener with a prime hub was the outcome of the capstone exam.</w:t>
      </w:r>
    </w:p>
    <w:p w14:paraId="7A12F58C" w14:textId="77777777" w:rsidR="00C615E8" w:rsidRPr="00702532" w:rsidRDefault="0066210A" w:rsidP="0066210A">
      <w:pPr>
        <w:pStyle w:val="NormalWeb"/>
        <w:spacing w:before="0" w:beforeAutospacing="0" w:after="0" w:afterAutospacing="0" w:line="360" w:lineRule="auto"/>
        <w:rPr>
          <w:color w:val="0E101A"/>
        </w:rPr>
      </w:pPr>
      <w:r w:rsidRPr="00702532">
        <w:rPr>
          <w:color w:val="0E101A"/>
        </w:rPr>
        <w:t> </w:t>
      </w:r>
    </w:p>
    <w:p w14:paraId="4462F146" w14:textId="77777777" w:rsidR="00C615E8" w:rsidRDefault="00C615E8" w:rsidP="00C615E8">
      <w:pPr>
        <w:pStyle w:val="Default"/>
      </w:pPr>
      <w:bookmarkStart w:id="3" w:name="_Toc120841072"/>
    </w:p>
    <w:p w14:paraId="22CED62F" w14:textId="77777777" w:rsidR="0066210A" w:rsidRPr="00C615E8" w:rsidRDefault="00C615E8" w:rsidP="00C615E8">
      <w:pPr>
        <w:pStyle w:val="Default"/>
        <w:rPr>
          <w:rStyle w:val="Strong"/>
        </w:rPr>
      </w:pPr>
      <w:r w:rsidRPr="00C615E8">
        <w:rPr>
          <w:rStyle w:val="Strong"/>
        </w:rPr>
        <w:t xml:space="preserve">Discuss impact </w:t>
      </w:r>
      <w:r w:rsidR="00702532" w:rsidRPr="00C615E8">
        <w:rPr>
          <w:rStyle w:val="Strong"/>
        </w:rPr>
        <w:t xml:space="preserve">of the </w:t>
      </w:r>
      <w:r w:rsidR="00702532" w:rsidRPr="00EF37BA">
        <w:rPr>
          <w:rStyle w:val="Strong"/>
        </w:rPr>
        <w:t>active</w:t>
      </w:r>
      <w:r w:rsidR="00702532" w:rsidRPr="00C615E8">
        <w:rPr>
          <w:rStyle w:val="Strong"/>
        </w:rPr>
        <w:t xml:space="preserve"> consultation process, communications, involvement, and inclusion.</w:t>
      </w:r>
      <w:bookmarkEnd w:id="3"/>
    </w:p>
    <w:p w14:paraId="73FB950C" w14:textId="77777777" w:rsidR="0066210A" w:rsidRPr="00C615E8" w:rsidRDefault="0066210A" w:rsidP="00C615E8">
      <w:pPr>
        <w:pStyle w:val="Default"/>
        <w:rPr>
          <w:rStyle w:val="Strong"/>
        </w:rPr>
      </w:pPr>
    </w:p>
    <w:p w14:paraId="1591F49C" w14:textId="77777777" w:rsidR="0066210A" w:rsidRPr="00702532" w:rsidRDefault="00C615E8" w:rsidP="0066210A">
      <w:pPr>
        <w:pStyle w:val="NormalWeb"/>
        <w:spacing w:before="0" w:beforeAutospacing="0" w:after="0" w:afterAutospacing="0" w:line="360" w:lineRule="auto"/>
        <w:rPr>
          <w:color w:val="0E101A"/>
        </w:rPr>
      </w:pPr>
      <w:r>
        <w:rPr>
          <w:color w:val="0E101A"/>
        </w:rPr>
        <w:t xml:space="preserve">There are some impact in the </w:t>
      </w:r>
      <w:r w:rsidR="0066210A" w:rsidRPr="00702532">
        <w:rPr>
          <w:color w:val="0E101A"/>
        </w:rPr>
        <w:t>Auditing is the process of assisting companies in increasing productivity through the examination of issues that just occur inside the firm. But in latest years, the profession of insights has grown to be considerably larger than coaching, and it is predicted that it will continue to grow significantly. The phenomena of counseling appeared on the scene work later than it did in plenty of other industrialized nations, and its primary goal was to support businesses in conducting operational procedures through studies, assistance, etc</w:t>
      </w:r>
      <w:r w:rsidR="000D76F2" w:rsidRPr="00702532">
        <w:rPr>
          <w:color w:val="0E101A"/>
        </w:rPr>
        <w:t>(</w:t>
      </w:r>
      <w:r w:rsidR="00702532" w:rsidRPr="00702532">
        <w:rPr>
          <w:color w:val="222222"/>
          <w:shd w:val="clear" w:color="auto" w:fill="FFFFFF"/>
        </w:rPr>
        <w:t>Bauer</w:t>
      </w:r>
      <w:r w:rsidR="00702532" w:rsidRPr="00702532">
        <w:rPr>
          <w:color w:val="0E101A"/>
        </w:rPr>
        <w:t xml:space="preserve"> </w:t>
      </w:r>
      <w:r w:rsidR="000D76F2" w:rsidRPr="00702532">
        <w:rPr>
          <w:color w:val="0E101A"/>
        </w:rPr>
        <w:t>et al., 20</w:t>
      </w:r>
      <w:r w:rsidR="00702532" w:rsidRPr="00702532">
        <w:rPr>
          <w:color w:val="0E101A"/>
        </w:rPr>
        <w:t>16</w:t>
      </w:r>
      <w:r w:rsidR="000D76F2" w:rsidRPr="00702532">
        <w:rPr>
          <w:color w:val="0E101A"/>
        </w:rPr>
        <w:t>)</w:t>
      </w:r>
      <w:r w:rsidR="0066210A" w:rsidRPr="00702532">
        <w:rPr>
          <w:color w:val="0E101A"/>
        </w:rPr>
        <w:t>.</w:t>
      </w:r>
    </w:p>
    <w:p w14:paraId="1B61B2E8" w14:textId="77777777" w:rsidR="0066210A" w:rsidRPr="00702532" w:rsidRDefault="0066210A" w:rsidP="0066210A">
      <w:pPr>
        <w:pStyle w:val="NormalWeb"/>
        <w:spacing w:before="0" w:beforeAutospacing="0" w:after="0" w:afterAutospacing="0" w:line="360" w:lineRule="auto"/>
        <w:rPr>
          <w:color w:val="0E101A"/>
        </w:rPr>
      </w:pPr>
    </w:p>
    <w:p w14:paraId="0E192488"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Users are typically thought of as any individual, team, society, or organization that will be influenced by or can change how an investment project is carried out. Description in the specific situation of integrated transportation system entails the detection of individuals, factions, populations, or organizations that face the danger of still being underrepresented or ignored during the progress, adoption, and administration of guidelines, initiatives, or ventures related to construction.</w:t>
      </w:r>
    </w:p>
    <w:p w14:paraId="759B3C5C" w14:textId="77777777" w:rsidR="00702532" w:rsidRPr="00EF37BA" w:rsidRDefault="0066210A" w:rsidP="00EF37BA">
      <w:pPr>
        <w:pStyle w:val="NormalWeb"/>
        <w:spacing w:before="0" w:beforeAutospacing="0" w:after="0" w:afterAutospacing="0" w:line="360" w:lineRule="auto"/>
        <w:rPr>
          <w:rStyle w:val="Strong"/>
          <w:b w:val="0"/>
          <w:bCs w:val="0"/>
          <w:color w:val="0E101A"/>
        </w:rPr>
      </w:pPr>
      <w:r w:rsidRPr="00702532">
        <w:rPr>
          <w:color w:val="0E101A"/>
        </w:rPr>
        <w:t> </w:t>
      </w:r>
    </w:p>
    <w:p w14:paraId="5F679626" w14:textId="77777777" w:rsidR="00EF37BA" w:rsidRPr="00EF37BA" w:rsidRDefault="00EF37BA" w:rsidP="00EF37BA">
      <w:pPr>
        <w:pStyle w:val="Default"/>
        <w:rPr>
          <w:b/>
        </w:rPr>
      </w:pPr>
    </w:p>
    <w:p w14:paraId="23F80C0B" w14:textId="77777777" w:rsidR="00EF37BA" w:rsidRPr="00EF37BA" w:rsidRDefault="00EF37BA" w:rsidP="00EF37BA">
      <w:pPr>
        <w:pStyle w:val="Heading2"/>
        <w:rPr>
          <w:rStyle w:val="Strong"/>
          <w:b/>
          <w:color w:val="0E101A"/>
          <w:szCs w:val="24"/>
        </w:rPr>
      </w:pPr>
      <w:bookmarkStart w:id="4" w:name="_Toc120841073"/>
      <w:r w:rsidRPr="00EF37BA">
        <w:rPr>
          <w:rStyle w:val="Strong"/>
          <w:b/>
          <w:color w:val="0E101A"/>
          <w:szCs w:val="24"/>
        </w:rPr>
        <w:t>Investigate the best methods through conducting research, community mapping, social engagement impact analysis, and assessment.</w:t>
      </w:r>
      <w:bookmarkEnd w:id="4"/>
    </w:p>
    <w:p w14:paraId="7DF2CC79" w14:textId="77777777" w:rsidR="0066210A" w:rsidRPr="00702532" w:rsidRDefault="0066210A" w:rsidP="00702532">
      <w:pPr>
        <w:pStyle w:val="NormalWeb"/>
        <w:spacing w:before="0" w:beforeAutospacing="0" w:after="0" w:afterAutospacing="0" w:line="360" w:lineRule="auto"/>
        <w:rPr>
          <w:color w:val="0E101A"/>
        </w:rPr>
      </w:pPr>
      <w:r w:rsidRPr="00702532">
        <w:rPr>
          <w:color w:val="0E101A"/>
        </w:rPr>
        <w:t> </w:t>
      </w:r>
    </w:p>
    <w:p w14:paraId="669B2CEC"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In addition to meeting materials and legislation with particular spatial goals, methods, and expected benefits, many social factions employ nonprofit organization representation as a control system at various phases</w:t>
      </w:r>
      <w:r w:rsidR="006900F6">
        <w:rPr>
          <w:color w:val="0E101A"/>
        </w:rPr>
        <w:t xml:space="preserve">. </w:t>
      </w:r>
      <w:r w:rsidRPr="00702532">
        <w:rPr>
          <w:color w:val="0E101A"/>
        </w:rPr>
        <w:t>Towns may find what works and change material to promote more dialogues with citizens by monitoring participation in tweets. Authorities may find out more about business demographic, use insights to confirm the current engagement, and even personalize certain messages to the local and local subgroups who aim to try.</w:t>
      </w:r>
    </w:p>
    <w:p w14:paraId="6A175A62"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1CF35D16" w14:textId="77777777" w:rsidR="0066210A" w:rsidRPr="00702532" w:rsidRDefault="0066210A" w:rsidP="0066210A">
      <w:pPr>
        <w:pStyle w:val="NormalWeb"/>
        <w:spacing w:before="0" w:beforeAutospacing="0" w:after="0" w:afterAutospacing="0" w:line="360" w:lineRule="auto"/>
        <w:rPr>
          <w:color w:val="0E101A"/>
        </w:rPr>
      </w:pPr>
      <w:r w:rsidRPr="00702532">
        <w:rPr>
          <w:rStyle w:val="Strong"/>
          <w:color w:val="0E101A"/>
        </w:rPr>
        <w:t>Evaluation and justify the best practices</w:t>
      </w:r>
    </w:p>
    <w:p w14:paraId="3F46D5A8"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A Survey of public participation and recompilation is crucial in ensuring that the people participate in performance assessment. This kind of examination is done to ascertain whether or not an intervention's development, implementation, and assessment are truly democratic processes.</w:t>
      </w:r>
    </w:p>
    <w:p w14:paraId="1B7F5E82"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005957DA"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The appropriate citizens may develop during the treatment or action, so this aspect must be reevaluated frequently. Should the method and design of workshops ensure that all opinions are heard and granted weight? For instance, where do talks occur, when do they happen, and who is in charge of friends? What process is used to make decisions or reach a compromise? How are disputes resolved?</w:t>
      </w:r>
      <w:r w:rsidR="00DC6F80">
        <w:rPr>
          <w:color w:val="0E101A"/>
        </w:rPr>
        <w:t xml:space="preserve"> </w:t>
      </w:r>
      <w:r w:rsidRPr="00702532">
        <w:rPr>
          <w:color w:val="0E101A"/>
        </w:rPr>
        <w:t>How are individuals of the public included in the development of the programs or invasion? Did somebody contribute to the agency's conception, ambitions, development, or planning? Where did the local communities contribute to ensuring the respect for diversity of the initiative or treatment?</w:t>
      </w:r>
    </w:p>
    <w:p w14:paraId="7E8C09A1" w14:textId="77777777" w:rsidR="0066210A" w:rsidRPr="00702532" w:rsidRDefault="0066210A" w:rsidP="0066210A">
      <w:pPr>
        <w:pStyle w:val="NormalWeb"/>
        <w:spacing w:before="0" w:beforeAutospacing="0" w:after="0" w:afterAutospacing="0" w:line="360" w:lineRule="auto"/>
        <w:rPr>
          <w:color w:val="0E101A"/>
        </w:rPr>
      </w:pPr>
      <w:r w:rsidRPr="00702532">
        <w:rPr>
          <w:color w:val="0E101A"/>
        </w:rPr>
        <w:t> </w:t>
      </w:r>
    </w:p>
    <w:p w14:paraId="5D5A519C" w14:textId="77777777" w:rsidR="0066210A" w:rsidRPr="00EF37BA" w:rsidRDefault="0066210A" w:rsidP="00EF37BA">
      <w:pPr>
        <w:pStyle w:val="Heading1"/>
        <w:rPr>
          <w:b w:val="0"/>
        </w:rPr>
      </w:pPr>
      <w:r w:rsidRPr="00702532">
        <w:t> </w:t>
      </w:r>
      <w:bookmarkStart w:id="5" w:name="_Toc120841074"/>
      <w:r w:rsidRPr="00EF37BA">
        <w:rPr>
          <w:rStyle w:val="Strong"/>
          <w:b/>
          <w:color w:val="0E101A"/>
        </w:rPr>
        <w:t>Conc</w:t>
      </w:r>
      <w:r w:rsidR="00EF37BA" w:rsidRPr="00EF37BA">
        <w:rPr>
          <w:rStyle w:val="Strong"/>
          <w:b/>
          <w:color w:val="0E101A"/>
        </w:rPr>
        <w:t>lu</w:t>
      </w:r>
      <w:r w:rsidRPr="00EF37BA">
        <w:rPr>
          <w:rStyle w:val="Strong"/>
          <w:b/>
          <w:color w:val="0E101A"/>
        </w:rPr>
        <w:t>sion</w:t>
      </w:r>
      <w:r w:rsidRPr="00EF37BA">
        <w:rPr>
          <w:b w:val="0"/>
        </w:rPr>
        <w:t>:</w:t>
      </w:r>
      <w:bookmarkEnd w:id="5"/>
      <w:r w:rsidRPr="00EF37BA">
        <w:rPr>
          <w:b w:val="0"/>
        </w:rPr>
        <w:t xml:space="preserve"> </w:t>
      </w:r>
    </w:p>
    <w:p w14:paraId="6CF9BA17" w14:textId="77777777" w:rsidR="00702532" w:rsidRPr="00702532" w:rsidRDefault="0066210A" w:rsidP="00702532">
      <w:pPr>
        <w:pStyle w:val="NormalWeb"/>
        <w:spacing w:before="0" w:beforeAutospacing="0" w:after="0" w:afterAutospacing="0" w:line="360" w:lineRule="auto"/>
        <w:rPr>
          <w:color w:val="0E101A"/>
        </w:rPr>
      </w:pPr>
      <w:r w:rsidRPr="00702532">
        <w:rPr>
          <w:color w:val="0E101A"/>
        </w:rPr>
        <w:t xml:space="preserve">A society can be a physical place, a group of like-minded people, or a group of people who have a common connection or image, such as a business or sports team. Social inclusion is the practice of collaborating with and also through individuals who are connected by near to one another, shared interests, or comparable circumstances to fix problems influencing those men's well-being. It is a potent tool for enacting behavioral and </w:t>
      </w:r>
      <w:r w:rsidRPr="00702532">
        <w:rPr>
          <w:color w:val="0E101A"/>
        </w:rPr>
        <w:lastRenderedPageBreak/>
        <w:t>cultural change. alterations that will enhance the country's and its people's fitness Teams and consortia are frequently used in this process because they help to finance the project, and infrastructure-, alter alliance dynamics, and function as amplifiers for altering services, policy, and activities</w:t>
      </w:r>
      <w:r w:rsidR="000D76F2" w:rsidRPr="00702532">
        <w:rPr>
          <w:color w:val="0E101A"/>
        </w:rPr>
        <w:t>(</w:t>
      </w:r>
      <w:r w:rsidR="00702532" w:rsidRPr="00702532">
        <w:rPr>
          <w:color w:val="222222"/>
          <w:shd w:val="clear" w:color="auto" w:fill="FFFFFF"/>
        </w:rPr>
        <w:t>Fletcher-Watson</w:t>
      </w:r>
      <w:r w:rsidR="00702532" w:rsidRPr="00702532">
        <w:rPr>
          <w:color w:val="0E101A"/>
        </w:rPr>
        <w:t xml:space="preserve"> </w:t>
      </w:r>
      <w:r w:rsidR="000D76F2" w:rsidRPr="00702532">
        <w:rPr>
          <w:color w:val="0E101A"/>
        </w:rPr>
        <w:t>et al., 20</w:t>
      </w:r>
      <w:r w:rsidR="00702532" w:rsidRPr="00702532">
        <w:rPr>
          <w:color w:val="0E101A"/>
        </w:rPr>
        <w:t>19</w:t>
      </w:r>
      <w:r w:rsidR="000D76F2" w:rsidRPr="00702532">
        <w:rPr>
          <w:color w:val="0E101A"/>
        </w:rPr>
        <w:t>)</w:t>
      </w:r>
      <w:r w:rsidRPr="00702532">
        <w:rPr>
          <w:color w:val="0E101A"/>
        </w:rPr>
        <w:t>.</w:t>
      </w:r>
    </w:p>
    <w:p w14:paraId="4364FE30" w14:textId="6B9E5C0C" w:rsidR="006900F6" w:rsidRDefault="006900F6" w:rsidP="00702532">
      <w:pPr>
        <w:pStyle w:val="NormalWeb"/>
        <w:spacing w:before="0" w:beforeAutospacing="0" w:after="0" w:afterAutospacing="0" w:line="360" w:lineRule="auto"/>
        <w:rPr>
          <w:b/>
        </w:rPr>
      </w:pPr>
    </w:p>
    <w:p w14:paraId="353E2F1F" w14:textId="2DA28E5B" w:rsidR="00EA7E34" w:rsidRDefault="00EA7E34" w:rsidP="00702532">
      <w:pPr>
        <w:pStyle w:val="NormalWeb"/>
        <w:spacing w:before="0" w:beforeAutospacing="0" w:after="0" w:afterAutospacing="0" w:line="360" w:lineRule="auto"/>
        <w:rPr>
          <w:b/>
        </w:rPr>
      </w:pPr>
    </w:p>
    <w:p w14:paraId="503C0795" w14:textId="29FBC6C2" w:rsidR="00EA7E34" w:rsidRDefault="00EA7E34" w:rsidP="00702532">
      <w:pPr>
        <w:pStyle w:val="NormalWeb"/>
        <w:spacing w:before="0" w:beforeAutospacing="0" w:after="0" w:afterAutospacing="0" w:line="360" w:lineRule="auto"/>
        <w:rPr>
          <w:b/>
        </w:rPr>
      </w:pPr>
    </w:p>
    <w:p w14:paraId="3B04BBF8" w14:textId="3FABFB7A" w:rsidR="00EA7E34" w:rsidRDefault="00EA7E34" w:rsidP="00702532">
      <w:pPr>
        <w:pStyle w:val="NormalWeb"/>
        <w:spacing w:before="0" w:beforeAutospacing="0" w:after="0" w:afterAutospacing="0" w:line="360" w:lineRule="auto"/>
        <w:rPr>
          <w:b/>
        </w:rPr>
      </w:pPr>
    </w:p>
    <w:p w14:paraId="43DB3DC1" w14:textId="4CDCE510" w:rsidR="00EA7E34" w:rsidRDefault="00EA7E34" w:rsidP="00702532">
      <w:pPr>
        <w:pStyle w:val="NormalWeb"/>
        <w:spacing w:before="0" w:beforeAutospacing="0" w:after="0" w:afterAutospacing="0" w:line="360" w:lineRule="auto"/>
        <w:rPr>
          <w:b/>
        </w:rPr>
      </w:pPr>
    </w:p>
    <w:p w14:paraId="514C6962" w14:textId="7B73B4E2" w:rsidR="00EA7E34" w:rsidRDefault="00EA7E34" w:rsidP="00702532">
      <w:pPr>
        <w:pStyle w:val="NormalWeb"/>
        <w:spacing w:before="0" w:beforeAutospacing="0" w:after="0" w:afterAutospacing="0" w:line="360" w:lineRule="auto"/>
        <w:rPr>
          <w:b/>
        </w:rPr>
      </w:pPr>
    </w:p>
    <w:p w14:paraId="20EF2B9A" w14:textId="12688332" w:rsidR="00EA7E34" w:rsidRDefault="00EA7E34" w:rsidP="00702532">
      <w:pPr>
        <w:pStyle w:val="NormalWeb"/>
        <w:spacing w:before="0" w:beforeAutospacing="0" w:after="0" w:afterAutospacing="0" w:line="360" w:lineRule="auto"/>
        <w:rPr>
          <w:b/>
        </w:rPr>
      </w:pPr>
    </w:p>
    <w:p w14:paraId="4E7DDD3F" w14:textId="4D9D89AF" w:rsidR="00EA7E34" w:rsidRDefault="00EA7E34" w:rsidP="00702532">
      <w:pPr>
        <w:pStyle w:val="NormalWeb"/>
        <w:spacing w:before="0" w:beforeAutospacing="0" w:after="0" w:afterAutospacing="0" w:line="360" w:lineRule="auto"/>
        <w:rPr>
          <w:b/>
        </w:rPr>
      </w:pPr>
    </w:p>
    <w:p w14:paraId="2FB7E993" w14:textId="3D886E91" w:rsidR="00EA7E34" w:rsidRDefault="00EA7E34" w:rsidP="00702532">
      <w:pPr>
        <w:pStyle w:val="NormalWeb"/>
        <w:spacing w:before="0" w:beforeAutospacing="0" w:after="0" w:afterAutospacing="0" w:line="360" w:lineRule="auto"/>
        <w:rPr>
          <w:b/>
        </w:rPr>
      </w:pPr>
    </w:p>
    <w:p w14:paraId="36067310" w14:textId="3079041B" w:rsidR="00EA7E34" w:rsidRDefault="00EA7E34" w:rsidP="00702532">
      <w:pPr>
        <w:pStyle w:val="NormalWeb"/>
        <w:spacing w:before="0" w:beforeAutospacing="0" w:after="0" w:afterAutospacing="0" w:line="360" w:lineRule="auto"/>
        <w:rPr>
          <w:b/>
        </w:rPr>
      </w:pPr>
    </w:p>
    <w:p w14:paraId="2D9F4ABD" w14:textId="530300B6" w:rsidR="00EA7E34" w:rsidRDefault="00EA7E34" w:rsidP="00702532">
      <w:pPr>
        <w:pStyle w:val="NormalWeb"/>
        <w:spacing w:before="0" w:beforeAutospacing="0" w:after="0" w:afterAutospacing="0" w:line="360" w:lineRule="auto"/>
        <w:rPr>
          <w:b/>
        </w:rPr>
      </w:pPr>
    </w:p>
    <w:p w14:paraId="353F2DF8" w14:textId="53D3537E" w:rsidR="00EA7E34" w:rsidRDefault="00EA7E34" w:rsidP="00702532">
      <w:pPr>
        <w:pStyle w:val="NormalWeb"/>
        <w:spacing w:before="0" w:beforeAutospacing="0" w:after="0" w:afterAutospacing="0" w:line="360" w:lineRule="auto"/>
        <w:rPr>
          <w:b/>
        </w:rPr>
      </w:pPr>
    </w:p>
    <w:p w14:paraId="6D36DECA" w14:textId="6D0DD94D" w:rsidR="00EA7E34" w:rsidRDefault="00EA7E34" w:rsidP="00702532">
      <w:pPr>
        <w:pStyle w:val="NormalWeb"/>
        <w:spacing w:before="0" w:beforeAutospacing="0" w:after="0" w:afterAutospacing="0" w:line="360" w:lineRule="auto"/>
        <w:rPr>
          <w:b/>
        </w:rPr>
      </w:pPr>
    </w:p>
    <w:p w14:paraId="47564ACB" w14:textId="54803645" w:rsidR="00EA7E34" w:rsidRDefault="00EA7E34" w:rsidP="00702532">
      <w:pPr>
        <w:pStyle w:val="NormalWeb"/>
        <w:spacing w:before="0" w:beforeAutospacing="0" w:after="0" w:afterAutospacing="0" w:line="360" w:lineRule="auto"/>
        <w:rPr>
          <w:b/>
        </w:rPr>
      </w:pPr>
    </w:p>
    <w:p w14:paraId="55AEDDD1" w14:textId="30807238" w:rsidR="00EA7E34" w:rsidRDefault="00EA7E34" w:rsidP="00702532">
      <w:pPr>
        <w:pStyle w:val="NormalWeb"/>
        <w:spacing w:before="0" w:beforeAutospacing="0" w:after="0" w:afterAutospacing="0" w:line="360" w:lineRule="auto"/>
        <w:rPr>
          <w:b/>
        </w:rPr>
      </w:pPr>
    </w:p>
    <w:p w14:paraId="4AAA9946" w14:textId="0DC6DE7C" w:rsidR="00EA7E34" w:rsidRDefault="00EA7E34" w:rsidP="00702532">
      <w:pPr>
        <w:pStyle w:val="NormalWeb"/>
        <w:spacing w:before="0" w:beforeAutospacing="0" w:after="0" w:afterAutospacing="0" w:line="360" w:lineRule="auto"/>
        <w:rPr>
          <w:b/>
        </w:rPr>
      </w:pPr>
    </w:p>
    <w:p w14:paraId="2151FC89" w14:textId="6151E42A" w:rsidR="00EA7E34" w:rsidRDefault="00EA7E34" w:rsidP="00702532">
      <w:pPr>
        <w:pStyle w:val="NormalWeb"/>
        <w:spacing w:before="0" w:beforeAutospacing="0" w:after="0" w:afterAutospacing="0" w:line="360" w:lineRule="auto"/>
        <w:rPr>
          <w:b/>
        </w:rPr>
      </w:pPr>
    </w:p>
    <w:p w14:paraId="1DAB1BA4" w14:textId="48502A22" w:rsidR="00EA7E34" w:rsidRDefault="00EA7E34" w:rsidP="00702532">
      <w:pPr>
        <w:pStyle w:val="NormalWeb"/>
        <w:spacing w:before="0" w:beforeAutospacing="0" w:after="0" w:afterAutospacing="0" w:line="360" w:lineRule="auto"/>
        <w:rPr>
          <w:b/>
        </w:rPr>
      </w:pPr>
    </w:p>
    <w:p w14:paraId="466D4619" w14:textId="69270E90" w:rsidR="00EA7E34" w:rsidRDefault="00EA7E34" w:rsidP="00702532">
      <w:pPr>
        <w:pStyle w:val="NormalWeb"/>
        <w:spacing w:before="0" w:beforeAutospacing="0" w:after="0" w:afterAutospacing="0" w:line="360" w:lineRule="auto"/>
        <w:rPr>
          <w:b/>
        </w:rPr>
      </w:pPr>
    </w:p>
    <w:p w14:paraId="1A669038" w14:textId="6BB76904" w:rsidR="00EA7E34" w:rsidRDefault="00EA7E34" w:rsidP="00702532">
      <w:pPr>
        <w:pStyle w:val="NormalWeb"/>
        <w:spacing w:before="0" w:beforeAutospacing="0" w:after="0" w:afterAutospacing="0" w:line="360" w:lineRule="auto"/>
        <w:rPr>
          <w:b/>
        </w:rPr>
      </w:pPr>
    </w:p>
    <w:p w14:paraId="7644B2E4" w14:textId="448FB928" w:rsidR="00EA7E34" w:rsidRDefault="00EA7E34" w:rsidP="00702532">
      <w:pPr>
        <w:pStyle w:val="NormalWeb"/>
        <w:spacing w:before="0" w:beforeAutospacing="0" w:after="0" w:afterAutospacing="0" w:line="360" w:lineRule="auto"/>
        <w:rPr>
          <w:b/>
        </w:rPr>
      </w:pPr>
    </w:p>
    <w:p w14:paraId="58BF15C3" w14:textId="35B2B8B3" w:rsidR="00EA7E34" w:rsidRDefault="00EA7E34" w:rsidP="00702532">
      <w:pPr>
        <w:pStyle w:val="NormalWeb"/>
        <w:spacing w:before="0" w:beforeAutospacing="0" w:after="0" w:afterAutospacing="0" w:line="360" w:lineRule="auto"/>
        <w:rPr>
          <w:b/>
        </w:rPr>
      </w:pPr>
    </w:p>
    <w:p w14:paraId="24648338" w14:textId="3F0ACD2A" w:rsidR="00EA7E34" w:rsidRDefault="00EA7E34" w:rsidP="00702532">
      <w:pPr>
        <w:pStyle w:val="NormalWeb"/>
        <w:spacing w:before="0" w:beforeAutospacing="0" w:after="0" w:afterAutospacing="0" w:line="360" w:lineRule="auto"/>
        <w:rPr>
          <w:b/>
        </w:rPr>
      </w:pPr>
    </w:p>
    <w:p w14:paraId="1C6DAB96" w14:textId="365C5F7A" w:rsidR="00EA7E34" w:rsidRDefault="00EA7E34" w:rsidP="00702532">
      <w:pPr>
        <w:pStyle w:val="NormalWeb"/>
        <w:spacing w:before="0" w:beforeAutospacing="0" w:after="0" w:afterAutospacing="0" w:line="360" w:lineRule="auto"/>
        <w:rPr>
          <w:b/>
        </w:rPr>
      </w:pPr>
    </w:p>
    <w:p w14:paraId="10C797D3" w14:textId="54183E96" w:rsidR="00EA7E34" w:rsidRDefault="00EA7E34" w:rsidP="00702532">
      <w:pPr>
        <w:pStyle w:val="NormalWeb"/>
        <w:spacing w:before="0" w:beforeAutospacing="0" w:after="0" w:afterAutospacing="0" w:line="360" w:lineRule="auto"/>
        <w:rPr>
          <w:b/>
        </w:rPr>
      </w:pPr>
    </w:p>
    <w:p w14:paraId="4125DE87" w14:textId="64D6B94E" w:rsidR="00EA7E34" w:rsidRDefault="00EA7E34" w:rsidP="00702532">
      <w:pPr>
        <w:pStyle w:val="NormalWeb"/>
        <w:spacing w:before="0" w:beforeAutospacing="0" w:after="0" w:afterAutospacing="0" w:line="360" w:lineRule="auto"/>
        <w:rPr>
          <w:b/>
        </w:rPr>
      </w:pPr>
    </w:p>
    <w:p w14:paraId="1C8FE47E" w14:textId="573D729D" w:rsidR="00EA7E34" w:rsidRDefault="00EA7E34" w:rsidP="00702532">
      <w:pPr>
        <w:pStyle w:val="NormalWeb"/>
        <w:spacing w:before="0" w:beforeAutospacing="0" w:after="0" w:afterAutospacing="0" w:line="360" w:lineRule="auto"/>
        <w:rPr>
          <w:b/>
        </w:rPr>
      </w:pPr>
    </w:p>
    <w:p w14:paraId="6B62DDC1" w14:textId="4AE22475" w:rsidR="00EA7E34" w:rsidRDefault="00EA7E34" w:rsidP="00702532">
      <w:pPr>
        <w:pStyle w:val="NormalWeb"/>
        <w:spacing w:before="0" w:beforeAutospacing="0" w:after="0" w:afterAutospacing="0" w:line="360" w:lineRule="auto"/>
        <w:rPr>
          <w:b/>
        </w:rPr>
      </w:pPr>
    </w:p>
    <w:p w14:paraId="609D7358" w14:textId="135EE4D1" w:rsidR="00EA7E34" w:rsidRDefault="00EA7E34" w:rsidP="00702532">
      <w:pPr>
        <w:pStyle w:val="NormalWeb"/>
        <w:spacing w:before="0" w:beforeAutospacing="0" w:after="0" w:afterAutospacing="0" w:line="360" w:lineRule="auto"/>
        <w:rPr>
          <w:b/>
        </w:rPr>
      </w:pPr>
    </w:p>
    <w:p w14:paraId="3A7CE457" w14:textId="77777777" w:rsidR="00EA7E34" w:rsidRDefault="00EA7E34" w:rsidP="00702532">
      <w:pPr>
        <w:pStyle w:val="NormalWeb"/>
        <w:spacing w:before="0" w:beforeAutospacing="0" w:after="0" w:afterAutospacing="0" w:line="360" w:lineRule="auto"/>
        <w:rPr>
          <w:b/>
        </w:rPr>
      </w:pPr>
    </w:p>
    <w:p w14:paraId="14785EC4" w14:textId="77777777" w:rsidR="006900F6" w:rsidRDefault="006900F6" w:rsidP="00702532">
      <w:pPr>
        <w:pStyle w:val="NormalWeb"/>
        <w:spacing w:before="0" w:beforeAutospacing="0" w:after="0" w:afterAutospacing="0" w:line="360" w:lineRule="auto"/>
        <w:rPr>
          <w:b/>
        </w:rPr>
      </w:pPr>
    </w:p>
    <w:p w14:paraId="68D84B2F" w14:textId="77777777" w:rsidR="00A45CC7" w:rsidRPr="00702532" w:rsidRDefault="00A45CC7" w:rsidP="00EF37BA">
      <w:pPr>
        <w:pStyle w:val="Heading1"/>
        <w:rPr>
          <w:color w:val="0E101A"/>
        </w:rPr>
      </w:pPr>
      <w:bookmarkStart w:id="6" w:name="_Toc120841075"/>
      <w:r w:rsidRPr="00702532">
        <w:lastRenderedPageBreak/>
        <w:t>Reference:</w:t>
      </w:r>
      <w:bookmarkEnd w:id="6"/>
    </w:p>
    <w:p w14:paraId="4CC93CF0"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Epstein, J.L., Sanders, M.G., Sheldon, S.B., Simon, B.S., Salinas, K.C., </w:t>
      </w:r>
      <w:proofErr w:type="spellStart"/>
      <w:r w:rsidRPr="00702532">
        <w:rPr>
          <w:color w:val="222222"/>
          <w:shd w:val="clear" w:color="auto" w:fill="FFFFFF"/>
        </w:rPr>
        <w:t>Jansorn</w:t>
      </w:r>
      <w:proofErr w:type="spellEnd"/>
      <w:r w:rsidRPr="00702532">
        <w:rPr>
          <w:color w:val="222222"/>
          <w:shd w:val="clear" w:color="auto" w:fill="FFFFFF"/>
        </w:rPr>
        <w:t xml:space="preserve">, N.R., Van </w:t>
      </w:r>
      <w:proofErr w:type="spellStart"/>
      <w:r w:rsidRPr="00702532">
        <w:rPr>
          <w:color w:val="222222"/>
          <w:shd w:val="clear" w:color="auto" w:fill="FFFFFF"/>
        </w:rPr>
        <w:t>Voorhis</w:t>
      </w:r>
      <w:proofErr w:type="spellEnd"/>
      <w:r w:rsidRPr="00702532">
        <w:rPr>
          <w:color w:val="222222"/>
          <w:shd w:val="clear" w:color="auto" w:fill="FFFFFF"/>
        </w:rPr>
        <w:t xml:space="preserve">, F.L., Martin, C.S., Thomas, B.G., Greenfeld, M.D. and Hutchins, D.J., 2018. </w:t>
      </w:r>
      <w:r w:rsidRPr="00702532">
        <w:rPr>
          <w:i/>
          <w:iCs/>
          <w:color w:val="000000"/>
        </w:rPr>
        <w:t>School, family, and community partnerships: Your handbook for action</w:t>
      </w:r>
      <w:r w:rsidRPr="00702532">
        <w:rPr>
          <w:color w:val="000000"/>
        </w:rPr>
        <w:t>. Corwin Press.</w:t>
      </w:r>
    </w:p>
    <w:p w14:paraId="5F33AE7C" w14:textId="77777777" w:rsidR="00A45CC7" w:rsidRPr="00702532" w:rsidRDefault="00A45CC7" w:rsidP="0066210A">
      <w:pPr>
        <w:pStyle w:val="NormalWeb"/>
        <w:spacing w:before="240" w:beforeAutospacing="0" w:after="240" w:afterAutospacing="0" w:line="360" w:lineRule="auto"/>
      </w:pPr>
      <w:proofErr w:type="spellStart"/>
      <w:r w:rsidRPr="00702532">
        <w:rPr>
          <w:color w:val="222222"/>
          <w:shd w:val="clear" w:color="auto" w:fill="FFFFFF"/>
        </w:rPr>
        <w:t>Gelmon</w:t>
      </w:r>
      <w:proofErr w:type="spellEnd"/>
      <w:r w:rsidRPr="00702532">
        <w:rPr>
          <w:color w:val="222222"/>
          <w:shd w:val="clear" w:color="auto" w:fill="FFFFFF"/>
        </w:rPr>
        <w:t xml:space="preserve">, S.B., Holland, B.A. and Spring, A., 2018. </w:t>
      </w:r>
      <w:r w:rsidRPr="00702532">
        <w:rPr>
          <w:i/>
          <w:iCs/>
          <w:color w:val="000000"/>
        </w:rPr>
        <w:t>Assessing service-learning and civic engagement: Principles and techniques</w:t>
      </w:r>
      <w:r w:rsidRPr="00702532">
        <w:rPr>
          <w:color w:val="000000"/>
        </w:rPr>
        <w:t>. Campus Compact.</w:t>
      </w:r>
    </w:p>
    <w:p w14:paraId="5CB9A915"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Phua, J., Jin, S.V. and Kim, J.J., 2017. Gratifications of using Facebook, Twitter, Instagram, or Snapchat to follow brands: The moderating effect of social comparison, trust, tie strength, and network homophily on brand identification, brand engagement, brand commitment, and membership intention. </w:t>
      </w:r>
      <w:r w:rsidRPr="00702532">
        <w:rPr>
          <w:i/>
          <w:iCs/>
          <w:color w:val="000000"/>
        </w:rPr>
        <w:t>Telematics and Informatics</w:t>
      </w:r>
      <w:r w:rsidRPr="00702532">
        <w:rPr>
          <w:color w:val="000000"/>
        </w:rPr>
        <w:t xml:space="preserve">, </w:t>
      </w:r>
      <w:r w:rsidRPr="00702532">
        <w:rPr>
          <w:i/>
          <w:iCs/>
          <w:color w:val="000000"/>
        </w:rPr>
        <w:t>34</w:t>
      </w:r>
      <w:r w:rsidRPr="00702532">
        <w:rPr>
          <w:color w:val="000000"/>
        </w:rPr>
        <w:t>(1), pp.412-424.</w:t>
      </w:r>
    </w:p>
    <w:p w14:paraId="599862E5"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World Health Organization, 2020. Novel Coronavirus (2019-nCoV) technical guidance.</w:t>
      </w:r>
    </w:p>
    <w:p w14:paraId="4616C3FB"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Seering, J., Wang, T., Yoon, J. and Kaufman, G., 2019. Moderator engagement and community development in the age of algorithms. </w:t>
      </w:r>
      <w:r w:rsidRPr="00702532">
        <w:rPr>
          <w:i/>
          <w:iCs/>
          <w:color w:val="000000"/>
        </w:rPr>
        <w:t>New Media &amp; Society</w:t>
      </w:r>
      <w:r w:rsidRPr="00702532">
        <w:rPr>
          <w:color w:val="000000"/>
        </w:rPr>
        <w:t xml:space="preserve">, </w:t>
      </w:r>
      <w:r w:rsidRPr="00702532">
        <w:rPr>
          <w:i/>
          <w:iCs/>
          <w:color w:val="000000"/>
        </w:rPr>
        <w:t>21</w:t>
      </w:r>
      <w:r w:rsidRPr="00702532">
        <w:rPr>
          <w:color w:val="000000"/>
        </w:rPr>
        <w:t>(7), pp.1417-1443.</w:t>
      </w:r>
    </w:p>
    <w:p w14:paraId="72695763"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Dessart, L., </w:t>
      </w:r>
      <w:proofErr w:type="spellStart"/>
      <w:r w:rsidRPr="00702532">
        <w:rPr>
          <w:color w:val="222222"/>
          <w:shd w:val="clear" w:color="auto" w:fill="FFFFFF"/>
        </w:rPr>
        <w:t>Veloutsou</w:t>
      </w:r>
      <w:proofErr w:type="spellEnd"/>
      <w:r w:rsidRPr="00702532">
        <w:rPr>
          <w:color w:val="222222"/>
          <w:shd w:val="clear" w:color="auto" w:fill="FFFFFF"/>
        </w:rPr>
        <w:t xml:space="preserve">, C. and Morgan-Thomas, A., 2016. Capturing consumer engagement: duality, dimensionality and measurement. </w:t>
      </w:r>
      <w:r w:rsidRPr="00702532">
        <w:rPr>
          <w:i/>
          <w:iCs/>
          <w:color w:val="000000"/>
        </w:rPr>
        <w:t>Journal of Marketing Management</w:t>
      </w:r>
      <w:r w:rsidRPr="00702532">
        <w:rPr>
          <w:color w:val="000000"/>
        </w:rPr>
        <w:t xml:space="preserve">, </w:t>
      </w:r>
      <w:r w:rsidRPr="00702532">
        <w:rPr>
          <w:i/>
          <w:iCs/>
          <w:color w:val="000000"/>
        </w:rPr>
        <w:t>32</w:t>
      </w:r>
      <w:r w:rsidRPr="00702532">
        <w:rPr>
          <w:color w:val="000000"/>
        </w:rPr>
        <w:t>(5-6), pp.399-426.</w:t>
      </w:r>
    </w:p>
    <w:p w14:paraId="4E4A5DAF"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Andersson, N., Nava-Aguilera, E., </w:t>
      </w:r>
      <w:proofErr w:type="spellStart"/>
      <w:r w:rsidRPr="00702532">
        <w:rPr>
          <w:color w:val="222222"/>
          <w:shd w:val="clear" w:color="auto" w:fill="FFFFFF"/>
        </w:rPr>
        <w:t>Arosteguí</w:t>
      </w:r>
      <w:proofErr w:type="spellEnd"/>
      <w:r w:rsidRPr="00702532">
        <w:rPr>
          <w:color w:val="222222"/>
          <w:shd w:val="clear" w:color="auto" w:fill="FFFFFF"/>
        </w:rPr>
        <w:t xml:space="preserve">, J., Morales-Perez, A., Suazo-Laguna, H., Legorreta-Soberanis, J., Hernandez-Alvarez, C., Fernandez-Salas, I., Paredes-Solís, S., Balmaseda, A. and Cortés-Guzmán, A.J., 2015. Evidence based community mobilization for dengue prevention in Nicaragua and Mexico (Camino Verde, the Green Way): cluster randomized controlled trial. </w:t>
      </w:r>
      <w:proofErr w:type="spellStart"/>
      <w:r w:rsidRPr="00702532">
        <w:rPr>
          <w:i/>
          <w:iCs/>
          <w:color w:val="000000"/>
        </w:rPr>
        <w:t>Bmj</w:t>
      </w:r>
      <w:proofErr w:type="spellEnd"/>
      <w:r w:rsidRPr="00702532">
        <w:rPr>
          <w:color w:val="000000"/>
        </w:rPr>
        <w:t xml:space="preserve">, </w:t>
      </w:r>
      <w:r w:rsidRPr="00702532">
        <w:rPr>
          <w:i/>
          <w:iCs/>
          <w:color w:val="000000"/>
        </w:rPr>
        <w:t>351</w:t>
      </w:r>
      <w:r w:rsidRPr="00702532">
        <w:rPr>
          <w:color w:val="000000"/>
        </w:rPr>
        <w:t>.</w:t>
      </w:r>
    </w:p>
    <w:p w14:paraId="15F8F1FF"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Harrington, K., Flint, A. and Healey, M., 2014. Engagement through partnership: Students as partners in learning and teaching in higher education.</w:t>
      </w:r>
    </w:p>
    <w:p w14:paraId="0A687AF0"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World Health Organization, 2020. </w:t>
      </w:r>
      <w:r w:rsidRPr="00702532">
        <w:rPr>
          <w:i/>
          <w:iCs/>
          <w:color w:val="000000"/>
        </w:rPr>
        <w:t>United Republic of Tanzania: TB Community Network: a platform for a stronger community response to tuberculosis: case study</w:t>
      </w:r>
      <w:r w:rsidRPr="00702532">
        <w:rPr>
          <w:color w:val="000000"/>
        </w:rPr>
        <w:t>. World Health Organization.</w:t>
      </w:r>
    </w:p>
    <w:p w14:paraId="6540FE9C"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Calabrese Barton, A. and Tan, E., 2018. A longitudinal study of equity-oriented STEM-rich making among youth from historically marginalized communities. </w:t>
      </w:r>
      <w:r w:rsidRPr="00702532">
        <w:rPr>
          <w:i/>
          <w:iCs/>
          <w:color w:val="000000"/>
        </w:rPr>
        <w:t>American Educational Research Journal</w:t>
      </w:r>
      <w:r w:rsidRPr="00702532">
        <w:rPr>
          <w:color w:val="000000"/>
        </w:rPr>
        <w:t xml:space="preserve">, </w:t>
      </w:r>
      <w:r w:rsidRPr="00702532">
        <w:rPr>
          <w:i/>
          <w:iCs/>
          <w:color w:val="000000"/>
        </w:rPr>
        <w:t>55</w:t>
      </w:r>
      <w:r w:rsidRPr="00702532">
        <w:rPr>
          <w:color w:val="000000"/>
        </w:rPr>
        <w:t>(4), pp.761-800.</w:t>
      </w:r>
    </w:p>
    <w:p w14:paraId="09749412"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Jones, D.A., </w:t>
      </w:r>
      <w:proofErr w:type="spellStart"/>
      <w:r w:rsidRPr="00702532">
        <w:rPr>
          <w:color w:val="222222"/>
          <w:shd w:val="clear" w:color="auto" w:fill="FFFFFF"/>
        </w:rPr>
        <w:t>Willness</w:t>
      </w:r>
      <w:proofErr w:type="spellEnd"/>
      <w:r w:rsidRPr="00702532">
        <w:rPr>
          <w:color w:val="222222"/>
          <w:shd w:val="clear" w:color="auto" w:fill="FFFFFF"/>
        </w:rPr>
        <w:t xml:space="preserve">, C.R. and </w:t>
      </w:r>
      <w:proofErr w:type="spellStart"/>
      <w:r w:rsidRPr="00702532">
        <w:rPr>
          <w:color w:val="222222"/>
          <w:shd w:val="clear" w:color="auto" w:fill="FFFFFF"/>
        </w:rPr>
        <w:t>Madey</w:t>
      </w:r>
      <w:proofErr w:type="spellEnd"/>
      <w:r w:rsidRPr="00702532">
        <w:rPr>
          <w:color w:val="222222"/>
          <w:shd w:val="clear" w:color="auto" w:fill="FFFFFF"/>
        </w:rPr>
        <w:t xml:space="preserve">, S., 2014. Why are job seekers attracted by corporate social performance? Experimental and field tests of three signal-based mechanisms. </w:t>
      </w:r>
      <w:r w:rsidRPr="00702532">
        <w:rPr>
          <w:i/>
          <w:iCs/>
          <w:color w:val="000000"/>
        </w:rPr>
        <w:t>Academy of Management Journal</w:t>
      </w:r>
      <w:r w:rsidRPr="00702532">
        <w:rPr>
          <w:color w:val="000000"/>
        </w:rPr>
        <w:t xml:space="preserve">, </w:t>
      </w:r>
      <w:r w:rsidRPr="00702532">
        <w:rPr>
          <w:i/>
          <w:iCs/>
          <w:color w:val="000000"/>
        </w:rPr>
        <w:t>57</w:t>
      </w:r>
      <w:r w:rsidRPr="00702532">
        <w:rPr>
          <w:color w:val="000000"/>
        </w:rPr>
        <w:t>(2), pp.383-404.</w:t>
      </w:r>
    </w:p>
    <w:p w14:paraId="58613182"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Jevtić, M., </w:t>
      </w:r>
      <w:proofErr w:type="spellStart"/>
      <w:r w:rsidRPr="00702532">
        <w:rPr>
          <w:color w:val="222222"/>
          <w:shd w:val="clear" w:color="auto" w:fill="FFFFFF"/>
        </w:rPr>
        <w:t>Pantelinac</w:t>
      </w:r>
      <w:proofErr w:type="spellEnd"/>
      <w:r w:rsidRPr="00702532">
        <w:rPr>
          <w:color w:val="222222"/>
          <w:shd w:val="clear" w:color="auto" w:fill="FFFFFF"/>
        </w:rPr>
        <w:t xml:space="preserve">, J., Jovanović-Ilić, T., Petrović, V., Grgić, O. and Blažić, L., 2015. The role of nutrition in caries prevention and maintenance of oral health during pregnancy. </w:t>
      </w:r>
      <w:proofErr w:type="spellStart"/>
      <w:r w:rsidRPr="00702532">
        <w:rPr>
          <w:i/>
          <w:iCs/>
          <w:color w:val="000000"/>
        </w:rPr>
        <w:t>Medicinski</w:t>
      </w:r>
      <w:proofErr w:type="spellEnd"/>
      <w:r w:rsidRPr="00702532">
        <w:rPr>
          <w:i/>
          <w:iCs/>
          <w:color w:val="000000"/>
        </w:rPr>
        <w:t xml:space="preserve"> </w:t>
      </w:r>
      <w:proofErr w:type="spellStart"/>
      <w:r w:rsidRPr="00702532">
        <w:rPr>
          <w:i/>
          <w:iCs/>
          <w:color w:val="000000"/>
        </w:rPr>
        <w:t>pregled</w:t>
      </w:r>
      <w:proofErr w:type="spellEnd"/>
      <w:r w:rsidRPr="00702532">
        <w:rPr>
          <w:color w:val="000000"/>
        </w:rPr>
        <w:t xml:space="preserve">, </w:t>
      </w:r>
      <w:r w:rsidRPr="00702532">
        <w:rPr>
          <w:i/>
          <w:iCs/>
          <w:color w:val="000000"/>
        </w:rPr>
        <w:t>68</w:t>
      </w:r>
      <w:r w:rsidRPr="00702532">
        <w:rPr>
          <w:color w:val="000000"/>
        </w:rPr>
        <w:t>(11-12), pp.387-393.</w:t>
      </w:r>
    </w:p>
    <w:p w14:paraId="23B52032"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lastRenderedPageBreak/>
        <w:t xml:space="preserve">Grigoriev, I.V., Nikitin, R., Haridas, S., Kuo, A., Ohm, R., </w:t>
      </w:r>
      <w:proofErr w:type="spellStart"/>
      <w:r w:rsidRPr="00702532">
        <w:rPr>
          <w:color w:val="222222"/>
          <w:shd w:val="clear" w:color="auto" w:fill="FFFFFF"/>
        </w:rPr>
        <w:t>Otillar</w:t>
      </w:r>
      <w:proofErr w:type="spellEnd"/>
      <w:r w:rsidRPr="00702532">
        <w:rPr>
          <w:color w:val="222222"/>
          <w:shd w:val="clear" w:color="auto" w:fill="FFFFFF"/>
        </w:rPr>
        <w:t xml:space="preserve">, R., Riley, R., Salamov, A., Zhao, X., Korzeniewski, F. and Smirnova, T., 2014. </w:t>
      </w:r>
      <w:proofErr w:type="spellStart"/>
      <w:r w:rsidRPr="00702532">
        <w:rPr>
          <w:color w:val="222222"/>
          <w:shd w:val="clear" w:color="auto" w:fill="FFFFFF"/>
        </w:rPr>
        <w:t>MycoCosm</w:t>
      </w:r>
      <w:proofErr w:type="spellEnd"/>
      <w:r w:rsidRPr="00702532">
        <w:rPr>
          <w:color w:val="222222"/>
          <w:shd w:val="clear" w:color="auto" w:fill="FFFFFF"/>
        </w:rPr>
        <w:t xml:space="preserve"> portal: gearing up for 1000 fungal genomes. </w:t>
      </w:r>
      <w:r w:rsidRPr="00702532">
        <w:rPr>
          <w:i/>
          <w:iCs/>
          <w:color w:val="000000"/>
        </w:rPr>
        <w:t>Nucleic acids research</w:t>
      </w:r>
      <w:r w:rsidRPr="00702532">
        <w:rPr>
          <w:color w:val="000000"/>
        </w:rPr>
        <w:t xml:space="preserve">, </w:t>
      </w:r>
      <w:r w:rsidRPr="00702532">
        <w:rPr>
          <w:i/>
          <w:iCs/>
          <w:color w:val="000000"/>
        </w:rPr>
        <w:t>42</w:t>
      </w:r>
      <w:r w:rsidRPr="00702532">
        <w:rPr>
          <w:color w:val="000000"/>
        </w:rPr>
        <w:t xml:space="preserve">(D1), </w:t>
      </w:r>
      <w:proofErr w:type="gramStart"/>
      <w:r w:rsidRPr="00702532">
        <w:rPr>
          <w:color w:val="000000"/>
        </w:rPr>
        <w:t>pp.D</w:t>
      </w:r>
      <w:proofErr w:type="gramEnd"/>
      <w:r w:rsidRPr="00702532">
        <w:rPr>
          <w:color w:val="000000"/>
        </w:rPr>
        <w:t>699-D704.</w:t>
      </w:r>
    </w:p>
    <w:p w14:paraId="76A0DB14" w14:textId="77777777" w:rsidR="00A45CC7" w:rsidRPr="00702532" w:rsidRDefault="00A45CC7" w:rsidP="0066210A">
      <w:pPr>
        <w:pStyle w:val="NormalWeb"/>
        <w:spacing w:before="240" w:beforeAutospacing="0" w:after="240" w:afterAutospacing="0" w:line="360" w:lineRule="auto"/>
      </w:pPr>
      <w:r w:rsidRPr="00702532">
        <w:rPr>
          <w:color w:val="222222"/>
          <w:shd w:val="clear" w:color="auto" w:fill="FFFFFF"/>
        </w:rPr>
        <w:t xml:space="preserve">Bauer, M., Blattman, C., Chytilová, J., Henrich, J., Miguel, E. and Mitts, T., 2016. Can war foster </w:t>
      </w:r>
      <w:proofErr w:type="gramStart"/>
      <w:r w:rsidRPr="00702532">
        <w:rPr>
          <w:color w:val="222222"/>
          <w:shd w:val="clear" w:color="auto" w:fill="FFFFFF"/>
        </w:rPr>
        <w:t>cooperation?.</w:t>
      </w:r>
      <w:proofErr w:type="gramEnd"/>
      <w:r w:rsidRPr="00702532">
        <w:rPr>
          <w:color w:val="222222"/>
          <w:shd w:val="clear" w:color="auto" w:fill="FFFFFF"/>
        </w:rPr>
        <w:t xml:space="preserve"> </w:t>
      </w:r>
      <w:r w:rsidRPr="00702532">
        <w:rPr>
          <w:i/>
          <w:iCs/>
          <w:color w:val="000000"/>
        </w:rPr>
        <w:t>Journal of Economic Perspectives</w:t>
      </w:r>
      <w:r w:rsidRPr="00702532">
        <w:rPr>
          <w:color w:val="000000"/>
        </w:rPr>
        <w:t xml:space="preserve">, </w:t>
      </w:r>
      <w:r w:rsidRPr="00702532">
        <w:rPr>
          <w:i/>
          <w:iCs/>
          <w:color w:val="000000"/>
        </w:rPr>
        <w:t>30</w:t>
      </w:r>
      <w:r w:rsidRPr="00702532">
        <w:rPr>
          <w:color w:val="000000"/>
        </w:rPr>
        <w:t>(3), pp.249-74.</w:t>
      </w:r>
    </w:p>
    <w:p w14:paraId="140181F5" w14:textId="77777777" w:rsidR="00A45CC7" w:rsidRPr="0066210A" w:rsidRDefault="00A45CC7" w:rsidP="0066210A">
      <w:pPr>
        <w:pStyle w:val="NormalWeb"/>
        <w:spacing w:before="240" w:beforeAutospacing="0" w:after="240" w:afterAutospacing="0" w:line="360" w:lineRule="auto"/>
      </w:pPr>
      <w:r w:rsidRPr="00702532">
        <w:rPr>
          <w:color w:val="222222"/>
          <w:shd w:val="clear" w:color="auto" w:fill="FFFFFF"/>
        </w:rPr>
        <w:t xml:space="preserve">Fletcher-Watson, S., Adams, J., Brook, K., Charman, T., Crane, L., Cusack, J., </w:t>
      </w:r>
      <w:proofErr w:type="spellStart"/>
      <w:r w:rsidRPr="00702532">
        <w:rPr>
          <w:color w:val="222222"/>
          <w:shd w:val="clear" w:color="auto" w:fill="FFFFFF"/>
        </w:rPr>
        <w:t>Leekam</w:t>
      </w:r>
      <w:proofErr w:type="spellEnd"/>
      <w:r w:rsidRPr="00702532">
        <w:rPr>
          <w:color w:val="222222"/>
          <w:shd w:val="clear" w:color="auto" w:fill="FFFFFF"/>
        </w:rPr>
        <w:t xml:space="preserve">, S., Milton, D., Parr, J.R. and Pellicano, E., 2019. Making the future together: Shaping autism research through meaningful participation. </w:t>
      </w:r>
      <w:r w:rsidRPr="00702532">
        <w:rPr>
          <w:i/>
          <w:iCs/>
          <w:color w:val="000000"/>
        </w:rPr>
        <w:t>Autism</w:t>
      </w:r>
      <w:r w:rsidRPr="00702532">
        <w:rPr>
          <w:color w:val="000000"/>
        </w:rPr>
        <w:t xml:space="preserve">, </w:t>
      </w:r>
      <w:r w:rsidRPr="00702532">
        <w:rPr>
          <w:i/>
          <w:iCs/>
          <w:color w:val="000000"/>
        </w:rPr>
        <w:t>23</w:t>
      </w:r>
      <w:r w:rsidRPr="00702532">
        <w:rPr>
          <w:color w:val="000000"/>
        </w:rPr>
        <w:t>(4), pp.943-953.</w:t>
      </w:r>
    </w:p>
    <w:p w14:paraId="18E358DE" w14:textId="77777777" w:rsidR="00F2634E" w:rsidRPr="0066210A" w:rsidRDefault="00F2634E" w:rsidP="00702532">
      <w:pPr>
        <w:pStyle w:val="NormalWeb"/>
        <w:spacing w:before="240" w:beforeAutospacing="0" w:after="240" w:afterAutospacing="0" w:line="360" w:lineRule="auto"/>
      </w:pPr>
    </w:p>
    <w:sectPr w:rsidR="00F2634E" w:rsidRPr="0066210A" w:rsidSect="0009255C">
      <w:pgSz w:w="11894" w:h="17333"/>
      <w:pgMar w:top="1220" w:right="333" w:bottom="410" w:left="704"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57462F7"/>
    <w:multiLevelType w:val="hybridMultilevel"/>
    <w:tmpl w:val="08BD979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BF891760"/>
    <w:multiLevelType w:val="hybridMultilevel"/>
    <w:tmpl w:val="DA89EAE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E61DE6EC"/>
    <w:multiLevelType w:val="hybridMultilevel"/>
    <w:tmpl w:val="6C02370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E8F60A3A"/>
    <w:multiLevelType w:val="hybridMultilevel"/>
    <w:tmpl w:val="BE90806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A394E3D"/>
    <w:multiLevelType w:val="multilevel"/>
    <w:tmpl w:val="7ED2D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81DCDE"/>
    <w:multiLevelType w:val="hybridMultilevel"/>
    <w:tmpl w:val="EC4D71F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74192488">
    <w:abstractNumId w:val="5"/>
  </w:num>
  <w:num w:numId="2" w16cid:durableId="653802409">
    <w:abstractNumId w:val="1"/>
  </w:num>
  <w:num w:numId="3" w16cid:durableId="943341870">
    <w:abstractNumId w:val="3"/>
  </w:num>
  <w:num w:numId="4" w16cid:durableId="405610211">
    <w:abstractNumId w:val="4"/>
  </w:num>
  <w:num w:numId="5" w16cid:durableId="2074236552">
    <w:abstractNumId w:val="0"/>
  </w:num>
  <w:num w:numId="6" w16cid:durableId="9556717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F86"/>
    <w:rsid w:val="000D76F2"/>
    <w:rsid w:val="001218CB"/>
    <w:rsid w:val="001B10B9"/>
    <w:rsid w:val="001B1889"/>
    <w:rsid w:val="00253EE8"/>
    <w:rsid w:val="00276152"/>
    <w:rsid w:val="002F3F86"/>
    <w:rsid w:val="002F4EDE"/>
    <w:rsid w:val="0032358E"/>
    <w:rsid w:val="0035089A"/>
    <w:rsid w:val="003C70E7"/>
    <w:rsid w:val="00401257"/>
    <w:rsid w:val="004B6B70"/>
    <w:rsid w:val="005118F1"/>
    <w:rsid w:val="00563664"/>
    <w:rsid w:val="00563EB0"/>
    <w:rsid w:val="00575EF7"/>
    <w:rsid w:val="00591548"/>
    <w:rsid w:val="00593286"/>
    <w:rsid w:val="00633254"/>
    <w:rsid w:val="006576FD"/>
    <w:rsid w:val="0066210A"/>
    <w:rsid w:val="006900F6"/>
    <w:rsid w:val="006953EA"/>
    <w:rsid w:val="006D72C9"/>
    <w:rsid w:val="00702532"/>
    <w:rsid w:val="00781456"/>
    <w:rsid w:val="00793AD3"/>
    <w:rsid w:val="007C2F61"/>
    <w:rsid w:val="00865E2F"/>
    <w:rsid w:val="00890BCE"/>
    <w:rsid w:val="00923C43"/>
    <w:rsid w:val="009475CD"/>
    <w:rsid w:val="009616E7"/>
    <w:rsid w:val="00970443"/>
    <w:rsid w:val="00982D8E"/>
    <w:rsid w:val="0099222F"/>
    <w:rsid w:val="00A45CC7"/>
    <w:rsid w:val="00A46D20"/>
    <w:rsid w:val="00A55A00"/>
    <w:rsid w:val="00A70466"/>
    <w:rsid w:val="00AC1B68"/>
    <w:rsid w:val="00AD145D"/>
    <w:rsid w:val="00B111F9"/>
    <w:rsid w:val="00B83137"/>
    <w:rsid w:val="00B847B3"/>
    <w:rsid w:val="00BD1811"/>
    <w:rsid w:val="00BE17D2"/>
    <w:rsid w:val="00C615E8"/>
    <w:rsid w:val="00C82498"/>
    <w:rsid w:val="00C949C1"/>
    <w:rsid w:val="00CA47A9"/>
    <w:rsid w:val="00CE6724"/>
    <w:rsid w:val="00CF3E29"/>
    <w:rsid w:val="00D75482"/>
    <w:rsid w:val="00DC6F80"/>
    <w:rsid w:val="00DD2CC8"/>
    <w:rsid w:val="00E34E24"/>
    <w:rsid w:val="00E44872"/>
    <w:rsid w:val="00EA7E34"/>
    <w:rsid w:val="00ED4EE9"/>
    <w:rsid w:val="00EF37BA"/>
    <w:rsid w:val="00F06927"/>
    <w:rsid w:val="00F2634E"/>
    <w:rsid w:val="00F410F6"/>
    <w:rsid w:val="00F4251C"/>
    <w:rsid w:val="00F75EAB"/>
    <w:rsid w:val="00FC732B"/>
    <w:rsid w:val="00FD5F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27215"/>
  <w15:docId w15:val="{0678E029-BF6F-4CC4-9E46-D34DFDC5C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10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21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6210A"/>
    <w:pPr>
      <w:spacing w:before="100" w:beforeAutospacing="1" w:after="100" w:afterAutospacing="1"/>
      <w:outlineLvl w:val="1"/>
    </w:pPr>
    <w:rPr>
      <w:rFonts w:eastAsia="Times New Roman" w:cs="Times New Roman"/>
      <w:b/>
      <w:bCs/>
      <w:sz w:val="32"/>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F3F86"/>
    <w:pPr>
      <w:autoSpaceDE w:val="0"/>
      <w:autoSpaceDN w:val="0"/>
      <w:adjustRightInd w:val="0"/>
      <w:spacing w:after="0" w:line="240" w:lineRule="auto"/>
    </w:pPr>
    <w:rPr>
      <w:rFonts w:ascii="Arial" w:hAnsi="Arial" w:cs="Arial"/>
      <w:color w:val="000000"/>
      <w:sz w:val="24"/>
      <w:szCs w:val="24"/>
    </w:rPr>
  </w:style>
  <w:style w:type="paragraph" w:customStyle="1" w:styleId="lead">
    <w:name w:val="lead"/>
    <w:basedOn w:val="Normal"/>
    <w:rsid w:val="00F06927"/>
    <w:pPr>
      <w:spacing w:before="100" w:beforeAutospacing="1" w:after="100" w:afterAutospacing="1" w:line="240" w:lineRule="auto"/>
    </w:pPr>
    <w:rPr>
      <w:rFonts w:eastAsia="Times New Roman" w:cs="Times New Roman"/>
      <w:szCs w:val="24"/>
    </w:rPr>
  </w:style>
  <w:style w:type="paragraph" w:styleId="NormalWeb">
    <w:name w:val="Normal (Web)"/>
    <w:basedOn w:val="Normal"/>
    <w:uiPriority w:val="99"/>
    <w:unhideWhenUsed/>
    <w:rsid w:val="00F06927"/>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rsid w:val="0066210A"/>
    <w:rPr>
      <w:rFonts w:ascii="Times New Roman" w:eastAsia="Times New Roman" w:hAnsi="Times New Roman" w:cs="Times New Roman"/>
      <w:b/>
      <w:bCs/>
      <w:sz w:val="32"/>
      <w:szCs w:val="36"/>
    </w:rPr>
  </w:style>
  <w:style w:type="character" w:styleId="Hyperlink">
    <w:name w:val="Hyperlink"/>
    <w:basedOn w:val="DefaultParagraphFont"/>
    <w:uiPriority w:val="99"/>
    <w:unhideWhenUsed/>
    <w:rsid w:val="00F06927"/>
    <w:rPr>
      <w:color w:val="0000FF"/>
      <w:u w:val="single"/>
    </w:rPr>
  </w:style>
  <w:style w:type="paragraph" w:customStyle="1" w:styleId="pullquote">
    <w:name w:val="pullquote"/>
    <w:basedOn w:val="Normal"/>
    <w:rsid w:val="00F06927"/>
    <w:pPr>
      <w:spacing w:before="100" w:beforeAutospacing="1" w:after="100" w:afterAutospacing="1" w:line="240" w:lineRule="auto"/>
    </w:pPr>
    <w:rPr>
      <w:rFonts w:eastAsia="Times New Roman" w:cs="Times New Roman"/>
      <w:szCs w:val="24"/>
    </w:rPr>
  </w:style>
  <w:style w:type="character" w:customStyle="1" w:styleId="hgkelc">
    <w:name w:val="hgkelc"/>
    <w:basedOn w:val="DefaultParagraphFont"/>
    <w:rsid w:val="00E44872"/>
  </w:style>
  <w:style w:type="character" w:customStyle="1" w:styleId="documentpreview">
    <w:name w:val="document__preview"/>
    <w:basedOn w:val="DefaultParagraphFont"/>
    <w:rsid w:val="00E44872"/>
  </w:style>
  <w:style w:type="character" w:styleId="Strong">
    <w:name w:val="Strong"/>
    <w:basedOn w:val="DefaultParagraphFont"/>
    <w:uiPriority w:val="22"/>
    <w:qFormat/>
    <w:rsid w:val="00E44872"/>
    <w:rPr>
      <w:b/>
      <w:bCs/>
    </w:rPr>
  </w:style>
  <w:style w:type="character" w:customStyle="1" w:styleId="Heading1Char">
    <w:name w:val="Heading 1 Char"/>
    <w:basedOn w:val="DefaultParagraphFont"/>
    <w:link w:val="Heading1"/>
    <w:uiPriority w:val="9"/>
    <w:rsid w:val="0066210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6210A"/>
    <w:pPr>
      <w:spacing w:line="276" w:lineRule="auto"/>
      <w:jc w:val="left"/>
      <w:outlineLvl w:val="9"/>
    </w:pPr>
  </w:style>
  <w:style w:type="paragraph" w:styleId="TOC1">
    <w:name w:val="toc 1"/>
    <w:basedOn w:val="Normal"/>
    <w:next w:val="Normal"/>
    <w:autoRedefine/>
    <w:uiPriority w:val="39"/>
    <w:unhideWhenUsed/>
    <w:rsid w:val="0066210A"/>
    <w:pPr>
      <w:spacing w:after="100"/>
    </w:pPr>
  </w:style>
  <w:style w:type="paragraph" w:styleId="TOC2">
    <w:name w:val="toc 2"/>
    <w:basedOn w:val="Normal"/>
    <w:next w:val="Normal"/>
    <w:autoRedefine/>
    <w:uiPriority w:val="39"/>
    <w:unhideWhenUsed/>
    <w:rsid w:val="0066210A"/>
    <w:pPr>
      <w:spacing w:after="100"/>
      <w:ind w:left="240"/>
    </w:pPr>
  </w:style>
  <w:style w:type="paragraph" w:styleId="BalloonText">
    <w:name w:val="Balloon Text"/>
    <w:basedOn w:val="Normal"/>
    <w:link w:val="BalloonTextChar"/>
    <w:uiPriority w:val="99"/>
    <w:semiHidden/>
    <w:unhideWhenUsed/>
    <w:rsid w:val="006621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210A"/>
    <w:rPr>
      <w:rFonts w:ascii="Tahoma" w:hAnsi="Tahoma" w:cs="Tahoma"/>
      <w:sz w:val="16"/>
      <w:szCs w:val="16"/>
    </w:rPr>
  </w:style>
  <w:style w:type="character" w:customStyle="1" w:styleId="css-278qcu">
    <w:name w:val="css-278qcu"/>
    <w:basedOn w:val="DefaultParagraphFont"/>
    <w:rsid w:val="006900F6"/>
  </w:style>
  <w:style w:type="character" w:customStyle="1" w:styleId="css-acv5hh">
    <w:name w:val="css-acv5hh"/>
    <w:basedOn w:val="DefaultParagraphFont"/>
    <w:rsid w:val="006900F6"/>
  </w:style>
  <w:style w:type="character" w:customStyle="1" w:styleId="css-1264nb2">
    <w:name w:val="css-1264nb2"/>
    <w:basedOn w:val="DefaultParagraphFont"/>
    <w:rsid w:val="006900F6"/>
  </w:style>
  <w:style w:type="character" w:customStyle="1" w:styleId="css-1dxrq2c">
    <w:name w:val="css-1dxrq2c"/>
    <w:basedOn w:val="DefaultParagraphFont"/>
    <w:rsid w:val="006900F6"/>
  </w:style>
  <w:style w:type="character" w:customStyle="1" w:styleId="css-z4n4zn">
    <w:name w:val="css-z4n4zn"/>
    <w:basedOn w:val="DefaultParagraphFont"/>
    <w:rsid w:val="006900F6"/>
  </w:style>
  <w:style w:type="character" w:customStyle="1" w:styleId="css-ima1mg">
    <w:name w:val="css-ima1mg"/>
    <w:basedOn w:val="DefaultParagraphFont"/>
    <w:rsid w:val="006900F6"/>
  </w:style>
  <w:style w:type="character" w:customStyle="1" w:styleId="css-tczsq2">
    <w:name w:val="css-tczsq2"/>
    <w:basedOn w:val="DefaultParagraphFont"/>
    <w:rsid w:val="006900F6"/>
  </w:style>
  <w:style w:type="character" w:customStyle="1" w:styleId="css-1wigqnc">
    <w:name w:val="css-1wigqnc"/>
    <w:basedOn w:val="DefaultParagraphFont"/>
    <w:rsid w:val="006900F6"/>
  </w:style>
  <w:style w:type="character" w:customStyle="1" w:styleId="css-1f8sqii">
    <w:name w:val="css-1f8sqii"/>
    <w:basedOn w:val="DefaultParagraphFont"/>
    <w:rsid w:val="00EF37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03743">
      <w:bodyDiv w:val="1"/>
      <w:marLeft w:val="0"/>
      <w:marRight w:val="0"/>
      <w:marTop w:val="0"/>
      <w:marBottom w:val="0"/>
      <w:divBdr>
        <w:top w:val="none" w:sz="0" w:space="0" w:color="auto"/>
        <w:left w:val="none" w:sz="0" w:space="0" w:color="auto"/>
        <w:bottom w:val="none" w:sz="0" w:space="0" w:color="auto"/>
        <w:right w:val="none" w:sz="0" w:space="0" w:color="auto"/>
      </w:divBdr>
    </w:div>
    <w:div w:id="391512459">
      <w:bodyDiv w:val="1"/>
      <w:marLeft w:val="0"/>
      <w:marRight w:val="0"/>
      <w:marTop w:val="0"/>
      <w:marBottom w:val="0"/>
      <w:divBdr>
        <w:top w:val="none" w:sz="0" w:space="0" w:color="auto"/>
        <w:left w:val="none" w:sz="0" w:space="0" w:color="auto"/>
        <w:bottom w:val="none" w:sz="0" w:space="0" w:color="auto"/>
        <w:right w:val="none" w:sz="0" w:space="0" w:color="auto"/>
      </w:divBdr>
      <w:divsChild>
        <w:div w:id="1171405549">
          <w:marLeft w:val="0"/>
          <w:marRight w:val="0"/>
          <w:marTop w:val="0"/>
          <w:marBottom w:val="0"/>
          <w:divBdr>
            <w:top w:val="none" w:sz="0" w:space="0" w:color="auto"/>
            <w:left w:val="none" w:sz="0" w:space="0" w:color="auto"/>
            <w:bottom w:val="none" w:sz="0" w:space="0" w:color="auto"/>
            <w:right w:val="none" w:sz="0" w:space="0" w:color="auto"/>
          </w:divBdr>
          <w:divsChild>
            <w:div w:id="892540711">
              <w:marLeft w:val="0"/>
              <w:marRight w:val="0"/>
              <w:marTop w:val="111"/>
              <w:marBottom w:val="111"/>
              <w:divBdr>
                <w:top w:val="none" w:sz="0" w:space="0" w:color="auto"/>
                <w:left w:val="none" w:sz="0" w:space="0" w:color="auto"/>
                <w:bottom w:val="none" w:sz="0" w:space="0" w:color="auto"/>
                <w:right w:val="none" w:sz="0" w:space="0" w:color="auto"/>
              </w:divBdr>
            </w:div>
          </w:divsChild>
        </w:div>
        <w:div w:id="656416794">
          <w:marLeft w:val="0"/>
          <w:marRight w:val="0"/>
          <w:marTop w:val="0"/>
          <w:marBottom w:val="0"/>
          <w:divBdr>
            <w:top w:val="none" w:sz="0" w:space="0" w:color="auto"/>
            <w:left w:val="none" w:sz="0" w:space="0" w:color="auto"/>
            <w:bottom w:val="none" w:sz="0" w:space="0" w:color="auto"/>
            <w:right w:val="none" w:sz="0" w:space="0" w:color="auto"/>
          </w:divBdr>
          <w:divsChild>
            <w:div w:id="1718433210">
              <w:marLeft w:val="0"/>
              <w:marRight w:val="0"/>
              <w:marTop w:val="0"/>
              <w:marBottom w:val="0"/>
              <w:divBdr>
                <w:top w:val="none" w:sz="0" w:space="0" w:color="auto"/>
                <w:left w:val="none" w:sz="0" w:space="0" w:color="auto"/>
                <w:bottom w:val="none" w:sz="0" w:space="0" w:color="auto"/>
                <w:right w:val="none" w:sz="0" w:space="0" w:color="auto"/>
              </w:divBdr>
              <w:divsChild>
                <w:div w:id="1470243775">
                  <w:marLeft w:val="0"/>
                  <w:marRight w:val="0"/>
                  <w:marTop w:val="0"/>
                  <w:marBottom w:val="0"/>
                  <w:divBdr>
                    <w:top w:val="none" w:sz="0" w:space="0" w:color="auto"/>
                    <w:left w:val="none" w:sz="0" w:space="0" w:color="auto"/>
                    <w:bottom w:val="none" w:sz="0" w:space="0" w:color="auto"/>
                    <w:right w:val="none" w:sz="0" w:space="0" w:color="auto"/>
                  </w:divBdr>
                  <w:divsChild>
                    <w:div w:id="1800412598">
                      <w:marLeft w:val="0"/>
                      <w:marRight w:val="0"/>
                      <w:marTop w:val="0"/>
                      <w:marBottom w:val="0"/>
                      <w:divBdr>
                        <w:top w:val="none" w:sz="0" w:space="0" w:color="auto"/>
                        <w:left w:val="none" w:sz="0" w:space="0" w:color="auto"/>
                        <w:bottom w:val="none" w:sz="0" w:space="0" w:color="auto"/>
                        <w:right w:val="none" w:sz="0" w:space="0" w:color="auto"/>
                      </w:divBdr>
                      <w:divsChild>
                        <w:div w:id="1242445607">
                          <w:marLeft w:val="0"/>
                          <w:marRight w:val="0"/>
                          <w:marTop w:val="0"/>
                          <w:marBottom w:val="0"/>
                          <w:divBdr>
                            <w:top w:val="none" w:sz="0" w:space="0" w:color="auto"/>
                            <w:left w:val="none" w:sz="0" w:space="0" w:color="auto"/>
                            <w:bottom w:val="none" w:sz="0" w:space="0" w:color="auto"/>
                            <w:right w:val="none" w:sz="0" w:space="0" w:color="auto"/>
                          </w:divBdr>
                          <w:divsChild>
                            <w:div w:id="65503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6241500">
      <w:bodyDiv w:val="1"/>
      <w:marLeft w:val="0"/>
      <w:marRight w:val="0"/>
      <w:marTop w:val="0"/>
      <w:marBottom w:val="0"/>
      <w:divBdr>
        <w:top w:val="none" w:sz="0" w:space="0" w:color="auto"/>
        <w:left w:val="none" w:sz="0" w:space="0" w:color="auto"/>
        <w:bottom w:val="none" w:sz="0" w:space="0" w:color="auto"/>
        <w:right w:val="none" w:sz="0" w:space="0" w:color="auto"/>
      </w:divBdr>
    </w:div>
    <w:div w:id="900365734">
      <w:bodyDiv w:val="1"/>
      <w:marLeft w:val="0"/>
      <w:marRight w:val="0"/>
      <w:marTop w:val="0"/>
      <w:marBottom w:val="0"/>
      <w:divBdr>
        <w:top w:val="none" w:sz="0" w:space="0" w:color="auto"/>
        <w:left w:val="none" w:sz="0" w:space="0" w:color="auto"/>
        <w:bottom w:val="none" w:sz="0" w:space="0" w:color="auto"/>
        <w:right w:val="none" w:sz="0" w:space="0" w:color="auto"/>
      </w:divBdr>
      <w:divsChild>
        <w:div w:id="1415589649">
          <w:marLeft w:val="0"/>
          <w:marRight w:val="0"/>
          <w:marTop w:val="0"/>
          <w:marBottom w:val="0"/>
          <w:divBdr>
            <w:top w:val="none" w:sz="0" w:space="0" w:color="auto"/>
            <w:left w:val="none" w:sz="0" w:space="0" w:color="auto"/>
            <w:bottom w:val="none" w:sz="0" w:space="0" w:color="auto"/>
            <w:right w:val="none" w:sz="0" w:space="0" w:color="auto"/>
          </w:divBdr>
          <w:divsChild>
            <w:div w:id="1671131149">
              <w:marLeft w:val="0"/>
              <w:marRight w:val="0"/>
              <w:marTop w:val="111"/>
              <w:marBottom w:val="111"/>
              <w:divBdr>
                <w:top w:val="none" w:sz="0" w:space="0" w:color="auto"/>
                <w:left w:val="none" w:sz="0" w:space="0" w:color="auto"/>
                <w:bottom w:val="none" w:sz="0" w:space="0" w:color="auto"/>
                <w:right w:val="none" w:sz="0" w:space="0" w:color="auto"/>
              </w:divBdr>
            </w:div>
          </w:divsChild>
        </w:div>
        <w:div w:id="2140418960">
          <w:marLeft w:val="0"/>
          <w:marRight w:val="0"/>
          <w:marTop w:val="0"/>
          <w:marBottom w:val="0"/>
          <w:divBdr>
            <w:top w:val="none" w:sz="0" w:space="0" w:color="auto"/>
            <w:left w:val="none" w:sz="0" w:space="0" w:color="auto"/>
            <w:bottom w:val="none" w:sz="0" w:space="0" w:color="auto"/>
            <w:right w:val="none" w:sz="0" w:space="0" w:color="auto"/>
          </w:divBdr>
          <w:divsChild>
            <w:div w:id="1212813433">
              <w:marLeft w:val="0"/>
              <w:marRight w:val="0"/>
              <w:marTop w:val="0"/>
              <w:marBottom w:val="0"/>
              <w:divBdr>
                <w:top w:val="none" w:sz="0" w:space="0" w:color="auto"/>
                <w:left w:val="none" w:sz="0" w:space="0" w:color="auto"/>
                <w:bottom w:val="none" w:sz="0" w:space="0" w:color="auto"/>
                <w:right w:val="none" w:sz="0" w:space="0" w:color="auto"/>
              </w:divBdr>
              <w:divsChild>
                <w:div w:id="690647433">
                  <w:marLeft w:val="0"/>
                  <w:marRight w:val="0"/>
                  <w:marTop w:val="0"/>
                  <w:marBottom w:val="0"/>
                  <w:divBdr>
                    <w:top w:val="none" w:sz="0" w:space="0" w:color="auto"/>
                    <w:left w:val="none" w:sz="0" w:space="0" w:color="auto"/>
                    <w:bottom w:val="none" w:sz="0" w:space="0" w:color="auto"/>
                    <w:right w:val="none" w:sz="0" w:space="0" w:color="auto"/>
                  </w:divBdr>
                  <w:divsChild>
                    <w:div w:id="987706616">
                      <w:marLeft w:val="0"/>
                      <w:marRight w:val="0"/>
                      <w:marTop w:val="0"/>
                      <w:marBottom w:val="0"/>
                      <w:divBdr>
                        <w:top w:val="none" w:sz="0" w:space="0" w:color="auto"/>
                        <w:left w:val="none" w:sz="0" w:space="0" w:color="auto"/>
                        <w:bottom w:val="none" w:sz="0" w:space="0" w:color="auto"/>
                        <w:right w:val="none" w:sz="0" w:space="0" w:color="auto"/>
                      </w:divBdr>
                      <w:divsChild>
                        <w:div w:id="1672566955">
                          <w:marLeft w:val="0"/>
                          <w:marRight w:val="0"/>
                          <w:marTop w:val="0"/>
                          <w:marBottom w:val="0"/>
                          <w:divBdr>
                            <w:top w:val="none" w:sz="0" w:space="0" w:color="auto"/>
                            <w:left w:val="none" w:sz="0" w:space="0" w:color="auto"/>
                            <w:bottom w:val="none" w:sz="0" w:space="0" w:color="auto"/>
                            <w:right w:val="none" w:sz="0" w:space="0" w:color="auto"/>
                          </w:divBdr>
                          <w:divsChild>
                            <w:div w:id="71855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2907959">
      <w:bodyDiv w:val="1"/>
      <w:marLeft w:val="0"/>
      <w:marRight w:val="0"/>
      <w:marTop w:val="0"/>
      <w:marBottom w:val="0"/>
      <w:divBdr>
        <w:top w:val="none" w:sz="0" w:space="0" w:color="auto"/>
        <w:left w:val="none" w:sz="0" w:space="0" w:color="auto"/>
        <w:bottom w:val="none" w:sz="0" w:space="0" w:color="auto"/>
        <w:right w:val="none" w:sz="0" w:space="0" w:color="auto"/>
      </w:divBdr>
    </w:div>
    <w:div w:id="980891419">
      <w:bodyDiv w:val="1"/>
      <w:marLeft w:val="0"/>
      <w:marRight w:val="0"/>
      <w:marTop w:val="0"/>
      <w:marBottom w:val="0"/>
      <w:divBdr>
        <w:top w:val="none" w:sz="0" w:space="0" w:color="auto"/>
        <w:left w:val="none" w:sz="0" w:space="0" w:color="auto"/>
        <w:bottom w:val="none" w:sz="0" w:space="0" w:color="auto"/>
        <w:right w:val="none" w:sz="0" w:space="0" w:color="auto"/>
      </w:divBdr>
      <w:divsChild>
        <w:div w:id="31393308">
          <w:marLeft w:val="0"/>
          <w:marRight w:val="0"/>
          <w:marTop w:val="0"/>
          <w:marBottom w:val="0"/>
          <w:divBdr>
            <w:top w:val="none" w:sz="0" w:space="0" w:color="auto"/>
            <w:left w:val="none" w:sz="0" w:space="0" w:color="auto"/>
            <w:bottom w:val="none" w:sz="0" w:space="0" w:color="auto"/>
            <w:right w:val="none" w:sz="0" w:space="0" w:color="auto"/>
          </w:divBdr>
        </w:div>
        <w:div w:id="2000649495">
          <w:marLeft w:val="0"/>
          <w:marRight w:val="0"/>
          <w:marTop w:val="0"/>
          <w:marBottom w:val="0"/>
          <w:divBdr>
            <w:top w:val="none" w:sz="0" w:space="0" w:color="auto"/>
            <w:left w:val="none" w:sz="0" w:space="0" w:color="auto"/>
            <w:bottom w:val="none" w:sz="0" w:space="0" w:color="auto"/>
            <w:right w:val="none" w:sz="0" w:space="0" w:color="auto"/>
          </w:divBdr>
        </w:div>
        <w:div w:id="2118131889">
          <w:marLeft w:val="0"/>
          <w:marRight w:val="0"/>
          <w:marTop w:val="0"/>
          <w:marBottom w:val="0"/>
          <w:divBdr>
            <w:top w:val="none" w:sz="0" w:space="0" w:color="auto"/>
            <w:left w:val="none" w:sz="0" w:space="0" w:color="auto"/>
            <w:bottom w:val="none" w:sz="0" w:space="0" w:color="auto"/>
            <w:right w:val="none" w:sz="0" w:space="0" w:color="auto"/>
          </w:divBdr>
        </w:div>
        <w:div w:id="1094671312">
          <w:marLeft w:val="0"/>
          <w:marRight w:val="0"/>
          <w:marTop w:val="0"/>
          <w:marBottom w:val="0"/>
          <w:divBdr>
            <w:top w:val="none" w:sz="0" w:space="0" w:color="auto"/>
            <w:left w:val="none" w:sz="0" w:space="0" w:color="auto"/>
            <w:bottom w:val="none" w:sz="0" w:space="0" w:color="auto"/>
            <w:right w:val="none" w:sz="0" w:space="0" w:color="auto"/>
          </w:divBdr>
        </w:div>
        <w:div w:id="1388604090">
          <w:marLeft w:val="0"/>
          <w:marRight w:val="0"/>
          <w:marTop w:val="0"/>
          <w:marBottom w:val="0"/>
          <w:divBdr>
            <w:top w:val="none" w:sz="0" w:space="0" w:color="auto"/>
            <w:left w:val="none" w:sz="0" w:space="0" w:color="auto"/>
            <w:bottom w:val="none" w:sz="0" w:space="0" w:color="auto"/>
            <w:right w:val="none" w:sz="0" w:space="0" w:color="auto"/>
          </w:divBdr>
        </w:div>
        <w:div w:id="2015112367">
          <w:marLeft w:val="0"/>
          <w:marRight w:val="0"/>
          <w:marTop w:val="0"/>
          <w:marBottom w:val="0"/>
          <w:divBdr>
            <w:top w:val="none" w:sz="0" w:space="0" w:color="auto"/>
            <w:left w:val="none" w:sz="0" w:space="0" w:color="auto"/>
            <w:bottom w:val="none" w:sz="0" w:space="0" w:color="auto"/>
            <w:right w:val="none" w:sz="0" w:space="0" w:color="auto"/>
          </w:divBdr>
        </w:div>
      </w:divsChild>
    </w:div>
    <w:div w:id="1116023565">
      <w:bodyDiv w:val="1"/>
      <w:marLeft w:val="0"/>
      <w:marRight w:val="0"/>
      <w:marTop w:val="0"/>
      <w:marBottom w:val="0"/>
      <w:divBdr>
        <w:top w:val="none" w:sz="0" w:space="0" w:color="auto"/>
        <w:left w:val="none" w:sz="0" w:space="0" w:color="auto"/>
        <w:bottom w:val="none" w:sz="0" w:space="0" w:color="auto"/>
        <w:right w:val="none" w:sz="0" w:space="0" w:color="auto"/>
      </w:divBdr>
    </w:div>
    <w:div w:id="1386955498">
      <w:bodyDiv w:val="1"/>
      <w:marLeft w:val="0"/>
      <w:marRight w:val="0"/>
      <w:marTop w:val="0"/>
      <w:marBottom w:val="0"/>
      <w:divBdr>
        <w:top w:val="none" w:sz="0" w:space="0" w:color="auto"/>
        <w:left w:val="none" w:sz="0" w:space="0" w:color="auto"/>
        <w:bottom w:val="none" w:sz="0" w:space="0" w:color="auto"/>
        <w:right w:val="none" w:sz="0" w:space="0" w:color="auto"/>
      </w:divBdr>
    </w:div>
    <w:div w:id="1421099078">
      <w:bodyDiv w:val="1"/>
      <w:marLeft w:val="0"/>
      <w:marRight w:val="0"/>
      <w:marTop w:val="0"/>
      <w:marBottom w:val="0"/>
      <w:divBdr>
        <w:top w:val="none" w:sz="0" w:space="0" w:color="auto"/>
        <w:left w:val="none" w:sz="0" w:space="0" w:color="auto"/>
        <w:bottom w:val="none" w:sz="0" w:space="0" w:color="auto"/>
        <w:right w:val="none" w:sz="0" w:space="0" w:color="auto"/>
      </w:divBdr>
      <w:divsChild>
        <w:div w:id="300891136">
          <w:marLeft w:val="0"/>
          <w:marRight w:val="0"/>
          <w:marTop w:val="0"/>
          <w:marBottom w:val="0"/>
          <w:divBdr>
            <w:top w:val="none" w:sz="0" w:space="0" w:color="auto"/>
            <w:left w:val="none" w:sz="0" w:space="0" w:color="auto"/>
            <w:bottom w:val="none" w:sz="0" w:space="0" w:color="auto"/>
            <w:right w:val="none" w:sz="0" w:space="0" w:color="auto"/>
          </w:divBdr>
        </w:div>
      </w:divsChild>
    </w:div>
    <w:div w:id="2062362395">
      <w:bodyDiv w:val="1"/>
      <w:marLeft w:val="0"/>
      <w:marRight w:val="0"/>
      <w:marTop w:val="0"/>
      <w:marBottom w:val="0"/>
      <w:divBdr>
        <w:top w:val="none" w:sz="0" w:space="0" w:color="auto"/>
        <w:left w:val="none" w:sz="0" w:space="0" w:color="auto"/>
        <w:bottom w:val="none" w:sz="0" w:space="0" w:color="auto"/>
        <w:right w:val="none" w:sz="0" w:space="0" w:color="auto"/>
      </w:divBdr>
      <w:divsChild>
        <w:div w:id="507869928">
          <w:marLeft w:val="0"/>
          <w:marRight w:val="0"/>
          <w:marTop w:val="0"/>
          <w:marBottom w:val="0"/>
          <w:divBdr>
            <w:top w:val="none" w:sz="0" w:space="0" w:color="auto"/>
            <w:left w:val="none" w:sz="0" w:space="0" w:color="auto"/>
            <w:bottom w:val="none" w:sz="0" w:space="0" w:color="auto"/>
            <w:right w:val="none" w:sz="0" w:space="0" w:color="auto"/>
          </w:divBdr>
        </w:div>
        <w:div w:id="902758602">
          <w:marLeft w:val="0"/>
          <w:marRight w:val="0"/>
          <w:marTop w:val="0"/>
          <w:marBottom w:val="0"/>
          <w:divBdr>
            <w:top w:val="none" w:sz="0" w:space="0" w:color="auto"/>
            <w:left w:val="none" w:sz="0" w:space="0" w:color="auto"/>
            <w:bottom w:val="none" w:sz="0" w:space="0" w:color="auto"/>
            <w:right w:val="none" w:sz="0" w:space="0" w:color="auto"/>
          </w:divBdr>
        </w:div>
        <w:div w:id="1266226120">
          <w:marLeft w:val="0"/>
          <w:marRight w:val="0"/>
          <w:marTop w:val="0"/>
          <w:marBottom w:val="0"/>
          <w:divBdr>
            <w:top w:val="none" w:sz="0" w:space="0" w:color="auto"/>
            <w:left w:val="none" w:sz="0" w:space="0" w:color="auto"/>
            <w:bottom w:val="none" w:sz="0" w:space="0" w:color="auto"/>
            <w:right w:val="none" w:sz="0" w:space="0" w:color="auto"/>
          </w:divBdr>
        </w:div>
        <w:div w:id="1807120082">
          <w:marLeft w:val="0"/>
          <w:marRight w:val="0"/>
          <w:marTop w:val="0"/>
          <w:marBottom w:val="0"/>
          <w:divBdr>
            <w:top w:val="none" w:sz="0" w:space="0" w:color="auto"/>
            <w:left w:val="none" w:sz="0" w:space="0" w:color="auto"/>
            <w:bottom w:val="none" w:sz="0" w:space="0" w:color="auto"/>
            <w:right w:val="none" w:sz="0" w:space="0" w:color="auto"/>
          </w:divBdr>
        </w:div>
      </w:divsChild>
    </w:div>
    <w:div w:id="2080056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1CAD42-1846-4D90-8F50-FA6ED0CA6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2933</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Valentinov Baev (1905214)</cp:lastModifiedBy>
  <cp:revision>2</cp:revision>
  <dcterms:created xsi:type="dcterms:W3CDTF">2022-12-02T16:12:00Z</dcterms:created>
  <dcterms:modified xsi:type="dcterms:W3CDTF">2022-12-02T16:12:00Z</dcterms:modified>
</cp:coreProperties>
</file>