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Pr="00434358" w:rsidRDefault="00646406" w:rsidP="00434358">
      <w:pPr>
        <w:spacing w:line="360" w:lineRule="auto"/>
        <w:jc w:val="center"/>
        <w:rPr>
          <w:rFonts w:ascii="Times New Roman" w:hAnsi="Times New Roman" w:cs="Times New Roman"/>
        </w:rPr>
      </w:pPr>
    </w:p>
    <w:p w14:paraId="020B9CFF" w14:textId="6FF537AB" w:rsidR="00646406" w:rsidRPr="00434358" w:rsidRDefault="00646406" w:rsidP="00434358">
      <w:pPr>
        <w:spacing w:line="360" w:lineRule="auto"/>
        <w:jc w:val="center"/>
        <w:rPr>
          <w:rFonts w:ascii="Times New Roman" w:hAnsi="Times New Roman" w:cs="Times New Roman"/>
          <w:b/>
          <w:bCs/>
        </w:rPr>
      </w:pPr>
      <w:r w:rsidRPr="00434358">
        <w:rPr>
          <w:rFonts w:ascii="Times New Roman" w:hAnsi="Times New Roman" w:cs="Times New Roman"/>
          <w:b/>
          <w:bCs/>
        </w:rPr>
        <w:t>Student Name:</w:t>
      </w:r>
      <w:r w:rsidR="00947A6D">
        <w:rPr>
          <w:rFonts w:ascii="Times New Roman" w:hAnsi="Times New Roman" w:cs="Times New Roman"/>
          <w:b/>
          <w:bCs/>
        </w:rPr>
        <w:t xml:space="preserve"> Kazi Mahmud Ul Islam</w:t>
      </w:r>
    </w:p>
    <w:p w14:paraId="2AAC98E7" w14:textId="77777777" w:rsidR="00646406" w:rsidRPr="00434358" w:rsidRDefault="00646406" w:rsidP="00434358">
      <w:pPr>
        <w:spacing w:line="360" w:lineRule="auto"/>
        <w:jc w:val="center"/>
        <w:rPr>
          <w:rFonts w:ascii="Times New Roman" w:hAnsi="Times New Roman" w:cs="Times New Roman"/>
          <w:b/>
          <w:bCs/>
        </w:rPr>
      </w:pPr>
    </w:p>
    <w:p w14:paraId="586C6996" w14:textId="2E84CC0E" w:rsidR="00646406" w:rsidRPr="00434358" w:rsidRDefault="00646406" w:rsidP="00434358">
      <w:pPr>
        <w:spacing w:line="360" w:lineRule="auto"/>
        <w:jc w:val="center"/>
        <w:rPr>
          <w:rFonts w:ascii="Times New Roman" w:hAnsi="Times New Roman" w:cs="Times New Roman"/>
          <w:b/>
          <w:bCs/>
        </w:rPr>
      </w:pPr>
      <w:r w:rsidRPr="00434358">
        <w:rPr>
          <w:rFonts w:ascii="Times New Roman" w:hAnsi="Times New Roman" w:cs="Times New Roman"/>
          <w:b/>
          <w:bCs/>
        </w:rPr>
        <w:t>Student ID:</w:t>
      </w:r>
      <w:r w:rsidR="00947A6D">
        <w:rPr>
          <w:rFonts w:ascii="Times New Roman" w:hAnsi="Times New Roman" w:cs="Times New Roman"/>
          <w:b/>
          <w:bCs/>
        </w:rPr>
        <w:t xml:space="preserve"> 2510576</w:t>
      </w:r>
    </w:p>
    <w:p w14:paraId="63080C9E" w14:textId="77777777" w:rsidR="00646406" w:rsidRPr="00434358" w:rsidRDefault="00646406" w:rsidP="00434358">
      <w:pPr>
        <w:spacing w:line="360" w:lineRule="auto"/>
        <w:jc w:val="center"/>
        <w:rPr>
          <w:rFonts w:ascii="Times New Roman" w:hAnsi="Times New Roman" w:cs="Times New Roman"/>
        </w:rPr>
      </w:pPr>
    </w:p>
    <w:p w14:paraId="3D7751B6" w14:textId="77777777" w:rsidR="00646406" w:rsidRPr="00434358" w:rsidRDefault="00646406" w:rsidP="00434358">
      <w:pPr>
        <w:spacing w:line="360" w:lineRule="auto"/>
        <w:jc w:val="center"/>
        <w:rPr>
          <w:rFonts w:ascii="Times New Roman" w:hAnsi="Times New Roman" w:cs="Times New Roman"/>
        </w:rPr>
      </w:pPr>
    </w:p>
    <w:p w14:paraId="37F10C9F" w14:textId="2FF0D0FD" w:rsidR="00646406" w:rsidRPr="00434358" w:rsidRDefault="00646406" w:rsidP="00434358">
      <w:pPr>
        <w:spacing w:line="360" w:lineRule="auto"/>
        <w:jc w:val="center"/>
        <w:rPr>
          <w:rFonts w:ascii="Times New Roman" w:hAnsi="Times New Roman" w:cs="Times New Roman"/>
          <w:b/>
          <w:bCs/>
        </w:rPr>
      </w:pPr>
      <w:r w:rsidRPr="00434358">
        <w:rPr>
          <w:rFonts w:ascii="Times New Roman" w:hAnsi="Times New Roman" w:cs="Times New Roman"/>
          <w:b/>
          <w:bCs/>
        </w:rPr>
        <w:t>Module Name: Marketing Management</w:t>
      </w:r>
    </w:p>
    <w:p w14:paraId="1F614A44" w14:textId="77777777" w:rsidR="00646406" w:rsidRPr="00434358" w:rsidRDefault="00646406" w:rsidP="00434358">
      <w:pPr>
        <w:spacing w:line="360" w:lineRule="auto"/>
        <w:jc w:val="center"/>
        <w:rPr>
          <w:rFonts w:ascii="Times New Roman" w:hAnsi="Times New Roman" w:cs="Times New Roman"/>
          <w:b/>
          <w:bCs/>
        </w:rPr>
      </w:pPr>
    </w:p>
    <w:p w14:paraId="0794A99E" w14:textId="33486F0B" w:rsidR="00646406" w:rsidRPr="00434358" w:rsidRDefault="00646406" w:rsidP="00434358">
      <w:pPr>
        <w:spacing w:line="360" w:lineRule="auto"/>
        <w:jc w:val="center"/>
        <w:rPr>
          <w:rFonts w:ascii="Times New Roman" w:hAnsi="Times New Roman" w:cs="Times New Roman"/>
          <w:b/>
          <w:bCs/>
        </w:rPr>
      </w:pPr>
      <w:r w:rsidRPr="00434358">
        <w:rPr>
          <w:rFonts w:ascii="Times New Roman" w:hAnsi="Times New Roman" w:cs="Times New Roman"/>
          <w:b/>
          <w:bCs/>
        </w:rPr>
        <w:t>Module Code: LCMB7024</w:t>
      </w:r>
    </w:p>
    <w:p w14:paraId="242318AB" w14:textId="77777777" w:rsidR="00646406" w:rsidRPr="00434358" w:rsidRDefault="00646406" w:rsidP="00434358">
      <w:pPr>
        <w:spacing w:line="360" w:lineRule="auto"/>
        <w:jc w:val="center"/>
        <w:rPr>
          <w:rFonts w:ascii="Times New Roman" w:hAnsi="Times New Roman" w:cs="Times New Roman"/>
          <w:b/>
          <w:bCs/>
        </w:rPr>
      </w:pPr>
    </w:p>
    <w:p w14:paraId="5A962802" w14:textId="77777777" w:rsidR="00646406" w:rsidRPr="00434358" w:rsidRDefault="00646406" w:rsidP="00434358">
      <w:pPr>
        <w:spacing w:line="360" w:lineRule="auto"/>
        <w:jc w:val="center"/>
        <w:rPr>
          <w:rFonts w:ascii="Times New Roman" w:hAnsi="Times New Roman" w:cs="Times New Roman"/>
          <w:b/>
          <w:bCs/>
        </w:rPr>
      </w:pPr>
    </w:p>
    <w:p w14:paraId="38F1A035" w14:textId="77777777" w:rsidR="00646406" w:rsidRPr="00434358" w:rsidRDefault="00646406" w:rsidP="00434358">
      <w:pPr>
        <w:spacing w:line="360" w:lineRule="auto"/>
        <w:jc w:val="center"/>
        <w:rPr>
          <w:rFonts w:ascii="Times New Roman" w:hAnsi="Times New Roman" w:cs="Times New Roman"/>
          <w:b/>
          <w:bCs/>
        </w:rPr>
      </w:pPr>
    </w:p>
    <w:p w14:paraId="7E74A1F6" w14:textId="77777777" w:rsidR="00646406" w:rsidRPr="00434358" w:rsidRDefault="00646406" w:rsidP="00434358">
      <w:pPr>
        <w:spacing w:line="360" w:lineRule="auto"/>
        <w:jc w:val="center"/>
        <w:rPr>
          <w:rFonts w:ascii="Times New Roman" w:hAnsi="Times New Roman" w:cs="Times New Roman"/>
          <w:b/>
          <w:bCs/>
        </w:rPr>
      </w:pPr>
    </w:p>
    <w:p w14:paraId="1C05EEAE" w14:textId="571ED65B" w:rsidR="00646406" w:rsidRPr="00434358" w:rsidRDefault="00646406" w:rsidP="00434358">
      <w:pPr>
        <w:spacing w:line="360" w:lineRule="auto"/>
        <w:jc w:val="center"/>
        <w:rPr>
          <w:rFonts w:ascii="Times New Roman" w:hAnsi="Times New Roman" w:cs="Times New Roman"/>
          <w:b/>
          <w:bCs/>
        </w:rPr>
      </w:pPr>
      <w:r w:rsidRPr="00434358">
        <w:rPr>
          <w:rFonts w:ascii="Times New Roman" w:hAnsi="Times New Roman" w:cs="Times New Roman"/>
          <w:b/>
          <w:bCs/>
        </w:rPr>
        <w:t>Lecturer’s Name:</w:t>
      </w:r>
      <w:r w:rsidR="00947A6D">
        <w:rPr>
          <w:rFonts w:ascii="Times New Roman" w:hAnsi="Times New Roman" w:cs="Times New Roman"/>
          <w:b/>
          <w:bCs/>
        </w:rPr>
        <w:t xml:space="preserve"> </w:t>
      </w:r>
      <w:r w:rsidR="00947A6D" w:rsidRPr="00947A6D">
        <w:rPr>
          <w:rFonts w:ascii="Times New Roman" w:hAnsi="Times New Roman" w:cs="Times New Roman"/>
          <w:b/>
          <w:bCs/>
        </w:rPr>
        <w:t>Tushara Balendran</w:t>
      </w:r>
    </w:p>
    <w:p w14:paraId="2534BC8F" w14:textId="77777777" w:rsidR="00646406" w:rsidRPr="00434358" w:rsidRDefault="00646406" w:rsidP="00434358">
      <w:pPr>
        <w:spacing w:line="360" w:lineRule="auto"/>
        <w:jc w:val="center"/>
        <w:rPr>
          <w:rFonts w:ascii="Times New Roman" w:hAnsi="Times New Roman" w:cs="Times New Roman"/>
          <w:b/>
          <w:bCs/>
        </w:rPr>
      </w:pPr>
    </w:p>
    <w:p w14:paraId="70E1BD2A" w14:textId="77777777" w:rsidR="00646406" w:rsidRPr="00434358" w:rsidRDefault="00646406" w:rsidP="00434358">
      <w:pPr>
        <w:spacing w:line="360" w:lineRule="auto"/>
        <w:jc w:val="center"/>
        <w:rPr>
          <w:rFonts w:ascii="Times New Roman" w:hAnsi="Times New Roman" w:cs="Times New Roman"/>
          <w:b/>
          <w:bCs/>
        </w:rPr>
      </w:pPr>
    </w:p>
    <w:p w14:paraId="55B10977" w14:textId="77777777" w:rsidR="00646406" w:rsidRPr="00434358" w:rsidRDefault="00646406" w:rsidP="00434358">
      <w:pPr>
        <w:spacing w:line="360" w:lineRule="auto"/>
        <w:rPr>
          <w:rFonts w:ascii="Times New Roman" w:hAnsi="Times New Roman" w:cs="Times New Roman"/>
          <w:b/>
          <w:bCs/>
        </w:rPr>
      </w:pPr>
    </w:p>
    <w:p w14:paraId="39FE983B" w14:textId="03F30970" w:rsidR="00646406" w:rsidRPr="00434358" w:rsidRDefault="00646406" w:rsidP="00434358">
      <w:pPr>
        <w:spacing w:line="360" w:lineRule="auto"/>
        <w:jc w:val="center"/>
        <w:rPr>
          <w:rFonts w:ascii="Times New Roman" w:hAnsi="Times New Roman" w:cs="Times New Roman"/>
          <w:b/>
          <w:bCs/>
        </w:rPr>
      </w:pPr>
      <w:r w:rsidRPr="00434358">
        <w:rPr>
          <w:rFonts w:ascii="Times New Roman" w:hAnsi="Times New Roman" w:cs="Times New Roman"/>
          <w:b/>
          <w:bCs/>
        </w:rPr>
        <w:t>Work Count:</w:t>
      </w:r>
      <w:r w:rsidR="00947A6D">
        <w:rPr>
          <w:rFonts w:ascii="Times New Roman" w:hAnsi="Times New Roman" w:cs="Times New Roman"/>
          <w:b/>
          <w:bCs/>
        </w:rPr>
        <w:t xml:space="preserve"> 3238</w:t>
      </w:r>
    </w:p>
    <w:p w14:paraId="2CC2A054" w14:textId="77777777" w:rsidR="00646406" w:rsidRPr="00434358" w:rsidRDefault="00646406" w:rsidP="00434358">
      <w:pPr>
        <w:spacing w:line="360" w:lineRule="auto"/>
        <w:jc w:val="center"/>
        <w:rPr>
          <w:rFonts w:ascii="Times New Roman" w:hAnsi="Times New Roman" w:cs="Times New Roman"/>
          <w:b/>
          <w:bCs/>
        </w:rPr>
      </w:pPr>
    </w:p>
    <w:p w14:paraId="6A8F56C7" w14:textId="77777777" w:rsidR="00646406" w:rsidRPr="00434358" w:rsidRDefault="00646406" w:rsidP="00434358">
      <w:pPr>
        <w:spacing w:line="360" w:lineRule="auto"/>
        <w:jc w:val="center"/>
        <w:rPr>
          <w:rFonts w:ascii="Times New Roman" w:hAnsi="Times New Roman" w:cs="Times New Roman"/>
          <w:b/>
          <w:bCs/>
        </w:rPr>
      </w:pPr>
    </w:p>
    <w:p w14:paraId="76B4AC18" w14:textId="77777777" w:rsidR="00646406" w:rsidRPr="00434358" w:rsidRDefault="00646406" w:rsidP="00434358">
      <w:pPr>
        <w:spacing w:line="360" w:lineRule="auto"/>
        <w:rPr>
          <w:rFonts w:ascii="Times New Roman" w:hAnsi="Times New Roman" w:cs="Times New Roman"/>
          <w:b/>
          <w:bCs/>
        </w:rPr>
      </w:pPr>
    </w:p>
    <w:p w14:paraId="3D7042D2" w14:textId="7440D83E" w:rsidR="00646406" w:rsidRPr="00434358" w:rsidRDefault="00646406" w:rsidP="00434358">
      <w:pPr>
        <w:spacing w:line="360" w:lineRule="auto"/>
        <w:jc w:val="center"/>
        <w:rPr>
          <w:rFonts w:ascii="Times New Roman" w:hAnsi="Times New Roman" w:cs="Times New Roman"/>
          <w:b/>
          <w:bCs/>
        </w:rPr>
      </w:pPr>
      <w:r w:rsidRPr="00434358">
        <w:rPr>
          <w:rFonts w:ascii="Times New Roman" w:hAnsi="Times New Roman" w:cs="Times New Roman"/>
          <w:b/>
          <w:bCs/>
        </w:rPr>
        <w:t>Term 1</w:t>
      </w:r>
    </w:p>
    <w:p w14:paraId="795BE6E7" w14:textId="16C05007" w:rsidR="00646406" w:rsidRPr="00646406" w:rsidRDefault="00646406">
      <w:pPr>
        <w:rPr>
          <w:b/>
          <w:bCs/>
        </w:rPr>
      </w:pPr>
      <w:r w:rsidRPr="00646406">
        <w:rPr>
          <w:b/>
          <w:bCs/>
        </w:rPr>
        <w:br w:type="page"/>
      </w:r>
    </w:p>
    <w:bookmarkStart w:id="0" w:name="_Toc211437169" w:displacedByCustomXml="next"/>
    <w:sdt>
      <w:sdtPr>
        <w:rPr>
          <w:rFonts w:asciiTheme="minorHAnsi" w:hAnsiTheme="minorHAnsi" w:cstheme="minorBidi"/>
          <w:color w:val="auto"/>
          <w:kern w:val="2"/>
          <w:sz w:val="24"/>
          <w:szCs w:val="24"/>
          <w:lang w:val="en-GB"/>
          <w14:ligatures w14:val="standardContextual"/>
        </w:rPr>
        <w:id w:val="-628860786"/>
        <w:docPartObj>
          <w:docPartGallery w:val="Table of Contents"/>
          <w:docPartUnique/>
        </w:docPartObj>
      </w:sdtPr>
      <w:sdtEndPr>
        <w:rPr>
          <w:b/>
          <w:bCs/>
          <w:noProof/>
        </w:rPr>
      </w:sdtEndPr>
      <w:sdtContent>
        <w:p w14:paraId="537EA9B0" w14:textId="491CB46D" w:rsidR="00CB4E23" w:rsidRPr="00CB4E23" w:rsidRDefault="00CB4E23" w:rsidP="00CB4E23">
          <w:pPr>
            <w:pStyle w:val="TOCHeading"/>
            <w:spacing w:line="360" w:lineRule="auto"/>
            <w:jc w:val="center"/>
            <w:rPr>
              <w:b/>
              <w:bCs/>
              <w:sz w:val="24"/>
              <w:szCs w:val="24"/>
              <w:u w:val="single"/>
            </w:rPr>
          </w:pPr>
          <w:r w:rsidRPr="00CB4E23">
            <w:rPr>
              <w:b/>
              <w:bCs/>
              <w:sz w:val="24"/>
              <w:szCs w:val="24"/>
              <w:u w:val="single"/>
            </w:rPr>
            <w:t>Table of Contents</w:t>
          </w:r>
        </w:p>
        <w:p w14:paraId="79BFC334" w14:textId="1AA1EF26" w:rsidR="00CB4E23" w:rsidRPr="00CB4E23" w:rsidRDefault="00CB4E23" w:rsidP="00CB4E23">
          <w:pPr>
            <w:pStyle w:val="TOC1"/>
            <w:tabs>
              <w:tab w:val="right" w:leader="dot" w:pos="9016"/>
            </w:tabs>
            <w:spacing w:line="360" w:lineRule="auto"/>
            <w:jc w:val="both"/>
            <w:rPr>
              <w:rFonts w:ascii="Times New Roman" w:eastAsiaTheme="minorEastAsia" w:hAnsi="Times New Roman" w:cs="Times New Roman"/>
              <w:b w:val="0"/>
              <w:bCs w:val="0"/>
              <w:caps w:val="0"/>
              <w:noProof/>
              <w:sz w:val="24"/>
              <w:szCs w:val="24"/>
              <w:lang w:val="en-US"/>
            </w:rPr>
          </w:pPr>
          <w:r w:rsidRPr="00CB4E23">
            <w:rPr>
              <w:rFonts w:ascii="Times New Roman" w:hAnsi="Times New Roman" w:cs="Times New Roman"/>
              <w:b w:val="0"/>
              <w:bCs w:val="0"/>
              <w:sz w:val="24"/>
              <w:szCs w:val="24"/>
            </w:rPr>
            <w:fldChar w:fldCharType="begin"/>
          </w:r>
          <w:r w:rsidRPr="00CB4E23">
            <w:rPr>
              <w:rFonts w:ascii="Times New Roman" w:hAnsi="Times New Roman" w:cs="Times New Roman"/>
              <w:b w:val="0"/>
              <w:bCs w:val="0"/>
              <w:sz w:val="24"/>
              <w:szCs w:val="24"/>
            </w:rPr>
            <w:instrText xml:space="preserve"> TOC \o "1-3" \h \z \u </w:instrText>
          </w:r>
          <w:r w:rsidRPr="00CB4E23">
            <w:rPr>
              <w:rFonts w:ascii="Times New Roman" w:hAnsi="Times New Roman" w:cs="Times New Roman"/>
              <w:b w:val="0"/>
              <w:bCs w:val="0"/>
              <w:sz w:val="24"/>
              <w:szCs w:val="24"/>
            </w:rPr>
            <w:fldChar w:fldCharType="separate"/>
          </w:r>
          <w:hyperlink w:anchor="_Toc213885697" w:history="1">
            <w:r w:rsidRPr="00CB4E23">
              <w:rPr>
                <w:rStyle w:val="Hyperlink"/>
                <w:rFonts w:ascii="Times New Roman" w:hAnsi="Times New Roman" w:cs="Times New Roman"/>
                <w:b w:val="0"/>
                <w:bCs w:val="0"/>
                <w:noProof/>
                <w:sz w:val="24"/>
                <w:szCs w:val="24"/>
              </w:rPr>
              <w:t>1. Introduction</w:t>
            </w:r>
            <w:r w:rsidRPr="00CB4E23">
              <w:rPr>
                <w:rFonts w:ascii="Times New Roman" w:hAnsi="Times New Roman" w:cs="Times New Roman"/>
                <w:b w:val="0"/>
                <w:bCs w:val="0"/>
                <w:noProof/>
                <w:webHidden/>
                <w:sz w:val="24"/>
                <w:szCs w:val="24"/>
              </w:rPr>
              <w:tab/>
            </w:r>
            <w:r w:rsidRPr="00CB4E23">
              <w:rPr>
                <w:rFonts w:ascii="Times New Roman" w:hAnsi="Times New Roman" w:cs="Times New Roman"/>
                <w:b w:val="0"/>
                <w:bCs w:val="0"/>
                <w:noProof/>
                <w:webHidden/>
                <w:sz w:val="24"/>
                <w:szCs w:val="24"/>
              </w:rPr>
              <w:fldChar w:fldCharType="begin"/>
            </w:r>
            <w:r w:rsidRPr="00CB4E23">
              <w:rPr>
                <w:rFonts w:ascii="Times New Roman" w:hAnsi="Times New Roman" w:cs="Times New Roman"/>
                <w:b w:val="0"/>
                <w:bCs w:val="0"/>
                <w:noProof/>
                <w:webHidden/>
                <w:sz w:val="24"/>
                <w:szCs w:val="24"/>
              </w:rPr>
              <w:instrText xml:space="preserve"> PAGEREF _Toc213885697 \h </w:instrText>
            </w:r>
            <w:r w:rsidRPr="00CB4E23">
              <w:rPr>
                <w:rFonts w:ascii="Times New Roman" w:hAnsi="Times New Roman" w:cs="Times New Roman"/>
                <w:b w:val="0"/>
                <w:bCs w:val="0"/>
                <w:noProof/>
                <w:webHidden/>
                <w:sz w:val="24"/>
                <w:szCs w:val="24"/>
              </w:rPr>
            </w:r>
            <w:r w:rsidRPr="00CB4E23">
              <w:rPr>
                <w:rFonts w:ascii="Times New Roman" w:hAnsi="Times New Roman" w:cs="Times New Roman"/>
                <w:b w:val="0"/>
                <w:bCs w:val="0"/>
                <w:noProof/>
                <w:webHidden/>
                <w:sz w:val="24"/>
                <w:szCs w:val="24"/>
              </w:rPr>
              <w:fldChar w:fldCharType="separate"/>
            </w:r>
            <w:r w:rsidRPr="00CB4E23">
              <w:rPr>
                <w:rFonts w:ascii="Times New Roman" w:hAnsi="Times New Roman" w:cs="Times New Roman"/>
                <w:b w:val="0"/>
                <w:bCs w:val="0"/>
                <w:noProof/>
                <w:webHidden/>
                <w:sz w:val="24"/>
                <w:szCs w:val="24"/>
              </w:rPr>
              <w:t>4</w:t>
            </w:r>
            <w:r w:rsidRPr="00CB4E23">
              <w:rPr>
                <w:rFonts w:ascii="Times New Roman" w:hAnsi="Times New Roman" w:cs="Times New Roman"/>
                <w:b w:val="0"/>
                <w:bCs w:val="0"/>
                <w:noProof/>
                <w:webHidden/>
                <w:sz w:val="24"/>
                <w:szCs w:val="24"/>
              </w:rPr>
              <w:fldChar w:fldCharType="end"/>
            </w:r>
          </w:hyperlink>
        </w:p>
        <w:p w14:paraId="4CB09880" w14:textId="77A8E24B" w:rsidR="00CB4E23" w:rsidRPr="00CB4E23" w:rsidRDefault="00CB4E23" w:rsidP="00CB4E23">
          <w:pPr>
            <w:pStyle w:val="TOC1"/>
            <w:tabs>
              <w:tab w:val="right" w:leader="dot" w:pos="9016"/>
            </w:tabs>
            <w:spacing w:line="360" w:lineRule="auto"/>
            <w:jc w:val="both"/>
            <w:rPr>
              <w:rFonts w:ascii="Times New Roman" w:eastAsiaTheme="minorEastAsia" w:hAnsi="Times New Roman" w:cs="Times New Roman"/>
              <w:b w:val="0"/>
              <w:bCs w:val="0"/>
              <w:caps w:val="0"/>
              <w:noProof/>
              <w:sz w:val="24"/>
              <w:szCs w:val="24"/>
              <w:lang w:val="en-US"/>
            </w:rPr>
          </w:pPr>
          <w:hyperlink w:anchor="_Toc213885698" w:history="1">
            <w:r w:rsidRPr="00CB4E23">
              <w:rPr>
                <w:rStyle w:val="Hyperlink"/>
                <w:rFonts w:ascii="Times New Roman" w:hAnsi="Times New Roman" w:cs="Times New Roman"/>
                <w:b w:val="0"/>
                <w:bCs w:val="0"/>
                <w:noProof/>
                <w:sz w:val="24"/>
                <w:szCs w:val="24"/>
              </w:rPr>
              <w:t>2. Task 1: Critical Analysis of the Macro Marketing Environment</w:t>
            </w:r>
            <w:r w:rsidRPr="00CB4E23">
              <w:rPr>
                <w:rFonts w:ascii="Times New Roman" w:hAnsi="Times New Roman" w:cs="Times New Roman"/>
                <w:b w:val="0"/>
                <w:bCs w:val="0"/>
                <w:noProof/>
                <w:webHidden/>
                <w:sz w:val="24"/>
                <w:szCs w:val="24"/>
              </w:rPr>
              <w:tab/>
            </w:r>
            <w:r w:rsidRPr="00CB4E23">
              <w:rPr>
                <w:rFonts w:ascii="Times New Roman" w:hAnsi="Times New Roman" w:cs="Times New Roman"/>
                <w:b w:val="0"/>
                <w:bCs w:val="0"/>
                <w:noProof/>
                <w:webHidden/>
                <w:sz w:val="24"/>
                <w:szCs w:val="24"/>
              </w:rPr>
              <w:fldChar w:fldCharType="begin"/>
            </w:r>
            <w:r w:rsidRPr="00CB4E23">
              <w:rPr>
                <w:rFonts w:ascii="Times New Roman" w:hAnsi="Times New Roman" w:cs="Times New Roman"/>
                <w:b w:val="0"/>
                <w:bCs w:val="0"/>
                <w:noProof/>
                <w:webHidden/>
                <w:sz w:val="24"/>
                <w:szCs w:val="24"/>
              </w:rPr>
              <w:instrText xml:space="preserve"> PAGEREF _Toc213885698 \h </w:instrText>
            </w:r>
            <w:r w:rsidRPr="00CB4E23">
              <w:rPr>
                <w:rFonts w:ascii="Times New Roman" w:hAnsi="Times New Roman" w:cs="Times New Roman"/>
                <w:b w:val="0"/>
                <w:bCs w:val="0"/>
                <w:noProof/>
                <w:webHidden/>
                <w:sz w:val="24"/>
                <w:szCs w:val="24"/>
              </w:rPr>
            </w:r>
            <w:r w:rsidRPr="00CB4E23">
              <w:rPr>
                <w:rFonts w:ascii="Times New Roman" w:hAnsi="Times New Roman" w:cs="Times New Roman"/>
                <w:b w:val="0"/>
                <w:bCs w:val="0"/>
                <w:noProof/>
                <w:webHidden/>
                <w:sz w:val="24"/>
                <w:szCs w:val="24"/>
              </w:rPr>
              <w:fldChar w:fldCharType="separate"/>
            </w:r>
            <w:r w:rsidRPr="00CB4E23">
              <w:rPr>
                <w:rFonts w:ascii="Times New Roman" w:hAnsi="Times New Roman" w:cs="Times New Roman"/>
                <w:b w:val="0"/>
                <w:bCs w:val="0"/>
                <w:noProof/>
                <w:webHidden/>
                <w:sz w:val="24"/>
                <w:szCs w:val="24"/>
              </w:rPr>
              <w:t>4</w:t>
            </w:r>
            <w:r w:rsidRPr="00CB4E23">
              <w:rPr>
                <w:rFonts w:ascii="Times New Roman" w:hAnsi="Times New Roman" w:cs="Times New Roman"/>
                <w:b w:val="0"/>
                <w:bCs w:val="0"/>
                <w:noProof/>
                <w:webHidden/>
                <w:sz w:val="24"/>
                <w:szCs w:val="24"/>
              </w:rPr>
              <w:fldChar w:fldCharType="end"/>
            </w:r>
          </w:hyperlink>
        </w:p>
        <w:p w14:paraId="2DD75505" w14:textId="4B8A92AA" w:rsidR="00CB4E23" w:rsidRPr="00CB4E23" w:rsidRDefault="00CB4E23" w:rsidP="00CB4E23">
          <w:pPr>
            <w:pStyle w:val="TOC2"/>
            <w:tabs>
              <w:tab w:val="right" w:leader="dot" w:pos="9016"/>
            </w:tabs>
            <w:spacing w:line="360" w:lineRule="auto"/>
            <w:jc w:val="both"/>
            <w:rPr>
              <w:rFonts w:ascii="Times New Roman" w:eastAsiaTheme="minorEastAsia" w:hAnsi="Times New Roman" w:cs="Times New Roman"/>
              <w:smallCaps w:val="0"/>
              <w:noProof/>
              <w:sz w:val="24"/>
              <w:szCs w:val="24"/>
              <w:lang w:val="en-US"/>
            </w:rPr>
          </w:pPr>
          <w:hyperlink w:anchor="_Toc213885699" w:history="1">
            <w:r w:rsidRPr="00CB4E23">
              <w:rPr>
                <w:rStyle w:val="Hyperlink"/>
                <w:rFonts w:ascii="Times New Roman" w:hAnsi="Times New Roman" w:cs="Times New Roman"/>
                <w:noProof/>
                <w:sz w:val="24"/>
                <w:szCs w:val="24"/>
              </w:rPr>
              <w:t>2.1 Overview of the Macro Marketing Environment</w:t>
            </w:r>
            <w:r w:rsidRPr="00CB4E23">
              <w:rPr>
                <w:rFonts w:ascii="Times New Roman" w:hAnsi="Times New Roman" w:cs="Times New Roman"/>
                <w:noProof/>
                <w:webHidden/>
                <w:sz w:val="24"/>
                <w:szCs w:val="24"/>
              </w:rPr>
              <w:tab/>
            </w:r>
            <w:r w:rsidRPr="00CB4E23">
              <w:rPr>
                <w:rFonts w:ascii="Times New Roman" w:hAnsi="Times New Roman" w:cs="Times New Roman"/>
                <w:noProof/>
                <w:webHidden/>
                <w:sz w:val="24"/>
                <w:szCs w:val="24"/>
              </w:rPr>
              <w:fldChar w:fldCharType="begin"/>
            </w:r>
            <w:r w:rsidRPr="00CB4E23">
              <w:rPr>
                <w:rFonts w:ascii="Times New Roman" w:hAnsi="Times New Roman" w:cs="Times New Roman"/>
                <w:noProof/>
                <w:webHidden/>
                <w:sz w:val="24"/>
                <w:szCs w:val="24"/>
              </w:rPr>
              <w:instrText xml:space="preserve"> PAGEREF _Toc213885699 \h </w:instrText>
            </w:r>
            <w:r w:rsidRPr="00CB4E23">
              <w:rPr>
                <w:rFonts w:ascii="Times New Roman" w:hAnsi="Times New Roman" w:cs="Times New Roman"/>
                <w:noProof/>
                <w:webHidden/>
                <w:sz w:val="24"/>
                <w:szCs w:val="24"/>
              </w:rPr>
            </w:r>
            <w:r w:rsidRPr="00CB4E23">
              <w:rPr>
                <w:rFonts w:ascii="Times New Roman" w:hAnsi="Times New Roman" w:cs="Times New Roman"/>
                <w:noProof/>
                <w:webHidden/>
                <w:sz w:val="24"/>
                <w:szCs w:val="24"/>
              </w:rPr>
              <w:fldChar w:fldCharType="separate"/>
            </w:r>
            <w:r w:rsidRPr="00CB4E23">
              <w:rPr>
                <w:rFonts w:ascii="Times New Roman" w:hAnsi="Times New Roman" w:cs="Times New Roman"/>
                <w:noProof/>
                <w:webHidden/>
                <w:sz w:val="24"/>
                <w:szCs w:val="24"/>
              </w:rPr>
              <w:t>4</w:t>
            </w:r>
            <w:r w:rsidRPr="00CB4E23">
              <w:rPr>
                <w:rFonts w:ascii="Times New Roman" w:hAnsi="Times New Roman" w:cs="Times New Roman"/>
                <w:noProof/>
                <w:webHidden/>
                <w:sz w:val="24"/>
                <w:szCs w:val="24"/>
              </w:rPr>
              <w:fldChar w:fldCharType="end"/>
            </w:r>
          </w:hyperlink>
        </w:p>
        <w:p w14:paraId="38E57796" w14:textId="36B308D4" w:rsidR="00CB4E23" w:rsidRPr="00CB4E23" w:rsidRDefault="00CB4E23" w:rsidP="00CB4E23">
          <w:pPr>
            <w:pStyle w:val="TOC2"/>
            <w:tabs>
              <w:tab w:val="right" w:leader="dot" w:pos="9016"/>
            </w:tabs>
            <w:spacing w:line="360" w:lineRule="auto"/>
            <w:jc w:val="both"/>
            <w:rPr>
              <w:rFonts w:ascii="Times New Roman" w:eastAsiaTheme="minorEastAsia" w:hAnsi="Times New Roman" w:cs="Times New Roman"/>
              <w:smallCaps w:val="0"/>
              <w:noProof/>
              <w:sz w:val="24"/>
              <w:szCs w:val="24"/>
              <w:lang w:val="en-US"/>
            </w:rPr>
          </w:pPr>
          <w:hyperlink w:anchor="_Toc213885700" w:history="1">
            <w:r w:rsidRPr="00CB4E23">
              <w:rPr>
                <w:rStyle w:val="Hyperlink"/>
                <w:rFonts w:ascii="Times New Roman" w:hAnsi="Times New Roman" w:cs="Times New Roman"/>
                <w:noProof/>
                <w:sz w:val="24"/>
                <w:szCs w:val="24"/>
              </w:rPr>
              <w:t>2.2 Selection of Two External Macro Marketing Actors</w:t>
            </w:r>
            <w:r w:rsidRPr="00CB4E23">
              <w:rPr>
                <w:rFonts w:ascii="Times New Roman" w:hAnsi="Times New Roman" w:cs="Times New Roman"/>
                <w:noProof/>
                <w:webHidden/>
                <w:sz w:val="24"/>
                <w:szCs w:val="24"/>
              </w:rPr>
              <w:tab/>
            </w:r>
            <w:r w:rsidRPr="00CB4E23">
              <w:rPr>
                <w:rFonts w:ascii="Times New Roman" w:hAnsi="Times New Roman" w:cs="Times New Roman"/>
                <w:noProof/>
                <w:webHidden/>
                <w:sz w:val="24"/>
                <w:szCs w:val="24"/>
              </w:rPr>
              <w:fldChar w:fldCharType="begin"/>
            </w:r>
            <w:r w:rsidRPr="00CB4E23">
              <w:rPr>
                <w:rFonts w:ascii="Times New Roman" w:hAnsi="Times New Roman" w:cs="Times New Roman"/>
                <w:noProof/>
                <w:webHidden/>
                <w:sz w:val="24"/>
                <w:szCs w:val="24"/>
              </w:rPr>
              <w:instrText xml:space="preserve"> PAGEREF _Toc213885700 \h </w:instrText>
            </w:r>
            <w:r w:rsidRPr="00CB4E23">
              <w:rPr>
                <w:rFonts w:ascii="Times New Roman" w:hAnsi="Times New Roman" w:cs="Times New Roman"/>
                <w:noProof/>
                <w:webHidden/>
                <w:sz w:val="24"/>
                <w:szCs w:val="24"/>
              </w:rPr>
            </w:r>
            <w:r w:rsidRPr="00CB4E23">
              <w:rPr>
                <w:rFonts w:ascii="Times New Roman" w:hAnsi="Times New Roman" w:cs="Times New Roman"/>
                <w:noProof/>
                <w:webHidden/>
                <w:sz w:val="24"/>
                <w:szCs w:val="24"/>
              </w:rPr>
              <w:fldChar w:fldCharType="separate"/>
            </w:r>
            <w:r w:rsidRPr="00CB4E23">
              <w:rPr>
                <w:rFonts w:ascii="Times New Roman" w:hAnsi="Times New Roman" w:cs="Times New Roman"/>
                <w:noProof/>
                <w:webHidden/>
                <w:sz w:val="24"/>
                <w:szCs w:val="24"/>
              </w:rPr>
              <w:t>5</w:t>
            </w:r>
            <w:r w:rsidRPr="00CB4E23">
              <w:rPr>
                <w:rFonts w:ascii="Times New Roman" w:hAnsi="Times New Roman" w:cs="Times New Roman"/>
                <w:noProof/>
                <w:webHidden/>
                <w:sz w:val="24"/>
                <w:szCs w:val="24"/>
              </w:rPr>
              <w:fldChar w:fldCharType="end"/>
            </w:r>
          </w:hyperlink>
        </w:p>
        <w:p w14:paraId="56297601" w14:textId="30A6B8DD" w:rsidR="00CB4E23" w:rsidRPr="00CB4E23" w:rsidRDefault="00CB4E23" w:rsidP="00CB4E23">
          <w:pPr>
            <w:pStyle w:val="TOC2"/>
            <w:tabs>
              <w:tab w:val="right" w:leader="dot" w:pos="9016"/>
            </w:tabs>
            <w:spacing w:line="360" w:lineRule="auto"/>
            <w:jc w:val="both"/>
            <w:rPr>
              <w:rFonts w:ascii="Times New Roman" w:eastAsiaTheme="minorEastAsia" w:hAnsi="Times New Roman" w:cs="Times New Roman"/>
              <w:smallCaps w:val="0"/>
              <w:noProof/>
              <w:sz w:val="24"/>
              <w:szCs w:val="24"/>
              <w:lang w:val="en-US"/>
            </w:rPr>
          </w:pPr>
          <w:hyperlink w:anchor="_Toc213885701" w:history="1">
            <w:r w:rsidRPr="00CB4E23">
              <w:rPr>
                <w:rStyle w:val="Hyperlink"/>
                <w:rFonts w:ascii="Times New Roman" w:hAnsi="Times New Roman" w:cs="Times New Roman"/>
                <w:noProof/>
                <w:sz w:val="24"/>
                <w:szCs w:val="24"/>
              </w:rPr>
              <w:t>2.3 Critical Analysis of Each Actor</w:t>
            </w:r>
            <w:r w:rsidRPr="00CB4E23">
              <w:rPr>
                <w:rFonts w:ascii="Times New Roman" w:hAnsi="Times New Roman" w:cs="Times New Roman"/>
                <w:noProof/>
                <w:webHidden/>
                <w:sz w:val="24"/>
                <w:szCs w:val="24"/>
              </w:rPr>
              <w:tab/>
            </w:r>
            <w:r w:rsidRPr="00CB4E23">
              <w:rPr>
                <w:rFonts w:ascii="Times New Roman" w:hAnsi="Times New Roman" w:cs="Times New Roman"/>
                <w:noProof/>
                <w:webHidden/>
                <w:sz w:val="24"/>
                <w:szCs w:val="24"/>
              </w:rPr>
              <w:fldChar w:fldCharType="begin"/>
            </w:r>
            <w:r w:rsidRPr="00CB4E23">
              <w:rPr>
                <w:rFonts w:ascii="Times New Roman" w:hAnsi="Times New Roman" w:cs="Times New Roman"/>
                <w:noProof/>
                <w:webHidden/>
                <w:sz w:val="24"/>
                <w:szCs w:val="24"/>
              </w:rPr>
              <w:instrText xml:space="preserve"> PAGEREF _Toc213885701 \h </w:instrText>
            </w:r>
            <w:r w:rsidRPr="00CB4E23">
              <w:rPr>
                <w:rFonts w:ascii="Times New Roman" w:hAnsi="Times New Roman" w:cs="Times New Roman"/>
                <w:noProof/>
                <w:webHidden/>
                <w:sz w:val="24"/>
                <w:szCs w:val="24"/>
              </w:rPr>
            </w:r>
            <w:r w:rsidRPr="00CB4E23">
              <w:rPr>
                <w:rFonts w:ascii="Times New Roman" w:hAnsi="Times New Roman" w:cs="Times New Roman"/>
                <w:noProof/>
                <w:webHidden/>
                <w:sz w:val="24"/>
                <w:szCs w:val="24"/>
              </w:rPr>
              <w:fldChar w:fldCharType="separate"/>
            </w:r>
            <w:r w:rsidRPr="00CB4E23">
              <w:rPr>
                <w:rFonts w:ascii="Times New Roman" w:hAnsi="Times New Roman" w:cs="Times New Roman"/>
                <w:noProof/>
                <w:webHidden/>
                <w:sz w:val="24"/>
                <w:szCs w:val="24"/>
              </w:rPr>
              <w:t>6</w:t>
            </w:r>
            <w:r w:rsidRPr="00CB4E23">
              <w:rPr>
                <w:rFonts w:ascii="Times New Roman" w:hAnsi="Times New Roman" w:cs="Times New Roman"/>
                <w:noProof/>
                <w:webHidden/>
                <w:sz w:val="24"/>
                <w:szCs w:val="24"/>
              </w:rPr>
              <w:fldChar w:fldCharType="end"/>
            </w:r>
          </w:hyperlink>
        </w:p>
        <w:p w14:paraId="0FA0ED44" w14:textId="5A7379EA" w:rsidR="00CB4E23" w:rsidRPr="00CB4E23" w:rsidRDefault="00CB4E23" w:rsidP="00CB4E23">
          <w:pPr>
            <w:pStyle w:val="TOC1"/>
            <w:tabs>
              <w:tab w:val="right" w:leader="dot" w:pos="9016"/>
            </w:tabs>
            <w:spacing w:line="360" w:lineRule="auto"/>
            <w:jc w:val="both"/>
            <w:rPr>
              <w:rFonts w:ascii="Times New Roman" w:eastAsiaTheme="minorEastAsia" w:hAnsi="Times New Roman" w:cs="Times New Roman"/>
              <w:b w:val="0"/>
              <w:bCs w:val="0"/>
              <w:caps w:val="0"/>
              <w:noProof/>
              <w:sz w:val="24"/>
              <w:szCs w:val="24"/>
              <w:lang w:val="en-US"/>
            </w:rPr>
          </w:pPr>
          <w:hyperlink w:anchor="_Toc213885702" w:history="1">
            <w:r w:rsidRPr="00CB4E23">
              <w:rPr>
                <w:rStyle w:val="Hyperlink"/>
                <w:rFonts w:ascii="Times New Roman" w:hAnsi="Times New Roman" w:cs="Times New Roman"/>
                <w:b w:val="0"/>
                <w:bCs w:val="0"/>
                <w:noProof/>
                <w:sz w:val="24"/>
                <w:szCs w:val="24"/>
              </w:rPr>
              <w:t>3. Task 2: Strategic Responses of Pioneering and Follower Organisations (1,000 words)</w:t>
            </w:r>
            <w:r w:rsidRPr="00CB4E23">
              <w:rPr>
                <w:rFonts w:ascii="Times New Roman" w:hAnsi="Times New Roman" w:cs="Times New Roman"/>
                <w:b w:val="0"/>
                <w:bCs w:val="0"/>
                <w:noProof/>
                <w:webHidden/>
                <w:sz w:val="24"/>
                <w:szCs w:val="24"/>
              </w:rPr>
              <w:tab/>
            </w:r>
            <w:r w:rsidRPr="00CB4E23">
              <w:rPr>
                <w:rFonts w:ascii="Times New Roman" w:hAnsi="Times New Roman" w:cs="Times New Roman"/>
                <w:b w:val="0"/>
                <w:bCs w:val="0"/>
                <w:noProof/>
                <w:webHidden/>
                <w:sz w:val="24"/>
                <w:szCs w:val="24"/>
              </w:rPr>
              <w:fldChar w:fldCharType="begin"/>
            </w:r>
            <w:r w:rsidRPr="00CB4E23">
              <w:rPr>
                <w:rFonts w:ascii="Times New Roman" w:hAnsi="Times New Roman" w:cs="Times New Roman"/>
                <w:b w:val="0"/>
                <w:bCs w:val="0"/>
                <w:noProof/>
                <w:webHidden/>
                <w:sz w:val="24"/>
                <w:szCs w:val="24"/>
              </w:rPr>
              <w:instrText xml:space="preserve"> PAGEREF _Toc213885702 \h </w:instrText>
            </w:r>
            <w:r w:rsidRPr="00CB4E23">
              <w:rPr>
                <w:rFonts w:ascii="Times New Roman" w:hAnsi="Times New Roman" w:cs="Times New Roman"/>
                <w:b w:val="0"/>
                <w:bCs w:val="0"/>
                <w:noProof/>
                <w:webHidden/>
                <w:sz w:val="24"/>
                <w:szCs w:val="24"/>
              </w:rPr>
            </w:r>
            <w:r w:rsidRPr="00CB4E23">
              <w:rPr>
                <w:rFonts w:ascii="Times New Roman" w:hAnsi="Times New Roman" w:cs="Times New Roman"/>
                <w:b w:val="0"/>
                <w:bCs w:val="0"/>
                <w:noProof/>
                <w:webHidden/>
                <w:sz w:val="24"/>
                <w:szCs w:val="24"/>
              </w:rPr>
              <w:fldChar w:fldCharType="separate"/>
            </w:r>
            <w:r w:rsidRPr="00CB4E23">
              <w:rPr>
                <w:rFonts w:ascii="Times New Roman" w:hAnsi="Times New Roman" w:cs="Times New Roman"/>
                <w:b w:val="0"/>
                <w:bCs w:val="0"/>
                <w:noProof/>
                <w:webHidden/>
                <w:sz w:val="24"/>
                <w:szCs w:val="24"/>
              </w:rPr>
              <w:t>7</w:t>
            </w:r>
            <w:r w:rsidRPr="00CB4E23">
              <w:rPr>
                <w:rFonts w:ascii="Times New Roman" w:hAnsi="Times New Roman" w:cs="Times New Roman"/>
                <w:b w:val="0"/>
                <w:bCs w:val="0"/>
                <w:noProof/>
                <w:webHidden/>
                <w:sz w:val="24"/>
                <w:szCs w:val="24"/>
              </w:rPr>
              <w:fldChar w:fldCharType="end"/>
            </w:r>
          </w:hyperlink>
        </w:p>
        <w:p w14:paraId="2BBB0892" w14:textId="24983646" w:rsidR="00CB4E23" w:rsidRPr="00CB4E23" w:rsidRDefault="00CB4E23" w:rsidP="00CB4E23">
          <w:pPr>
            <w:pStyle w:val="TOC2"/>
            <w:tabs>
              <w:tab w:val="right" w:leader="dot" w:pos="9016"/>
            </w:tabs>
            <w:spacing w:line="360" w:lineRule="auto"/>
            <w:jc w:val="both"/>
            <w:rPr>
              <w:rFonts w:ascii="Times New Roman" w:eastAsiaTheme="minorEastAsia" w:hAnsi="Times New Roman" w:cs="Times New Roman"/>
              <w:smallCaps w:val="0"/>
              <w:noProof/>
              <w:sz w:val="24"/>
              <w:szCs w:val="24"/>
              <w:lang w:val="en-US"/>
            </w:rPr>
          </w:pPr>
          <w:hyperlink w:anchor="_Toc213885703" w:history="1">
            <w:r w:rsidRPr="00CB4E23">
              <w:rPr>
                <w:rStyle w:val="Hyperlink"/>
                <w:rFonts w:ascii="Times New Roman" w:hAnsi="Times New Roman" w:cs="Times New Roman"/>
                <w:noProof/>
                <w:sz w:val="24"/>
                <w:szCs w:val="24"/>
              </w:rPr>
              <w:t>3.1 Pioneering Organisations’ Strategic Responses (500)</w:t>
            </w:r>
            <w:r w:rsidRPr="00CB4E23">
              <w:rPr>
                <w:rFonts w:ascii="Times New Roman" w:hAnsi="Times New Roman" w:cs="Times New Roman"/>
                <w:noProof/>
                <w:webHidden/>
                <w:sz w:val="24"/>
                <w:szCs w:val="24"/>
              </w:rPr>
              <w:tab/>
            </w:r>
            <w:r w:rsidRPr="00CB4E23">
              <w:rPr>
                <w:rFonts w:ascii="Times New Roman" w:hAnsi="Times New Roman" w:cs="Times New Roman"/>
                <w:noProof/>
                <w:webHidden/>
                <w:sz w:val="24"/>
                <w:szCs w:val="24"/>
              </w:rPr>
              <w:fldChar w:fldCharType="begin"/>
            </w:r>
            <w:r w:rsidRPr="00CB4E23">
              <w:rPr>
                <w:rFonts w:ascii="Times New Roman" w:hAnsi="Times New Roman" w:cs="Times New Roman"/>
                <w:noProof/>
                <w:webHidden/>
                <w:sz w:val="24"/>
                <w:szCs w:val="24"/>
              </w:rPr>
              <w:instrText xml:space="preserve"> PAGEREF _Toc213885703 \h </w:instrText>
            </w:r>
            <w:r w:rsidRPr="00CB4E23">
              <w:rPr>
                <w:rFonts w:ascii="Times New Roman" w:hAnsi="Times New Roman" w:cs="Times New Roman"/>
                <w:noProof/>
                <w:webHidden/>
                <w:sz w:val="24"/>
                <w:szCs w:val="24"/>
              </w:rPr>
            </w:r>
            <w:r w:rsidRPr="00CB4E23">
              <w:rPr>
                <w:rFonts w:ascii="Times New Roman" w:hAnsi="Times New Roman" w:cs="Times New Roman"/>
                <w:noProof/>
                <w:webHidden/>
                <w:sz w:val="24"/>
                <w:szCs w:val="24"/>
              </w:rPr>
              <w:fldChar w:fldCharType="separate"/>
            </w:r>
            <w:r w:rsidRPr="00CB4E23">
              <w:rPr>
                <w:rFonts w:ascii="Times New Roman" w:hAnsi="Times New Roman" w:cs="Times New Roman"/>
                <w:noProof/>
                <w:webHidden/>
                <w:sz w:val="24"/>
                <w:szCs w:val="24"/>
              </w:rPr>
              <w:t>7</w:t>
            </w:r>
            <w:r w:rsidRPr="00CB4E23">
              <w:rPr>
                <w:rFonts w:ascii="Times New Roman" w:hAnsi="Times New Roman" w:cs="Times New Roman"/>
                <w:noProof/>
                <w:webHidden/>
                <w:sz w:val="24"/>
                <w:szCs w:val="24"/>
              </w:rPr>
              <w:fldChar w:fldCharType="end"/>
            </w:r>
          </w:hyperlink>
        </w:p>
        <w:p w14:paraId="41448BBA" w14:textId="4AD9F7E8" w:rsidR="00CB4E23" w:rsidRPr="00CB4E23" w:rsidRDefault="00CB4E23" w:rsidP="00CB4E23">
          <w:pPr>
            <w:pStyle w:val="TOC2"/>
            <w:tabs>
              <w:tab w:val="right" w:leader="dot" w:pos="9016"/>
            </w:tabs>
            <w:spacing w:line="360" w:lineRule="auto"/>
            <w:jc w:val="both"/>
            <w:rPr>
              <w:rFonts w:ascii="Times New Roman" w:eastAsiaTheme="minorEastAsia" w:hAnsi="Times New Roman" w:cs="Times New Roman"/>
              <w:smallCaps w:val="0"/>
              <w:noProof/>
              <w:sz w:val="24"/>
              <w:szCs w:val="24"/>
              <w:lang w:val="en-US"/>
            </w:rPr>
          </w:pPr>
          <w:hyperlink w:anchor="_Toc213885704" w:history="1">
            <w:r w:rsidRPr="00CB4E23">
              <w:rPr>
                <w:rStyle w:val="Hyperlink"/>
                <w:rFonts w:ascii="Times New Roman" w:hAnsi="Times New Roman" w:cs="Times New Roman"/>
                <w:noProof/>
                <w:sz w:val="24"/>
                <w:szCs w:val="24"/>
              </w:rPr>
              <w:t>3.2 Follower Organisations’ Strategic Responses (500)</w:t>
            </w:r>
            <w:r w:rsidRPr="00CB4E23">
              <w:rPr>
                <w:rFonts w:ascii="Times New Roman" w:hAnsi="Times New Roman" w:cs="Times New Roman"/>
                <w:noProof/>
                <w:webHidden/>
                <w:sz w:val="24"/>
                <w:szCs w:val="24"/>
              </w:rPr>
              <w:tab/>
            </w:r>
            <w:r w:rsidRPr="00CB4E23">
              <w:rPr>
                <w:rFonts w:ascii="Times New Roman" w:hAnsi="Times New Roman" w:cs="Times New Roman"/>
                <w:noProof/>
                <w:webHidden/>
                <w:sz w:val="24"/>
                <w:szCs w:val="24"/>
              </w:rPr>
              <w:fldChar w:fldCharType="begin"/>
            </w:r>
            <w:r w:rsidRPr="00CB4E23">
              <w:rPr>
                <w:rFonts w:ascii="Times New Roman" w:hAnsi="Times New Roman" w:cs="Times New Roman"/>
                <w:noProof/>
                <w:webHidden/>
                <w:sz w:val="24"/>
                <w:szCs w:val="24"/>
              </w:rPr>
              <w:instrText xml:space="preserve"> PAGEREF _Toc213885704 \h </w:instrText>
            </w:r>
            <w:r w:rsidRPr="00CB4E23">
              <w:rPr>
                <w:rFonts w:ascii="Times New Roman" w:hAnsi="Times New Roman" w:cs="Times New Roman"/>
                <w:noProof/>
                <w:webHidden/>
                <w:sz w:val="24"/>
                <w:szCs w:val="24"/>
              </w:rPr>
            </w:r>
            <w:r w:rsidRPr="00CB4E23">
              <w:rPr>
                <w:rFonts w:ascii="Times New Roman" w:hAnsi="Times New Roman" w:cs="Times New Roman"/>
                <w:noProof/>
                <w:webHidden/>
                <w:sz w:val="24"/>
                <w:szCs w:val="24"/>
              </w:rPr>
              <w:fldChar w:fldCharType="separate"/>
            </w:r>
            <w:r w:rsidRPr="00CB4E23">
              <w:rPr>
                <w:rFonts w:ascii="Times New Roman" w:hAnsi="Times New Roman" w:cs="Times New Roman"/>
                <w:noProof/>
                <w:webHidden/>
                <w:sz w:val="24"/>
                <w:szCs w:val="24"/>
              </w:rPr>
              <w:t>8</w:t>
            </w:r>
            <w:r w:rsidRPr="00CB4E23">
              <w:rPr>
                <w:rFonts w:ascii="Times New Roman" w:hAnsi="Times New Roman" w:cs="Times New Roman"/>
                <w:noProof/>
                <w:webHidden/>
                <w:sz w:val="24"/>
                <w:szCs w:val="24"/>
              </w:rPr>
              <w:fldChar w:fldCharType="end"/>
            </w:r>
          </w:hyperlink>
        </w:p>
        <w:p w14:paraId="7DB12B5E" w14:textId="0843F56F" w:rsidR="00CB4E23" w:rsidRPr="00CB4E23" w:rsidRDefault="00CB4E23" w:rsidP="00CB4E23">
          <w:pPr>
            <w:pStyle w:val="TOC1"/>
            <w:tabs>
              <w:tab w:val="right" w:leader="dot" w:pos="9016"/>
            </w:tabs>
            <w:spacing w:line="360" w:lineRule="auto"/>
            <w:jc w:val="both"/>
            <w:rPr>
              <w:rFonts w:ascii="Times New Roman" w:eastAsiaTheme="minorEastAsia" w:hAnsi="Times New Roman" w:cs="Times New Roman"/>
              <w:b w:val="0"/>
              <w:bCs w:val="0"/>
              <w:caps w:val="0"/>
              <w:noProof/>
              <w:sz w:val="24"/>
              <w:szCs w:val="24"/>
              <w:lang w:val="en-US"/>
            </w:rPr>
          </w:pPr>
          <w:hyperlink w:anchor="_Toc213885705" w:history="1">
            <w:r w:rsidRPr="00CB4E23">
              <w:rPr>
                <w:rStyle w:val="Hyperlink"/>
                <w:rFonts w:ascii="Times New Roman" w:hAnsi="Times New Roman" w:cs="Times New Roman"/>
                <w:b w:val="0"/>
                <w:bCs w:val="0"/>
                <w:noProof/>
                <w:sz w:val="24"/>
                <w:szCs w:val="24"/>
              </w:rPr>
              <w:t>4. Conclusion</w:t>
            </w:r>
            <w:r w:rsidRPr="00CB4E23">
              <w:rPr>
                <w:rFonts w:ascii="Times New Roman" w:hAnsi="Times New Roman" w:cs="Times New Roman"/>
                <w:b w:val="0"/>
                <w:bCs w:val="0"/>
                <w:noProof/>
                <w:webHidden/>
                <w:sz w:val="24"/>
                <w:szCs w:val="24"/>
              </w:rPr>
              <w:tab/>
            </w:r>
            <w:r w:rsidRPr="00CB4E23">
              <w:rPr>
                <w:rFonts w:ascii="Times New Roman" w:hAnsi="Times New Roman" w:cs="Times New Roman"/>
                <w:b w:val="0"/>
                <w:bCs w:val="0"/>
                <w:noProof/>
                <w:webHidden/>
                <w:sz w:val="24"/>
                <w:szCs w:val="24"/>
              </w:rPr>
              <w:fldChar w:fldCharType="begin"/>
            </w:r>
            <w:r w:rsidRPr="00CB4E23">
              <w:rPr>
                <w:rFonts w:ascii="Times New Roman" w:hAnsi="Times New Roman" w:cs="Times New Roman"/>
                <w:b w:val="0"/>
                <w:bCs w:val="0"/>
                <w:noProof/>
                <w:webHidden/>
                <w:sz w:val="24"/>
                <w:szCs w:val="24"/>
              </w:rPr>
              <w:instrText xml:space="preserve"> PAGEREF _Toc213885705 \h </w:instrText>
            </w:r>
            <w:r w:rsidRPr="00CB4E23">
              <w:rPr>
                <w:rFonts w:ascii="Times New Roman" w:hAnsi="Times New Roman" w:cs="Times New Roman"/>
                <w:b w:val="0"/>
                <w:bCs w:val="0"/>
                <w:noProof/>
                <w:webHidden/>
                <w:sz w:val="24"/>
                <w:szCs w:val="24"/>
              </w:rPr>
            </w:r>
            <w:r w:rsidRPr="00CB4E23">
              <w:rPr>
                <w:rFonts w:ascii="Times New Roman" w:hAnsi="Times New Roman" w:cs="Times New Roman"/>
                <w:b w:val="0"/>
                <w:bCs w:val="0"/>
                <w:noProof/>
                <w:webHidden/>
                <w:sz w:val="24"/>
                <w:szCs w:val="24"/>
              </w:rPr>
              <w:fldChar w:fldCharType="separate"/>
            </w:r>
            <w:r w:rsidRPr="00CB4E23">
              <w:rPr>
                <w:rFonts w:ascii="Times New Roman" w:hAnsi="Times New Roman" w:cs="Times New Roman"/>
                <w:b w:val="0"/>
                <w:bCs w:val="0"/>
                <w:noProof/>
                <w:webHidden/>
                <w:sz w:val="24"/>
                <w:szCs w:val="24"/>
              </w:rPr>
              <w:t>9</w:t>
            </w:r>
            <w:r w:rsidRPr="00CB4E23">
              <w:rPr>
                <w:rFonts w:ascii="Times New Roman" w:hAnsi="Times New Roman" w:cs="Times New Roman"/>
                <w:b w:val="0"/>
                <w:bCs w:val="0"/>
                <w:noProof/>
                <w:webHidden/>
                <w:sz w:val="24"/>
                <w:szCs w:val="24"/>
              </w:rPr>
              <w:fldChar w:fldCharType="end"/>
            </w:r>
          </w:hyperlink>
        </w:p>
        <w:p w14:paraId="10D9BC53" w14:textId="4562B47D" w:rsidR="00CB4E23" w:rsidRPr="00CB4E23" w:rsidRDefault="00CB4E23" w:rsidP="00CB4E23">
          <w:pPr>
            <w:pStyle w:val="TOC1"/>
            <w:tabs>
              <w:tab w:val="right" w:leader="dot" w:pos="9016"/>
            </w:tabs>
            <w:spacing w:line="360" w:lineRule="auto"/>
            <w:jc w:val="both"/>
            <w:rPr>
              <w:rFonts w:ascii="Times New Roman" w:eastAsiaTheme="minorEastAsia" w:hAnsi="Times New Roman" w:cs="Times New Roman"/>
              <w:b w:val="0"/>
              <w:bCs w:val="0"/>
              <w:caps w:val="0"/>
              <w:noProof/>
              <w:sz w:val="24"/>
              <w:szCs w:val="24"/>
              <w:lang w:val="en-US"/>
            </w:rPr>
          </w:pPr>
          <w:hyperlink w:anchor="_Toc213885706" w:history="1">
            <w:r w:rsidRPr="00CB4E23">
              <w:rPr>
                <w:rStyle w:val="Hyperlink"/>
                <w:rFonts w:ascii="Times New Roman" w:hAnsi="Times New Roman" w:cs="Times New Roman"/>
                <w:b w:val="0"/>
                <w:bCs w:val="0"/>
                <w:noProof/>
                <w:sz w:val="24"/>
                <w:szCs w:val="24"/>
              </w:rPr>
              <w:t>Reference List</w:t>
            </w:r>
            <w:r w:rsidRPr="00CB4E23">
              <w:rPr>
                <w:rFonts w:ascii="Times New Roman" w:hAnsi="Times New Roman" w:cs="Times New Roman"/>
                <w:b w:val="0"/>
                <w:bCs w:val="0"/>
                <w:noProof/>
                <w:webHidden/>
                <w:sz w:val="24"/>
                <w:szCs w:val="24"/>
              </w:rPr>
              <w:tab/>
            </w:r>
            <w:r w:rsidRPr="00CB4E23">
              <w:rPr>
                <w:rFonts w:ascii="Times New Roman" w:hAnsi="Times New Roman" w:cs="Times New Roman"/>
                <w:b w:val="0"/>
                <w:bCs w:val="0"/>
                <w:noProof/>
                <w:webHidden/>
                <w:sz w:val="24"/>
                <w:szCs w:val="24"/>
              </w:rPr>
              <w:fldChar w:fldCharType="begin"/>
            </w:r>
            <w:r w:rsidRPr="00CB4E23">
              <w:rPr>
                <w:rFonts w:ascii="Times New Roman" w:hAnsi="Times New Roman" w:cs="Times New Roman"/>
                <w:b w:val="0"/>
                <w:bCs w:val="0"/>
                <w:noProof/>
                <w:webHidden/>
                <w:sz w:val="24"/>
                <w:szCs w:val="24"/>
              </w:rPr>
              <w:instrText xml:space="preserve"> PAGEREF _Toc213885706 \h </w:instrText>
            </w:r>
            <w:r w:rsidRPr="00CB4E23">
              <w:rPr>
                <w:rFonts w:ascii="Times New Roman" w:hAnsi="Times New Roman" w:cs="Times New Roman"/>
                <w:b w:val="0"/>
                <w:bCs w:val="0"/>
                <w:noProof/>
                <w:webHidden/>
                <w:sz w:val="24"/>
                <w:szCs w:val="24"/>
              </w:rPr>
            </w:r>
            <w:r w:rsidRPr="00CB4E23">
              <w:rPr>
                <w:rFonts w:ascii="Times New Roman" w:hAnsi="Times New Roman" w:cs="Times New Roman"/>
                <w:b w:val="0"/>
                <w:bCs w:val="0"/>
                <w:noProof/>
                <w:webHidden/>
                <w:sz w:val="24"/>
                <w:szCs w:val="24"/>
              </w:rPr>
              <w:fldChar w:fldCharType="separate"/>
            </w:r>
            <w:r w:rsidRPr="00CB4E23">
              <w:rPr>
                <w:rFonts w:ascii="Times New Roman" w:hAnsi="Times New Roman" w:cs="Times New Roman"/>
                <w:b w:val="0"/>
                <w:bCs w:val="0"/>
                <w:noProof/>
                <w:webHidden/>
                <w:sz w:val="24"/>
                <w:szCs w:val="24"/>
              </w:rPr>
              <w:t>11</w:t>
            </w:r>
            <w:r w:rsidRPr="00CB4E23">
              <w:rPr>
                <w:rFonts w:ascii="Times New Roman" w:hAnsi="Times New Roman" w:cs="Times New Roman"/>
                <w:b w:val="0"/>
                <w:bCs w:val="0"/>
                <w:noProof/>
                <w:webHidden/>
                <w:sz w:val="24"/>
                <w:szCs w:val="24"/>
              </w:rPr>
              <w:fldChar w:fldCharType="end"/>
            </w:r>
          </w:hyperlink>
        </w:p>
        <w:p w14:paraId="3D40AD50" w14:textId="76B2EC35" w:rsidR="00CB4E23" w:rsidRDefault="00CB4E23" w:rsidP="00CB4E23">
          <w:pPr>
            <w:spacing w:line="360" w:lineRule="auto"/>
            <w:jc w:val="both"/>
          </w:pPr>
          <w:r w:rsidRPr="00CB4E23">
            <w:rPr>
              <w:rFonts w:ascii="Times New Roman" w:hAnsi="Times New Roman" w:cs="Times New Roman"/>
              <w:noProof/>
            </w:rPr>
            <w:fldChar w:fldCharType="end"/>
          </w:r>
        </w:p>
      </w:sdtContent>
    </w:sdt>
    <w:p w14:paraId="0488882C" w14:textId="77777777" w:rsidR="00CB4E23" w:rsidRDefault="00CB4E23">
      <w:pPr>
        <w:rPr>
          <w:rStyle w:val="Heading1Char"/>
        </w:rPr>
      </w:pPr>
      <w:r>
        <w:rPr>
          <w:rStyle w:val="Heading1Char"/>
          <w:b w:val="0"/>
          <w:bCs w:val="0"/>
        </w:rPr>
        <w:br w:type="page"/>
      </w:r>
    </w:p>
    <w:p w14:paraId="14B123F0" w14:textId="096F0E69" w:rsidR="00DE5D5B" w:rsidRPr="00434358" w:rsidRDefault="00DE5D5B" w:rsidP="00434358">
      <w:pPr>
        <w:pStyle w:val="Heading1"/>
      </w:pPr>
      <w:bookmarkStart w:id="1" w:name="_Toc213885697"/>
      <w:r w:rsidRPr="00434358">
        <w:rPr>
          <w:rStyle w:val="Heading1Char"/>
          <w:b/>
          <w:bCs/>
        </w:rPr>
        <w:lastRenderedPageBreak/>
        <w:t>1. Introduction</w:t>
      </w:r>
      <w:bookmarkEnd w:id="0"/>
      <w:bookmarkEnd w:id="1"/>
    </w:p>
    <w:p w14:paraId="0CF8DF4A" w14:textId="7DC14C11" w:rsidR="004D7CE8" w:rsidRPr="004D7CE8" w:rsidRDefault="004D7CE8" w:rsidP="004D7CE8">
      <w:pPr>
        <w:spacing w:line="360" w:lineRule="auto"/>
        <w:jc w:val="both"/>
        <w:rPr>
          <w:rFonts w:ascii="Times New Roman" w:eastAsiaTheme="majorEastAsia" w:hAnsi="Times New Roman" w:cs="Times New Roman"/>
        </w:rPr>
      </w:pPr>
      <w:r w:rsidRPr="004D7CE8">
        <w:rPr>
          <w:rFonts w:ascii="Times New Roman" w:eastAsiaTheme="majorEastAsia" w:hAnsi="Times New Roman" w:cs="Times New Roman"/>
        </w:rPr>
        <w:t>The aim of the report is to critically comment on the impact of the external environmental factors in determining the strategic marketing management choice in a dynamic and competitive industry environment. It is directed towards the reaction of the organisations and more specifically to the first movers in response to the opportunities and opportunities at macro-level to sustain the growth. The report will determine how the marketing strategies are affected by the macroeconomic, technological, political, and social world based on the use of strategic frameworks, such as PESTEL, Growth Matrix, created by Ansoff, and Generic Strategies outlined by Porter.</w:t>
      </w:r>
    </w:p>
    <w:p w14:paraId="429ABEAC" w14:textId="77777777" w:rsidR="004D7CE8" w:rsidRPr="004D7CE8" w:rsidRDefault="004D7CE8" w:rsidP="004D7CE8">
      <w:pPr>
        <w:spacing w:line="360" w:lineRule="auto"/>
        <w:jc w:val="both"/>
        <w:rPr>
          <w:rFonts w:ascii="Times New Roman" w:eastAsiaTheme="majorEastAsia" w:hAnsi="Times New Roman" w:cs="Times New Roman"/>
        </w:rPr>
      </w:pPr>
      <w:r w:rsidRPr="004D7CE8">
        <w:rPr>
          <w:rFonts w:ascii="Times New Roman" w:eastAsiaTheme="majorEastAsia" w:hAnsi="Times New Roman" w:cs="Times New Roman"/>
        </w:rPr>
        <w:t>Strategic decision-making options involve a macro marketing analysis to aid the firms in predicting external changes that can influence the market demand, the competitive behaviour and the organisational performance. The systematic awareness of the political, economic, social, technological, environmental, legal impact would help the marketer identify both the opening opportunities and the mitigation of threats of the future direction. The environmental scanning helps to be proactive in formulating strategies so that the marketing activities can be aligned with reality beyond the organization and consumer expectations.</w:t>
      </w:r>
    </w:p>
    <w:p w14:paraId="61B9C8FD" w14:textId="4591AD71" w:rsidR="00DE5D5B" w:rsidRPr="00434358" w:rsidRDefault="004D7CE8" w:rsidP="004D7CE8">
      <w:pPr>
        <w:spacing w:line="360" w:lineRule="auto"/>
        <w:jc w:val="both"/>
        <w:rPr>
          <w:rFonts w:ascii="Times New Roman" w:eastAsiaTheme="majorEastAsia" w:hAnsi="Times New Roman" w:cs="Times New Roman"/>
        </w:rPr>
      </w:pPr>
      <w:r w:rsidRPr="004D7CE8">
        <w:rPr>
          <w:rFonts w:ascii="Times New Roman" w:eastAsiaTheme="majorEastAsia" w:hAnsi="Times New Roman" w:cs="Times New Roman"/>
        </w:rPr>
        <w:t>The report will begin with a synopsis of macro marketing environment in terms of PESTEL analysis. It goes on to elaborate and exploit two giant external actors that manipulate the industry. This is followed by the evaluation of the responses of the first-mover companies in relation to these external forces using already established strategic models. The report concludes with the tips of strategic implications on how one should maintain the competitive advantage in constantly changing market environment.</w:t>
      </w:r>
    </w:p>
    <w:p w14:paraId="2F6078B7" w14:textId="71503084" w:rsidR="00DE5D5B" w:rsidRPr="00206788" w:rsidRDefault="00DE5D5B" w:rsidP="00206788">
      <w:pPr>
        <w:pStyle w:val="Heading1"/>
        <w:rPr>
          <w:rStyle w:val="Heading1Char"/>
          <w:b/>
          <w:bCs/>
        </w:rPr>
      </w:pPr>
      <w:bookmarkStart w:id="2" w:name="_Toc211437170"/>
      <w:bookmarkStart w:id="3" w:name="_Toc213885698"/>
      <w:r w:rsidRPr="00206788">
        <w:rPr>
          <w:rStyle w:val="Heading1Char"/>
          <w:b/>
          <w:bCs/>
        </w:rPr>
        <w:t>2. Task 1: Critical Analysis of the Macro Marketing Environment</w:t>
      </w:r>
      <w:bookmarkEnd w:id="2"/>
      <w:bookmarkEnd w:id="3"/>
    </w:p>
    <w:p w14:paraId="7F7CC75E" w14:textId="77777777" w:rsidR="00206788" w:rsidRPr="004D57BC" w:rsidRDefault="00206788" w:rsidP="00206788">
      <w:pPr>
        <w:pStyle w:val="Heading2"/>
      </w:pPr>
      <w:bookmarkStart w:id="4" w:name="_Toc213885699"/>
      <w:bookmarkStart w:id="5" w:name="_Toc211437174"/>
      <w:r w:rsidRPr="004D57BC">
        <w:t>2.1 Overview of the Macro Marketing Environment</w:t>
      </w:r>
      <w:bookmarkEnd w:id="4"/>
    </w:p>
    <w:p w14:paraId="70F96B9D" w14:textId="57861403" w:rsidR="00206788" w:rsidRPr="004D57BC" w:rsidRDefault="00206788" w:rsidP="00206788">
      <w:pPr>
        <w:spacing w:line="360" w:lineRule="auto"/>
        <w:jc w:val="both"/>
        <w:rPr>
          <w:rFonts w:ascii="Times New Roman" w:hAnsi="Times New Roman" w:cs="Times New Roman"/>
          <w:lang w:val="en-US"/>
        </w:rPr>
      </w:pPr>
      <w:r w:rsidRPr="004D57BC">
        <w:rPr>
          <w:rFonts w:ascii="Times New Roman" w:hAnsi="Times New Roman" w:cs="Times New Roman"/>
          <w:lang w:val="en-US"/>
        </w:rPr>
        <w:t>The macro environment refers to the overall external factors on the entire strategy of a market and that of an organisation. These are some of the aspects that the PESTEL model often does not neglect, and which offer opportunities and constraints to the marketers, namely, political, economic, social, technological, environmental, and legal. These dimensions are important since companies can anticipate the change, implement it, and stay competitive with the knowledge of these dimensions</w:t>
      </w:r>
      <w:r w:rsidR="00CB4E23">
        <w:rPr>
          <w:rFonts w:ascii="Times New Roman" w:hAnsi="Times New Roman" w:cs="Times New Roman"/>
          <w:lang w:val="en-US"/>
        </w:rPr>
        <w:t xml:space="preserve"> </w:t>
      </w:r>
      <w:r w:rsidR="00CB4E23" w:rsidRPr="00CB4E23">
        <w:rPr>
          <w:rFonts w:ascii="Times New Roman" w:hAnsi="Times New Roman" w:cs="Times New Roman"/>
          <w:lang w:val="en-US"/>
        </w:rPr>
        <w:t>(Amin and C.H., 2024)</w:t>
      </w:r>
      <w:r w:rsidRPr="004D57BC">
        <w:rPr>
          <w:rFonts w:ascii="Times New Roman" w:hAnsi="Times New Roman" w:cs="Times New Roman"/>
          <w:lang w:val="en-US"/>
        </w:rPr>
        <w:t>.</w:t>
      </w:r>
      <w:r>
        <w:rPr>
          <w:rFonts w:ascii="Times New Roman" w:hAnsi="Times New Roman" w:cs="Times New Roman"/>
          <w:lang w:val="en-US"/>
        </w:rPr>
        <w:t xml:space="preserve"> </w:t>
      </w:r>
      <w:r w:rsidRPr="004D57BC">
        <w:rPr>
          <w:rFonts w:ascii="Times New Roman" w:hAnsi="Times New Roman" w:cs="Times New Roman"/>
          <w:lang w:val="en-US"/>
        </w:rPr>
        <w:t xml:space="preserve">One is that change in technology may alter the total cost of ownership and its resultant value-offer, change in politics and law changes incentives to consumers and compliance costs to manufacturers, change in environmental awareness directly impacts brand equity and consumer behavior and, finally, economic forces determine the affordability and desirability of the target segment. The PESTEL scan is then </w:t>
      </w:r>
      <w:r w:rsidRPr="004D57BC">
        <w:rPr>
          <w:rFonts w:ascii="Times New Roman" w:hAnsi="Times New Roman" w:cs="Times New Roman"/>
          <w:lang w:val="en-US"/>
        </w:rPr>
        <w:lastRenderedPageBreak/>
        <w:t>used to transform the macro indicators to marketing leverage e.g., the business can expedite cheap models, focus on the infrastructure partnership, and reallocate advertisement assets to tales of sustainability.</w:t>
      </w:r>
    </w:p>
    <w:p w14:paraId="2BA259A7" w14:textId="1C5E616A" w:rsidR="00206788" w:rsidRPr="004D57BC" w:rsidRDefault="00206788" w:rsidP="00206788">
      <w:pPr>
        <w:spacing w:line="360" w:lineRule="auto"/>
        <w:jc w:val="both"/>
        <w:rPr>
          <w:rFonts w:ascii="Times New Roman" w:hAnsi="Times New Roman" w:cs="Times New Roman"/>
          <w:lang w:val="en-US"/>
        </w:rPr>
      </w:pPr>
      <w:r w:rsidRPr="004D57BC">
        <w:rPr>
          <w:rFonts w:ascii="Times New Roman" w:hAnsi="Times New Roman" w:cs="Times New Roman"/>
          <w:lang w:val="en-US"/>
        </w:rPr>
        <w:t>One of the examples, technological innovation might be applied to recreate entire industries by providing new production factors, platforms, or point of contact. Any political and legal changes, such as any regulatory changes or trade policies, can alter market access and compliance requirements. Similarly, social and environmental factors influence consumer expectations, and therefore, affect their demand of green/ethical products</w:t>
      </w:r>
      <w:r w:rsidR="00CB4E23">
        <w:rPr>
          <w:rFonts w:ascii="Times New Roman" w:hAnsi="Times New Roman" w:cs="Times New Roman"/>
          <w:lang w:val="en-US"/>
        </w:rPr>
        <w:t xml:space="preserve"> </w:t>
      </w:r>
      <w:r w:rsidR="00CB4E23" w:rsidRPr="00CB4E23">
        <w:rPr>
          <w:rFonts w:ascii="Times New Roman" w:hAnsi="Times New Roman" w:cs="Times New Roman"/>
          <w:lang w:val="en-US"/>
        </w:rPr>
        <w:t>(Anwar and Muis, 2024)</w:t>
      </w:r>
      <w:r w:rsidRPr="004D57BC">
        <w:rPr>
          <w:rFonts w:ascii="Times New Roman" w:hAnsi="Times New Roman" w:cs="Times New Roman"/>
          <w:lang w:val="en-US"/>
        </w:rPr>
        <w:t>.</w:t>
      </w:r>
      <w:r>
        <w:rPr>
          <w:rFonts w:ascii="Times New Roman" w:hAnsi="Times New Roman" w:cs="Times New Roman"/>
          <w:lang w:val="en-US"/>
        </w:rPr>
        <w:t xml:space="preserve"> </w:t>
      </w:r>
      <w:r w:rsidRPr="004D57BC">
        <w:rPr>
          <w:rFonts w:ascii="Times New Roman" w:hAnsi="Times New Roman" w:cs="Times New Roman"/>
          <w:lang w:val="en-US"/>
        </w:rPr>
        <w:t>The organisation can do so through an analysis in a systematic way of all aspects of PESTEL so that it aligns the marketing decisions with the external environment through adjustments of product line ups and pricing, marketing communications and marketing distribution strategies. The PESTEL based scenario analysis helps firms to confront macro uncertainties using strategic resilience</w:t>
      </w:r>
      <w:r w:rsidR="00CB4E23">
        <w:rPr>
          <w:rFonts w:ascii="Times New Roman" w:hAnsi="Times New Roman" w:cs="Times New Roman"/>
          <w:lang w:val="en-US"/>
        </w:rPr>
        <w:t xml:space="preserve"> </w:t>
      </w:r>
      <w:r w:rsidR="00CB4E23" w:rsidRPr="00CB4E23">
        <w:rPr>
          <w:rFonts w:ascii="Times New Roman" w:hAnsi="Times New Roman" w:cs="Times New Roman"/>
          <w:lang w:val="en-US"/>
        </w:rPr>
        <w:t>(Baier et al., 2025)</w:t>
      </w:r>
      <w:r w:rsidRPr="004D57BC">
        <w:rPr>
          <w:rFonts w:ascii="Times New Roman" w:hAnsi="Times New Roman" w:cs="Times New Roman"/>
          <w:lang w:val="en-US"/>
        </w:rPr>
        <w:t>. These evolving industries like electric vehicles (EVs) require that macro trends be constantly observed in order to ensure that the marketing strategy is relevant and it is in touch with the emerging opportunities and threats.</w:t>
      </w:r>
    </w:p>
    <w:p w14:paraId="0E5619A3" w14:textId="1586A366" w:rsidR="00206788" w:rsidRPr="004D57BC" w:rsidRDefault="00206788" w:rsidP="00206788">
      <w:pPr>
        <w:pStyle w:val="Heading2"/>
      </w:pPr>
      <w:bookmarkStart w:id="6" w:name="_Toc213885700"/>
      <w:r w:rsidRPr="004D57BC">
        <w:t>2.2 Selection of Two External Macro Marketing Actor</w:t>
      </w:r>
      <w:r>
        <w:t>s</w:t>
      </w:r>
      <w:bookmarkEnd w:id="6"/>
    </w:p>
    <w:p w14:paraId="18223E03" w14:textId="77777777" w:rsidR="00206788" w:rsidRPr="004D57BC" w:rsidRDefault="00206788" w:rsidP="00206788">
      <w:pPr>
        <w:spacing w:line="360" w:lineRule="auto"/>
        <w:jc w:val="both"/>
        <w:rPr>
          <w:rFonts w:ascii="Times New Roman" w:hAnsi="Times New Roman" w:cs="Times New Roman"/>
          <w:lang w:val="en-US"/>
        </w:rPr>
      </w:pPr>
      <w:r w:rsidRPr="004D57BC">
        <w:rPr>
          <w:rFonts w:ascii="Times New Roman" w:hAnsi="Times New Roman" w:cs="Times New Roman"/>
          <w:lang w:val="en-US"/>
        </w:rPr>
        <w:t>Two external macro actors particularly significant in the electric vehicle industry are Technological and Political/Legal forces.</w:t>
      </w:r>
    </w:p>
    <w:p w14:paraId="74B1AA9D" w14:textId="70F51BB7" w:rsidR="00206788" w:rsidRPr="005E02EA" w:rsidRDefault="00206788" w:rsidP="00206788">
      <w:pPr>
        <w:pStyle w:val="ListParagraph"/>
        <w:numPr>
          <w:ilvl w:val="0"/>
          <w:numId w:val="29"/>
        </w:numPr>
        <w:spacing w:line="360" w:lineRule="auto"/>
        <w:jc w:val="both"/>
        <w:rPr>
          <w:rFonts w:ascii="Times New Roman" w:hAnsi="Times New Roman" w:cs="Times New Roman"/>
          <w:lang w:val="en-US"/>
        </w:rPr>
      </w:pPr>
      <w:r w:rsidRPr="005E02EA">
        <w:rPr>
          <w:rFonts w:ascii="Times New Roman" w:hAnsi="Times New Roman" w:cs="Times New Roman"/>
          <w:lang w:val="en-US"/>
        </w:rPr>
        <w:t>The economics and accessibility of EVs have been altered due to the factor of technology i.e., reduction in battery costs and an increase in charging infrastructure. The economy of scale and chemical aspect of battery have led to a lowering of the production cost which consequently has led to manufacture of models at a cheaper price</w:t>
      </w:r>
      <w:r w:rsidR="00CB4E23">
        <w:rPr>
          <w:rFonts w:ascii="Times New Roman" w:hAnsi="Times New Roman" w:cs="Times New Roman"/>
          <w:lang w:val="en-US"/>
        </w:rPr>
        <w:t xml:space="preserve"> </w:t>
      </w:r>
      <w:r w:rsidR="00CB4E23" w:rsidRPr="00CB4E23">
        <w:rPr>
          <w:rFonts w:ascii="Times New Roman" w:hAnsi="Times New Roman" w:cs="Times New Roman"/>
          <w:lang w:val="en-US"/>
        </w:rPr>
        <w:t>(Bhansali, 2024)</w:t>
      </w:r>
      <w:r w:rsidRPr="005E02EA">
        <w:rPr>
          <w:rFonts w:ascii="Times New Roman" w:hAnsi="Times New Roman" w:cs="Times New Roman"/>
          <w:lang w:val="en-US"/>
        </w:rPr>
        <w:t>. Simultaneously, the size of the range is among the highest barriers to adoption, which has been limited by the growth of the public and private charging networks. Battery pack prices were also bombed (BNEF: under 115 / kWh in 2024), making cars more affordable and enabling new inexpensive models; more chargers of all types were also added publicly at an enormous rate</w:t>
      </w:r>
      <w:r>
        <w:rPr>
          <w:rFonts w:ascii="Times New Roman" w:hAnsi="Times New Roman" w:cs="Times New Roman"/>
          <w:lang w:val="en-US"/>
        </w:rPr>
        <w:t xml:space="preserve">, </w:t>
      </w:r>
      <w:r w:rsidRPr="005E02EA">
        <w:rPr>
          <w:rFonts w:ascii="Times New Roman" w:hAnsi="Times New Roman" w:cs="Times New Roman"/>
          <w:lang w:val="en-US"/>
        </w:rPr>
        <w:t>an increment of over 1.3 million public chargers in 2024 and could therefore be more convenient to use.</w:t>
      </w:r>
    </w:p>
    <w:p w14:paraId="5EEB4BB5" w14:textId="2DFBF3E2" w:rsidR="00206788" w:rsidRPr="005E02EA" w:rsidRDefault="00206788" w:rsidP="00206788">
      <w:pPr>
        <w:pStyle w:val="ListParagraph"/>
        <w:numPr>
          <w:ilvl w:val="0"/>
          <w:numId w:val="29"/>
        </w:numPr>
        <w:spacing w:line="360" w:lineRule="auto"/>
        <w:jc w:val="both"/>
        <w:rPr>
          <w:rFonts w:ascii="Times New Roman" w:hAnsi="Times New Roman" w:cs="Times New Roman"/>
          <w:lang w:val="en-US"/>
        </w:rPr>
      </w:pPr>
      <w:r w:rsidRPr="005E02EA">
        <w:rPr>
          <w:rFonts w:ascii="Times New Roman" w:hAnsi="Times New Roman" w:cs="Times New Roman"/>
          <w:lang w:val="en-US"/>
        </w:rPr>
        <w:t>Political and legislative problems - such as the incentives of the governments, environmental policies and trade policies - are also very potent. The subsidies, the tax credits, and the target emission directly affect the consumer demand and corporate investment</w:t>
      </w:r>
      <w:r w:rsidR="00CB4E23">
        <w:rPr>
          <w:rFonts w:ascii="Times New Roman" w:hAnsi="Times New Roman" w:cs="Times New Roman"/>
          <w:lang w:val="en-US"/>
        </w:rPr>
        <w:t xml:space="preserve"> </w:t>
      </w:r>
      <w:r w:rsidR="00CB4E23" w:rsidRPr="00CB4E23">
        <w:rPr>
          <w:rFonts w:ascii="Times New Roman" w:hAnsi="Times New Roman" w:cs="Times New Roman"/>
          <w:lang w:val="en-US"/>
        </w:rPr>
        <w:t>(Elhajjar, 2024)</w:t>
      </w:r>
      <w:r w:rsidRPr="005E02EA">
        <w:rPr>
          <w:rFonts w:ascii="Times New Roman" w:hAnsi="Times New Roman" w:cs="Times New Roman"/>
          <w:lang w:val="en-US"/>
        </w:rPr>
        <w:t xml:space="preserve">. In markets with good policies the EVs are quicker to adopt; a lack of understanding about policy can, however, put off investment or discover </w:t>
      </w:r>
      <w:r w:rsidRPr="005E02EA">
        <w:rPr>
          <w:rFonts w:ascii="Times New Roman" w:hAnsi="Times New Roman" w:cs="Times New Roman"/>
          <w:lang w:val="en-US"/>
        </w:rPr>
        <w:lastRenderedPageBreak/>
        <w:t xml:space="preserve">supply chains. The regulations of carbon emission and local manufacturing content also govern the product designs, the sourcing, as well as the pricing strategies of the products. </w:t>
      </w:r>
    </w:p>
    <w:p w14:paraId="03C45691" w14:textId="77777777" w:rsidR="00206788" w:rsidRPr="004D57BC" w:rsidRDefault="00206788" w:rsidP="00206788">
      <w:pPr>
        <w:spacing w:line="360" w:lineRule="auto"/>
        <w:jc w:val="both"/>
        <w:rPr>
          <w:rFonts w:ascii="Times New Roman" w:hAnsi="Times New Roman" w:cs="Times New Roman"/>
          <w:lang w:val="en-US"/>
        </w:rPr>
      </w:pPr>
      <w:r w:rsidRPr="005E02EA">
        <w:rPr>
          <w:rFonts w:ascii="Times New Roman" w:hAnsi="Times New Roman" w:cs="Times New Roman"/>
          <w:lang w:val="en-US"/>
        </w:rPr>
        <w:t>Technological and the players, the political/legal ones, together, have the most significant influence over the EV market, which, in turn, introduces the supply-side trend in innovation and the demand-side trend in the adoption of the EVs throughout the global regions. The selected two actors represent the two groups of drivers of supply-side cost/experience (tech) and demand/institutional</w:t>
      </w:r>
      <w:r>
        <w:rPr>
          <w:rFonts w:ascii="Times New Roman" w:hAnsi="Times New Roman" w:cs="Times New Roman"/>
          <w:lang w:val="en-US"/>
        </w:rPr>
        <w:t xml:space="preserve"> </w:t>
      </w:r>
      <w:r w:rsidRPr="005E02EA">
        <w:rPr>
          <w:rFonts w:ascii="Times New Roman" w:hAnsi="Times New Roman" w:cs="Times New Roman"/>
          <w:lang w:val="en-US"/>
        </w:rPr>
        <w:t>drivers that interact to form the near-term market structure and marketing strategy among pioneers and followers.</w:t>
      </w:r>
    </w:p>
    <w:p w14:paraId="1E39BD2A" w14:textId="77777777" w:rsidR="00206788" w:rsidRPr="004D57BC" w:rsidRDefault="00206788" w:rsidP="00206788">
      <w:pPr>
        <w:pStyle w:val="Heading2"/>
      </w:pPr>
      <w:bookmarkStart w:id="7" w:name="_Toc213885701"/>
      <w:r w:rsidRPr="004D57BC">
        <w:t>2.3 Critical Analysis of Each Actor</w:t>
      </w:r>
      <w:bookmarkEnd w:id="7"/>
    </w:p>
    <w:p w14:paraId="281AA87C" w14:textId="77777777" w:rsidR="00206788" w:rsidRPr="00AD11AD" w:rsidRDefault="00206788" w:rsidP="00206788">
      <w:pPr>
        <w:spacing w:line="360" w:lineRule="auto"/>
        <w:jc w:val="both"/>
        <w:rPr>
          <w:rFonts w:ascii="Times New Roman" w:hAnsi="Times New Roman" w:cs="Times New Roman"/>
          <w:b/>
          <w:bCs/>
        </w:rPr>
      </w:pPr>
      <w:r w:rsidRPr="00AD11AD">
        <w:rPr>
          <w:rFonts w:ascii="Times New Roman" w:hAnsi="Times New Roman" w:cs="Times New Roman"/>
          <w:b/>
          <w:bCs/>
        </w:rPr>
        <w:t>A. Technological: Battery Cost Declines &amp; Charging Build-Out</w:t>
      </w:r>
    </w:p>
    <w:p w14:paraId="7A199BE0" w14:textId="77777777" w:rsidR="00CB4E23" w:rsidRDefault="00206788" w:rsidP="00206788">
      <w:pPr>
        <w:spacing w:line="360" w:lineRule="auto"/>
        <w:jc w:val="both"/>
        <w:rPr>
          <w:rFonts w:ascii="Times New Roman" w:hAnsi="Times New Roman" w:cs="Times New Roman"/>
        </w:rPr>
      </w:pPr>
      <w:r w:rsidRPr="00AD11AD">
        <w:rPr>
          <w:rFonts w:ascii="Times New Roman" w:hAnsi="Times New Roman" w:cs="Times New Roman"/>
        </w:rPr>
        <w:t>Technological advancements in the EV industry are changing the competition sector. Newcomer firms such as Tesla and BYD that have vertical production systems and already have a network of charging stations have economies of scale and first-mover advantage</w:t>
      </w:r>
      <w:r w:rsidR="00CB4E23">
        <w:rPr>
          <w:rFonts w:ascii="Times New Roman" w:hAnsi="Times New Roman" w:cs="Times New Roman"/>
        </w:rPr>
        <w:t xml:space="preserve"> </w:t>
      </w:r>
      <w:r w:rsidR="00CB4E23" w:rsidRPr="00CB4E23">
        <w:rPr>
          <w:rFonts w:ascii="Times New Roman" w:hAnsi="Times New Roman" w:cs="Times New Roman"/>
        </w:rPr>
        <w:t>(Hattangadi, 2025)</w:t>
      </w:r>
      <w:r w:rsidRPr="00AD11AD">
        <w:rPr>
          <w:rFonts w:ascii="Times New Roman" w:hAnsi="Times New Roman" w:cs="Times New Roman"/>
        </w:rPr>
        <w:t>. The decreasing prices of the batteries will maximize their earnings and give them the opportunity to introduce cheaper models, and it is difficult to compete with their market leadership</w:t>
      </w:r>
      <w:r w:rsidR="00CB4E23">
        <w:rPr>
          <w:rFonts w:ascii="Times New Roman" w:hAnsi="Times New Roman" w:cs="Times New Roman"/>
        </w:rPr>
        <w:t xml:space="preserve"> </w:t>
      </w:r>
      <w:r w:rsidR="00CB4E23" w:rsidRPr="00CB4E23">
        <w:rPr>
          <w:rFonts w:ascii="Times New Roman" w:hAnsi="Times New Roman" w:cs="Times New Roman"/>
        </w:rPr>
        <w:t>(Vysochan et al., 2025)</w:t>
      </w:r>
      <w:r w:rsidRPr="00AD11AD">
        <w:rPr>
          <w:rFonts w:ascii="Times New Roman" w:hAnsi="Times New Roman" w:cs="Times New Roman"/>
        </w:rPr>
        <w:t xml:space="preserve">. The innovators can also distinguish further with the help of software ecosystem and service offerings which can be utilized to enhance user experience. </w:t>
      </w:r>
    </w:p>
    <w:p w14:paraId="21BE67AD" w14:textId="067B7C81" w:rsidR="00206788" w:rsidRPr="00AD11AD" w:rsidRDefault="00CB4E23" w:rsidP="00206788">
      <w:pPr>
        <w:spacing w:line="360" w:lineRule="auto"/>
        <w:jc w:val="both"/>
        <w:rPr>
          <w:rFonts w:ascii="Times New Roman" w:hAnsi="Times New Roman" w:cs="Times New Roman"/>
        </w:rPr>
      </w:pPr>
      <w:r>
        <w:rPr>
          <w:rFonts w:ascii="Times New Roman" w:hAnsi="Times New Roman" w:cs="Times New Roman"/>
        </w:rPr>
        <w:t>Furthermore, t</w:t>
      </w:r>
      <w:r w:rsidR="00206788" w:rsidRPr="00AD11AD">
        <w:rPr>
          <w:rFonts w:ascii="Times New Roman" w:hAnsi="Times New Roman" w:cs="Times New Roman"/>
        </w:rPr>
        <w:t>his is more difficult for the follower organisations, such as the traditional automotive manufacturing companies that are transitioning to internal combustion engines</w:t>
      </w:r>
      <w:r>
        <w:rPr>
          <w:rFonts w:ascii="Times New Roman" w:hAnsi="Times New Roman" w:cs="Times New Roman"/>
        </w:rPr>
        <w:t xml:space="preserve"> </w:t>
      </w:r>
      <w:r w:rsidRPr="00CB4E23">
        <w:rPr>
          <w:rFonts w:ascii="Times New Roman" w:hAnsi="Times New Roman" w:cs="Times New Roman"/>
        </w:rPr>
        <w:t>(Gnizy, 2025)</w:t>
      </w:r>
      <w:r w:rsidR="00206788" w:rsidRPr="00AD11AD">
        <w:rPr>
          <w:rFonts w:ascii="Times New Roman" w:hAnsi="Times New Roman" w:cs="Times New Roman"/>
        </w:rPr>
        <w:t>. As a way of remaining competitive, they must borrow at high speed on supply contracts, form an alliance with battery companies and form charging partnerships within a short span. Despite the avenues that have opened to venture into the market because of the reduced cost of technology, price rivalry and sidelining of profitability have escalated. First movers should rank innovation as a brand equity source and ecosystem build versus fast-to-market, partnerships, and modular design even in the plans of the followers as a reduction of risk and capital intensity strategy.</w:t>
      </w:r>
    </w:p>
    <w:p w14:paraId="209C2E64" w14:textId="77777777" w:rsidR="00206788" w:rsidRPr="00AD11AD" w:rsidRDefault="00206788" w:rsidP="00206788">
      <w:pPr>
        <w:spacing w:line="360" w:lineRule="auto"/>
        <w:jc w:val="both"/>
        <w:rPr>
          <w:rFonts w:ascii="Times New Roman" w:hAnsi="Times New Roman" w:cs="Times New Roman"/>
          <w:b/>
          <w:bCs/>
        </w:rPr>
      </w:pPr>
      <w:r w:rsidRPr="00AD11AD">
        <w:rPr>
          <w:rFonts w:ascii="Times New Roman" w:hAnsi="Times New Roman" w:cs="Times New Roman"/>
          <w:b/>
          <w:bCs/>
        </w:rPr>
        <w:t>B. Political/Legal: Subsidies, Tax Credits, Emissions Regulation</w:t>
      </w:r>
    </w:p>
    <w:p w14:paraId="32D8D9B9" w14:textId="3177E59A" w:rsidR="00434358" w:rsidRPr="00206788" w:rsidRDefault="00206788" w:rsidP="00434358">
      <w:pPr>
        <w:spacing w:line="360" w:lineRule="auto"/>
        <w:jc w:val="both"/>
        <w:rPr>
          <w:rFonts w:ascii="Times New Roman" w:hAnsi="Times New Roman" w:cs="Times New Roman"/>
        </w:rPr>
      </w:pPr>
      <w:r w:rsidRPr="00AD11AD">
        <w:rPr>
          <w:rFonts w:ascii="Times New Roman" w:hAnsi="Times New Roman" w:cs="Times New Roman"/>
        </w:rPr>
        <w:t xml:space="preserve">Political and legal frameworks affect the market demand and the market strategy. Government incentives and environmental regulations normally work well with EV companies, and they benefit in three aspects: tax credit, compliance benefits, and reputational capital; as industry leader in sustainability. They are the first to conform their standards to low emission and this gives them an opportunity to be involved in policy making and ensures they get a long-term </w:t>
      </w:r>
      <w:r w:rsidRPr="00AD11AD">
        <w:rPr>
          <w:rFonts w:ascii="Times New Roman" w:hAnsi="Times New Roman" w:cs="Times New Roman"/>
        </w:rPr>
        <w:lastRenderedPageBreak/>
        <w:t>contract or subsidy</w:t>
      </w:r>
      <w:r w:rsidR="00CB4E23">
        <w:rPr>
          <w:rFonts w:ascii="Times New Roman" w:hAnsi="Times New Roman" w:cs="Times New Roman"/>
        </w:rPr>
        <w:t xml:space="preserve"> </w:t>
      </w:r>
      <w:r w:rsidR="00CB4E23" w:rsidRPr="00CB4E23">
        <w:rPr>
          <w:rFonts w:ascii="Times New Roman" w:hAnsi="Times New Roman" w:cs="Times New Roman"/>
        </w:rPr>
        <w:t>(Maśloch and Orłowska, 2024)</w:t>
      </w:r>
      <w:r w:rsidRPr="00AD11AD">
        <w:rPr>
          <w:rFonts w:ascii="Times New Roman" w:hAnsi="Times New Roman" w:cs="Times New Roman"/>
        </w:rPr>
        <w:t>. The corresponding follower firms on the other hand are oftentimes faced with the burden of regulation to accelerate the electrification process and must invest heavily to meet the emission quotas. Planning and pricing affected are the subject of uncertainty due to the complexity of the policies and the shifted incentive</w:t>
      </w:r>
      <w:r w:rsidR="00CB4E23">
        <w:rPr>
          <w:rFonts w:ascii="Times New Roman" w:hAnsi="Times New Roman" w:cs="Times New Roman"/>
        </w:rPr>
        <w:t xml:space="preserve"> </w:t>
      </w:r>
      <w:r w:rsidR="00CB4E23" w:rsidRPr="00CB4E23">
        <w:rPr>
          <w:rFonts w:ascii="Times New Roman" w:hAnsi="Times New Roman" w:cs="Times New Roman"/>
        </w:rPr>
        <w:t>(Mogaji, 2025)</w:t>
      </w:r>
      <w:r w:rsidRPr="00AD11AD">
        <w:rPr>
          <w:rFonts w:ascii="Times New Roman" w:hAnsi="Times New Roman" w:cs="Times New Roman"/>
        </w:rPr>
        <w:t>. The pioneers are still being urged to be proactive in working with the policy makers and decentralize the production to make certain that they are still qualified to receive incentives. The followers should adopt collaborative ventures, phase electrification, and reducing the cost of compliance as the way out to minimize the volatility of policy creating hybrid solutions.</w:t>
      </w:r>
      <w:r w:rsidRPr="00AD11AD">
        <w:t xml:space="preserve"> </w:t>
      </w:r>
      <w:r w:rsidRPr="00AD11AD">
        <w:rPr>
          <w:rFonts w:ascii="Times New Roman" w:hAnsi="Times New Roman" w:cs="Times New Roman"/>
        </w:rPr>
        <w:t>All in all, competitive advantage in the EV industry is defined by technological innovation and political regulation in collaboration, which favours adaptability, innovation, and proactive strategic alignment.</w:t>
      </w:r>
    </w:p>
    <w:p w14:paraId="79A80A99" w14:textId="22865233" w:rsidR="00DE5D5B" w:rsidRPr="00434358" w:rsidRDefault="00DE5D5B" w:rsidP="00434358">
      <w:pPr>
        <w:pStyle w:val="Heading1"/>
        <w:rPr>
          <w:rStyle w:val="Heading1Char"/>
          <w:color w:val="auto"/>
        </w:rPr>
      </w:pPr>
      <w:bookmarkStart w:id="8" w:name="_Toc213885702"/>
      <w:r w:rsidRPr="00434358">
        <w:rPr>
          <w:rStyle w:val="Heading1Char"/>
          <w:b/>
          <w:bCs/>
        </w:rPr>
        <w:t>3. Task 2: Strategic Responses of Pioneering and Follower Organisations (</w:t>
      </w:r>
      <w:r w:rsidR="00434358">
        <w:rPr>
          <w:rStyle w:val="Heading1Char"/>
          <w:b/>
          <w:bCs/>
        </w:rPr>
        <w:t>1</w:t>
      </w:r>
      <w:r w:rsidRPr="00434358">
        <w:rPr>
          <w:rStyle w:val="Heading1Char"/>
          <w:b/>
          <w:bCs/>
        </w:rPr>
        <w:t>,000 words)</w:t>
      </w:r>
      <w:bookmarkEnd w:id="5"/>
      <w:bookmarkEnd w:id="8"/>
    </w:p>
    <w:p w14:paraId="3EC8095B" w14:textId="09E7CF75" w:rsidR="00DE5D5B" w:rsidRPr="00434358" w:rsidRDefault="00DE5D5B" w:rsidP="00206788">
      <w:pPr>
        <w:pStyle w:val="Heading2"/>
      </w:pPr>
      <w:bookmarkStart w:id="9" w:name="_Toc211437175"/>
      <w:bookmarkStart w:id="10" w:name="_Toc213885703"/>
      <w:r w:rsidRPr="00434358">
        <w:t>3.1 Pioneering Organisations’ Strategic Responses</w:t>
      </w:r>
      <w:bookmarkEnd w:id="9"/>
      <w:r w:rsidR="00434358">
        <w:t xml:space="preserve"> (500)</w:t>
      </w:r>
      <w:bookmarkEnd w:id="10"/>
    </w:p>
    <w:p w14:paraId="3891DD14" w14:textId="77777777" w:rsidR="004D7CE8" w:rsidRPr="002954DB" w:rsidRDefault="004D7CE8" w:rsidP="004D7CE8">
      <w:pPr>
        <w:spacing w:line="360" w:lineRule="auto"/>
        <w:jc w:val="both"/>
        <w:rPr>
          <w:rFonts w:ascii="Times New Roman" w:hAnsi="Times New Roman" w:cs="Times New Roman"/>
          <w:b/>
          <w:bCs/>
        </w:rPr>
      </w:pPr>
      <w:r w:rsidRPr="002954DB">
        <w:rPr>
          <w:rFonts w:ascii="Times New Roman" w:hAnsi="Times New Roman" w:cs="Times New Roman"/>
          <w:b/>
          <w:bCs/>
        </w:rPr>
        <w:t>Pioneering Firms and Strategic Adaptation to External Challenge</w:t>
      </w:r>
    </w:p>
    <w:p w14:paraId="4EDB0B2D" w14:textId="12764B61" w:rsidR="004D7CE8" w:rsidRPr="002954DB" w:rsidRDefault="004D7CE8" w:rsidP="004D7CE8">
      <w:pPr>
        <w:spacing w:line="360" w:lineRule="auto"/>
        <w:jc w:val="both"/>
        <w:rPr>
          <w:rFonts w:ascii="Times New Roman" w:hAnsi="Times New Roman" w:cs="Times New Roman"/>
        </w:rPr>
      </w:pPr>
      <w:r w:rsidRPr="002954DB">
        <w:rPr>
          <w:rFonts w:ascii="Times New Roman" w:hAnsi="Times New Roman" w:cs="Times New Roman"/>
        </w:rPr>
        <w:t>Largest companies - those who are innovative or those who are known to bring new positions in the marketplace must continually progress under outside factors that can be technological revolution, governmental shifts and client requirements. Their capabilities to remain strategy agile, typically characterize their performance in preserving their first-mover edge, or how they forfeit it to their rapid-following collaborators</w:t>
      </w:r>
      <w:r w:rsidR="00CB4E23">
        <w:rPr>
          <w:rFonts w:ascii="Times New Roman" w:hAnsi="Times New Roman" w:cs="Times New Roman"/>
        </w:rPr>
        <w:t xml:space="preserve"> </w:t>
      </w:r>
      <w:r w:rsidR="00CB4E23" w:rsidRPr="00CB4E23">
        <w:rPr>
          <w:rFonts w:ascii="Times New Roman" w:hAnsi="Times New Roman" w:cs="Times New Roman"/>
        </w:rPr>
        <w:t>(Patil and Patil, 2025)</w:t>
      </w:r>
      <w:r w:rsidRPr="002954DB">
        <w:rPr>
          <w:rFonts w:ascii="Times New Roman" w:hAnsi="Times New Roman" w:cs="Times New Roman"/>
        </w:rPr>
        <w:t>. Through proactive screening of the macro condition, the pioneers would be able to anticipate threats at an earlier stage hence will be able to rebuild the industry norms rather than react. As an example, Tesla has taken as the continually emerging regulatory challenges and environmental concerns as a chance to further the use of electric vehicle (EV). Tesla has made the problem of competing with a compliance tool a competitive edge. Similarly, the fact that Apple can implement new policies and supply chain crises with a lot of ease can be applied to show how the innovators can utilize strategic foresight to mitigate risks and downplay brand trust in volatile scenarios.</w:t>
      </w:r>
    </w:p>
    <w:p w14:paraId="44489F0E" w14:textId="77777777" w:rsidR="004D7CE8" w:rsidRPr="002954DB" w:rsidRDefault="004D7CE8" w:rsidP="004D7CE8">
      <w:pPr>
        <w:spacing w:line="360" w:lineRule="auto"/>
        <w:jc w:val="both"/>
        <w:rPr>
          <w:rFonts w:ascii="Times New Roman" w:hAnsi="Times New Roman" w:cs="Times New Roman"/>
          <w:b/>
          <w:bCs/>
        </w:rPr>
      </w:pPr>
      <w:r w:rsidRPr="002954DB">
        <w:rPr>
          <w:rFonts w:ascii="Times New Roman" w:hAnsi="Times New Roman" w:cs="Times New Roman"/>
          <w:b/>
          <w:bCs/>
        </w:rPr>
        <w:t>Application of Ansoff’s Growth Matrix</w:t>
      </w:r>
    </w:p>
    <w:p w14:paraId="310AB088" w14:textId="32106686" w:rsidR="004D7CE8" w:rsidRPr="002954DB" w:rsidRDefault="004D7CE8" w:rsidP="004D7CE8">
      <w:pPr>
        <w:spacing w:line="360" w:lineRule="auto"/>
        <w:jc w:val="both"/>
        <w:rPr>
          <w:rFonts w:ascii="Times New Roman" w:hAnsi="Times New Roman" w:cs="Times New Roman"/>
        </w:rPr>
      </w:pPr>
      <w:r w:rsidRPr="002954DB">
        <w:rPr>
          <w:rFonts w:ascii="Times New Roman" w:hAnsi="Times New Roman" w:cs="Times New Roman"/>
        </w:rPr>
        <w:t>The Growth Matrix that was created by Ansoff may prove useful in the evaluation of the way innovating companies exploit opportunities and address threats. Some are trying to penetrate the market through improved customer loyalty and expansion of market share within the already possessed segments generally through technology differentiation. Netflix is a good example and always upgrades its recommendation machine and pricing methods to increase the interactivity levels of the mature markets</w:t>
      </w:r>
      <w:r w:rsidR="00CB4E23">
        <w:rPr>
          <w:rFonts w:ascii="Times New Roman" w:hAnsi="Times New Roman" w:cs="Times New Roman"/>
        </w:rPr>
        <w:t xml:space="preserve"> </w:t>
      </w:r>
      <w:r w:rsidR="00CB4E23" w:rsidRPr="00CB4E23">
        <w:rPr>
          <w:rFonts w:ascii="Times New Roman" w:hAnsi="Times New Roman" w:cs="Times New Roman"/>
        </w:rPr>
        <w:t>(Polyakova et al., 2025)</w:t>
      </w:r>
      <w:r w:rsidRPr="002954DB">
        <w:rPr>
          <w:rFonts w:ascii="Times New Roman" w:hAnsi="Times New Roman" w:cs="Times New Roman"/>
        </w:rPr>
        <w:t xml:space="preserve">. The other trend is product development: one of the clearest instances of how pioneers can develop to make some </w:t>
      </w:r>
      <w:r w:rsidRPr="002954DB">
        <w:rPr>
          <w:rFonts w:ascii="Times New Roman" w:hAnsi="Times New Roman" w:cs="Times New Roman"/>
        </w:rPr>
        <w:lastRenderedPageBreak/>
        <w:t>of their core competencies more attractive is the change of the Model S to mass-market products such as the Model 3 and Cybertruck. Globalisation of companies like BYD can be regarded as a market development strategy via employment of cost-efficient production to grow in new markets. Finally, diversification like Amazon, moving to cloud computing, allows pioneers to risk allocation and receive a new revenue stream.</w:t>
      </w:r>
    </w:p>
    <w:p w14:paraId="02232016" w14:textId="77777777" w:rsidR="004D7CE8" w:rsidRPr="002954DB" w:rsidRDefault="004D7CE8" w:rsidP="004D7CE8">
      <w:pPr>
        <w:spacing w:line="360" w:lineRule="auto"/>
        <w:jc w:val="both"/>
        <w:rPr>
          <w:rFonts w:ascii="Times New Roman" w:hAnsi="Times New Roman" w:cs="Times New Roman"/>
          <w:b/>
          <w:bCs/>
        </w:rPr>
      </w:pPr>
      <w:r w:rsidRPr="002954DB">
        <w:rPr>
          <w:rFonts w:ascii="Times New Roman" w:hAnsi="Times New Roman" w:cs="Times New Roman"/>
          <w:b/>
          <w:bCs/>
        </w:rPr>
        <w:t>Porter’s Generic Strategies and Sustained Advantage</w:t>
      </w:r>
    </w:p>
    <w:p w14:paraId="461615C3" w14:textId="2C2B1FBE" w:rsidR="00DE5D5B" w:rsidRPr="004D7CE8" w:rsidRDefault="004D7CE8" w:rsidP="00434358">
      <w:pPr>
        <w:spacing w:line="360" w:lineRule="auto"/>
        <w:jc w:val="both"/>
        <w:rPr>
          <w:rFonts w:ascii="Times New Roman" w:hAnsi="Times New Roman" w:cs="Times New Roman"/>
        </w:rPr>
      </w:pPr>
      <w:r w:rsidRPr="002954DB">
        <w:rPr>
          <w:rFonts w:ascii="Times New Roman" w:hAnsi="Times New Roman" w:cs="Times New Roman"/>
        </w:rPr>
        <w:t>The Porters Generic Strategies, cost leadership, differentiation and focus also expound the reaction of pioneers on the external pressures. The differentiation is a trend pursued by the successful pioneers, who present unique value propositions, which their competitors find difficult to compete with</w:t>
      </w:r>
      <w:r w:rsidR="00CB4E23">
        <w:rPr>
          <w:rFonts w:ascii="Times New Roman" w:hAnsi="Times New Roman" w:cs="Times New Roman"/>
        </w:rPr>
        <w:t xml:space="preserve"> </w:t>
      </w:r>
      <w:r w:rsidR="00CB4E23" w:rsidRPr="00CB4E23">
        <w:rPr>
          <w:rFonts w:ascii="Times New Roman" w:hAnsi="Times New Roman" w:cs="Times New Roman"/>
        </w:rPr>
        <w:t>(Pysarenko et al., 2024)</w:t>
      </w:r>
      <w:r w:rsidRPr="002954DB">
        <w:rPr>
          <w:rFonts w:ascii="Times New Roman" w:hAnsi="Times New Roman" w:cs="Times New Roman"/>
        </w:rPr>
        <w:t xml:space="preserve">. An example is that Tesla is integrated to the holistic experience that does not compete in price because of its software, performance, and sustainability. On the other hand, companies like BYD and Xiaomi have a hybridized solution to the problem of cost leadership and technological efficiency, implying the high technology but cheap propositions that are well-received by the new markets. Focus strategy is being employed by other innovators, such as Rivian, with an eye on market segments e.g. electric adventure cars to avoid direct competition. The significant battle is the one-off seeing that differentiation is maintained as the market grows and imitation increases. The innovation cycles must be sustained; brand equity must be invested in and vertical supply chains owned must be owned to protect the margins. </w:t>
      </w:r>
      <w:r w:rsidR="00DE5D5B" w:rsidRPr="00434358">
        <w:rPr>
          <w:rFonts w:ascii="Times New Roman" w:eastAsiaTheme="majorEastAsia" w:hAnsi="Times New Roman" w:cs="Times New Roman"/>
        </w:rPr>
        <w:t> </w:t>
      </w:r>
    </w:p>
    <w:p w14:paraId="584DB314" w14:textId="4CC7703C" w:rsidR="00DE5D5B" w:rsidRPr="00434358" w:rsidRDefault="00DE5D5B" w:rsidP="00206788">
      <w:pPr>
        <w:pStyle w:val="Heading2"/>
      </w:pPr>
      <w:bookmarkStart w:id="11" w:name="_Toc211437176"/>
      <w:bookmarkStart w:id="12" w:name="_Toc213885704"/>
      <w:r w:rsidRPr="00434358">
        <w:t>3.</w:t>
      </w:r>
      <w:r w:rsidR="00434358">
        <w:t>2</w:t>
      </w:r>
      <w:r w:rsidRPr="00434358">
        <w:t xml:space="preserve"> Follower Organisations’ Strategic Responses</w:t>
      </w:r>
      <w:bookmarkEnd w:id="11"/>
      <w:r w:rsidR="00434358">
        <w:t xml:space="preserve"> (500)</w:t>
      </w:r>
      <w:bookmarkEnd w:id="12"/>
    </w:p>
    <w:p w14:paraId="43CE245E" w14:textId="77777777" w:rsidR="004D7CE8" w:rsidRPr="002954DB" w:rsidRDefault="004D7CE8" w:rsidP="004D7CE8">
      <w:pPr>
        <w:spacing w:line="360" w:lineRule="auto"/>
        <w:jc w:val="both"/>
        <w:rPr>
          <w:rFonts w:ascii="Times New Roman" w:hAnsi="Times New Roman" w:cs="Times New Roman"/>
          <w:b/>
          <w:bCs/>
        </w:rPr>
      </w:pPr>
      <w:bookmarkStart w:id="13" w:name="_Toc211437177"/>
      <w:r w:rsidRPr="002954DB">
        <w:rPr>
          <w:rFonts w:ascii="Times New Roman" w:hAnsi="Times New Roman" w:cs="Times New Roman"/>
          <w:b/>
          <w:bCs/>
        </w:rPr>
        <w:t>Strategic Adaptation of Pioneering Firms to External Forces</w:t>
      </w:r>
    </w:p>
    <w:p w14:paraId="56561093" w14:textId="5AE38258" w:rsidR="004D7CE8" w:rsidRPr="002954DB" w:rsidRDefault="004D7CE8" w:rsidP="004D7CE8">
      <w:pPr>
        <w:spacing w:line="360" w:lineRule="auto"/>
        <w:jc w:val="both"/>
        <w:rPr>
          <w:rFonts w:ascii="Times New Roman" w:hAnsi="Times New Roman" w:cs="Times New Roman"/>
        </w:rPr>
      </w:pPr>
      <w:r w:rsidRPr="002954DB">
        <w:rPr>
          <w:rFonts w:ascii="Times New Roman" w:hAnsi="Times New Roman" w:cs="Times New Roman"/>
        </w:rPr>
        <w:t>The first movers are on the frontline of the innovativeness and can make a whole new market or re-invent the existing market. Their success is pegged on the creative manner in which they react to the externalities such as the changing of regulations, technological explosions and evolving consumer needs. They are protective organisations that do not conduct themselves in response but offensive otherwise</w:t>
      </w:r>
      <w:r w:rsidR="00CB4E23">
        <w:rPr>
          <w:rFonts w:ascii="Times New Roman" w:hAnsi="Times New Roman" w:cs="Times New Roman"/>
        </w:rPr>
        <w:t xml:space="preserve"> </w:t>
      </w:r>
      <w:r w:rsidR="00CB4E23" w:rsidRPr="00CB4E23">
        <w:rPr>
          <w:rFonts w:ascii="Times New Roman" w:hAnsi="Times New Roman" w:cs="Times New Roman"/>
        </w:rPr>
        <w:t>(Štefanová, 2025)</w:t>
      </w:r>
      <w:r w:rsidRPr="002954DB">
        <w:rPr>
          <w:rFonts w:ascii="Times New Roman" w:hAnsi="Times New Roman" w:cs="Times New Roman"/>
        </w:rPr>
        <w:t xml:space="preserve">. In fact, Tesla has managed to capitalize on the capacity of the environment to reduce carbon emissions regarding the environmental requirement to decarbonize the environment through making Tesla the image of sustainable movement. Apple based on the same idea takes the constantly shifting direction of technology and social trends as the support to privacy and user experience to reinforce its premium positioning. The pioneers do so since they are almost bound to implement learning orientation whereby their comments on the unkind-evolving macro environments are utilized to create innovation pipelines and brand tales. </w:t>
      </w:r>
    </w:p>
    <w:p w14:paraId="3EC6BCDB" w14:textId="77777777" w:rsidR="004D7CE8" w:rsidRPr="002954DB" w:rsidRDefault="004D7CE8" w:rsidP="004D7CE8">
      <w:pPr>
        <w:spacing w:line="360" w:lineRule="auto"/>
        <w:jc w:val="both"/>
        <w:rPr>
          <w:rFonts w:ascii="Times New Roman" w:hAnsi="Times New Roman" w:cs="Times New Roman"/>
          <w:b/>
          <w:bCs/>
        </w:rPr>
      </w:pPr>
      <w:r w:rsidRPr="002954DB">
        <w:rPr>
          <w:rFonts w:ascii="Times New Roman" w:hAnsi="Times New Roman" w:cs="Times New Roman"/>
          <w:b/>
          <w:bCs/>
        </w:rPr>
        <w:t>Strategic Growth Through Ansoff’s Matrix</w:t>
      </w:r>
    </w:p>
    <w:p w14:paraId="6947F526" w14:textId="2250E69C" w:rsidR="004D7CE8" w:rsidRPr="002954DB" w:rsidRDefault="004D7CE8" w:rsidP="004D7CE8">
      <w:pPr>
        <w:spacing w:line="360" w:lineRule="auto"/>
        <w:jc w:val="both"/>
        <w:rPr>
          <w:rFonts w:ascii="Times New Roman" w:hAnsi="Times New Roman" w:cs="Times New Roman"/>
        </w:rPr>
      </w:pPr>
      <w:r w:rsidRPr="002954DB">
        <w:rPr>
          <w:rFonts w:ascii="Times New Roman" w:hAnsi="Times New Roman" w:cs="Times New Roman"/>
        </w:rPr>
        <w:lastRenderedPageBreak/>
        <w:t>The Ansoff Growth Matrix offers a methodological framework in terms of which the pioneers can be analyzed in terms of how they capitalize opportunities in the marketplace and products. Novelists will be enabled to achieve leadership in retention of customers, incremental innovation based on market penetration: e.g. Netflix may gain more interest by the identified markets through personalised content and the tiered subscriptions</w:t>
      </w:r>
      <w:r w:rsidR="00CB4E23">
        <w:rPr>
          <w:rFonts w:ascii="Times New Roman" w:hAnsi="Times New Roman" w:cs="Times New Roman"/>
        </w:rPr>
        <w:t xml:space="preserve"> </w:t>
      </w:r>
      <w:r w:rsidR="00CB4E23" w:rsidRPr="00CB4E23">
        <w:rPr>
          <w:rFonts w:ascii="Times New Roman" w:hAnsi="Times New Roman" w:cs="Times New Roman"/>
        </w:rPr>
        <w:t>(Tasaddi Kari and Zadeh Layegh, 2025)</w:t>
      </w:r>
      <w:r w:rsidRPr="002954DB">
        <w:rPr>
          <w:rFonts w:ascii="Times New Roman" w:hAnsi="Times New Roman" w:cs="Times New Roman"/>
        </w:rPr>
        <w:t xml:space="preserve">. Pioneers use the large market strategy of product formation, and this is seen through development of the Tesla battery wherein the Roadster forms the beginning of marketable models that build a competitive edge around its core product battery and software technology. Market development is possible when the innovators can diffuse the already prevailing models in the new markets, like BYD exiting China and going to Europe. And lastly, diversification allows innovators to not rely on core products, which is clear in the example of Amazon, which has not become an online store but cloud computing and logistics in the sense that they created new growth avenues founded on diversification. </w:t>
      </w:r>
    </w:p>
    <w:p w14:paraId="0894999C" w14:textId="77777777" w:rsidR="004D7CE8" w:rsidRPr="002954DB" w:rsidRDefault="004D7CE8" w:rsidP="004D7CE8">
      <w:pPr>
        <w:spacing w:line="360" w:lineRule="auto"/>
        <w:jc w:val="both"/>
        <w:rPr>
          <w:rFonts w:ascii="Times New Roman" w:hAnsi="Times New Roman" w:cs="Times New Roman"/>
          <w:b/>
          <w:bCs/>
        </w:rPr>
      </w:pPr>
      <w:r w:rsidRPr="002954DB">
        <w:rPr>
          <w:rFonts w:ascii="Times New Roman" w:hAnsi="Times New Roman" w:cs="Times New Roman"/>
          <w:b/>
          <w:bCs/>
        </w:rPr>
        <w:t>Competitive Positioning Through Porter’s Generic Strategies</w:t>
      </w:r>
    </w:p>
    <w:p w14:paraId="305B90C8" w14:textId="4CE7C255" w:rsidR="004D7CE8" w:rsidRPr="004D7CE8" w:rsidRDefault="004D7CE8" w:rsidP="004D7CE8">
      <w:pPr>
        <w:spacing w:line="360" w:lineRule="auto"/>
        <w:jc w:val="both"/>
        <w:rPr>
          <w:rFonts w:ascii="Times New Roman" w:hAnsi="Times New Roman" w:cs="Times New Roman"/>
        </w:rPr>
      </w:pPr>
      <w:r w:rsidRPr="002954DB">
        <w:rPr>
          <w:rFonts w:ascii="Times New Roman" w:hAnsi="Times New Roman" w:cs="Times New Roman"/>
        </w:rPr>
        <w:t>The Porters Generic Strategies have equally enhanced the notion of how first mover firms could be advantaged in a situation that is externalised. The prevailing direction is differentiation where innovators use innovation, design, and brand name to justify the high price definition since the system integration has become the shining example of Apple. Others also use scale and efficiency cost leadership as seen in case of BYD with vertical integration that reduces the cost of production and increases the price competition level</w:t>
      </w:r>
      <w:r w:rsidR="00CB4E23">
        <w:rPr>
          <w:rFonts w:ascii="Times New Roman" w:hAnsi="Times New Roman" w:cs="Times New Roman"/>
        </w:rPr>
        <w:t xml:space="preserve"> </w:t>
      </w:r>
      <w:r w:rsidR="00CB4E23" w:rsidRPr="00CB4E23">
        <w:rPr>
          <w:rFonts w:ascii="Times New Roman" w:hAnsi="Times New Roman" w:cs="Times New Roman"/>
        </w:rPr>
        <w:t>(Thierman, 2025)</w:t>
      </w:r>
      <w:r w:rsidRPr="002954DB">
        <w:rPr>
          <w:rFonts w:ascii="Times New Roman" w:hAnsi="Times New Roman" w:cs="Times New Roman"/>
        </w:rPr>
        <w:t xml:space="preserve">. The focus strategy is also effective in situations where pioneers will serve each to the respective markets as is being done by Rivian, which is targeting the electric adventure cars. To remain on the top, they require further investment that is innovative and is operational excellence. The imitation is growing, and the markets are near maturation hence pioneers should not suffer strategic drift, and this is what pushes them to consider differentiation in addition to efficiency. </w:t>
      </w:r>
    </w:p>
    <w:p w14:paraId="08D9FCE9" w14:textId="65C95DF3" w:rsidR="00DE5D5B" w:rsidRDefault="00DE5D5B" w:rsidP="00434358">
      <w:pPr>
        <w:pStyle w:val="Heading1"/>
      </w:pPr>
      <w:bookmarkStart w:id="14" w:name="_Toc213885705"/>
      <w:r w:rsidRPr="00434358">
        <w:t>4. Conclusion</w:t>
      </w:r>
      <w:bookmarkEnd w:id="14"/>
      <w:r w:rsidRPr="00434358">
        <w:t xml:space="preserve"> </w:t>
      </w:r>
      <w:bookmarkEnd w:id="13"/>
    </w:p>
    <w:p w14:paraId="351069C7" w14:textId="77777777" w:rsidR="004D7CE8" w:rsidRPr="004D7CE8" w:rsidRDefault="004D7CE8" w:rsidP="004D7CE8">
      <w:pPr>
        <w:spacing w:line="360" w:lineRule="auto"/>
        <w:jc w:val="both"/>
        <w:rPr>
          <w:rFonts w:ascii="Times New Roman" w:hAnsi="Times New Roman" w:cs="Times New Roman"/>
        </w:rPr>
      </w:pPr>
      <w:r w:rsidRPr="004D7CE8">
        <w:rPr>
          <w:rFonts w:ascii="Times New Roman" w:hAnsi="Times New Roman" w:cs="Times New Roman"/>
        </w:rPr>
        <w:t>As has been highlighted in the discussion, macro marketing environment is a final determiner of organisational strategy and performance. The technological innovation and political/legal regulation are the most visible external players on the electric vehicle market that resulted in alterations to the production efficiency, cost structures, and consumer adoption. It has happened that the first movers such as Tesla and BYD had leveraged such changes by taking the lead through an aggressive innovation, strategic alliance and brand positioning strategy, but the follow up companies are facing more challenges on their capability to adapt to the dynamic technological and regulatory changes.</w:t>
      </w:r>
    </w:p>
    <w:p w14:paraId="51B6B6FB" w14:textId="77777777" w:rsidR="004D7CE8" w:rsidRPr="004D7CE8" w:rsidRDefault="004D7CE8" w:rsidP="004D7CE8">
      <w:pPr>
        <w:spacing w:line="360" w:lineRule="auto"/>
        <w:jc w:val="both"/>
        <w:rPr>
          <w:rFonts w:ascii="Times New Roman" w:hAnsi="Times New Roman" w:cs="Times New Roman"/>
        </w:rPr>
      </w:pPr>
      <w:r w:rsidRPr="004D7CE8">
        <w:rPr>
          <w:rFonts w:ascii="Times New Roman" w:hAnsi="Times New Roman" w:cs="Times New Roman"/>
        </w:rPr>
        <w:lastRenderedPageBreak/>
        <w:t>The environmental scan played a highly crucial role in identifying new opportunities and mitigating the threats of the environment. Constant tracking of the PESTEL factors in a systemic manner, the companies can predict the shift on the market, trends in the regulations, as well as technological changes before their competitors. This skill allows the innovative organisations to align marketing strategies to the same tune with the external trends, aids in the optimal utilisation of available resources.</w:t>
      </w:r>
    </w:p>
    <w:p w14:paraId="47082495" w14:textId="174850D9" w:rsidR="00CB4E23" w:rsidRDefault="004D7CE8" w:rsidP="004D7CE8">
      <w:pPr>
        <w:spacing w:line="360" w:lineRule="auto"/>
        <w:jc w:val="both"/>
        <w:rPr>
          <w:rFonts w:ascii="Times New Roman" w:hAnsi="Times New Roman" w:cs="Times New Roman"/>
        </w:rPr>
      </w:pPr>
      <w:r w:rsidRPr="004D7CE8">
        <w:rPr>
          <w:rFonts w:ascii="Times New Roman" w:hAnsi="Times New Roman" w:cs="Times New Roman"/>
        </w:rPr>
        <w:t>Marketing dynamic responses are needed where there is a rapid change in macro forces in an industry. Strategy of the marketing management by the innovative companies should include flexibility, constant learning, and data-driven wisdom. Such companies, which fail to operationalize environmental scanning as a single analysis succeeding at a point in time, but as an ongoing strategic process, stand better placed to make the uncertainty an opportunity, ensure an effective mechanism, and achieve future growth in the market and dominate it.</w:t>
      </w:r>
    </w:p>
    <w:p w14:paraId="4C525558" w14:textId="77777777" w:rsidR="00CB4E23" w:rsidRDefault="00CB4E23">
      <w:pPr>
        <w:rPr>
          <w:rFonts w:ascii="Times New Roman" w:hAnsi="Times New Roman" w:cs="Times New Roman"/>
        </w:rPr>
      </w:pPr>
      <w:r>
        <w:rPr>
          <w:rFonts w:ascii="Times New Roman" w:hAnsi="Times New Roman" w:cs="Times New Roman"/>
        </w:rPr>
        <w:br w:type="page"/>
      </w:r>
    </w:p>
    <w:p w14:paraId="1126F049" w14:textId="5395449F" w:rsidR="00CB4E23" w:rsidRPr="00CB4E23" w:rsidRDefault="00CB4E23" w:rsidP="00CB4E23">
      <w:pPr>
        <w:pStyle w:val="Heading1"/>
      </w:pPr>
      <w:bookmarkStart w:id="15" w:name="_Toc213885706"/>
      <w:r w:rsidRPr="00CB4E23">
        <w:lastRenderedPageBreak/>
        <w:t>Reference List</w:t>
      </w:r>
      <w:bookmarkEnd w:id="15"/>
    </w:p>
    <w:p w14:paraId="1DDCCAEE"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Amin, V.S. and C.H., P. (2024) ‘Fostering innovation and intellectual property in student-led projects: The role of marketing management and incubation centers in advancing UNSDG goals’, </w:t>
      </w:r>
      <w:r w:rsidRPr="005B1368">
        <w:rPr>
          <w:rFonts w:ascii="Times New Roman" w:hAnsi="Times New Roman" w:cs="Times New Roman"/>
          <w:i/>
          <w:iCs/>
          <w:lang w:val="en-US"/>
        </w:rPr>
        <w:t>I-Manager’s Journal on Management</w:t>
      </w:r>
      <w:r w:rsidRPr="005B1368">
        <w:rPr>
          <w:rFonts w:ascii="Times New Roman" w:hAnsi="Times New Roman" w:cs="Times New Roman"/>
          <w:lang w:val="en-US"/>
        </w:rPr>
        <w:t>, 19(1), pp. 61–75.</w:t>
      </w:r>
    </w:p>
    <w:p w14:paraId="3A61DEF5"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Anwar, Y. and Muis, I. (2024) ‘The relationship among knowledge ambidexterity, innovation, and marketing performance’, </w:t>
      </w:r>
      <w:r w:rsidRPr="005B1368">
        <w:rPr>
          <w:rFonts w:ascii="Times New Roman" w:hAnsi="Times New Roman" w:cs="Times New Roman"/>
          <w:i/>
          <w:iCs/>
          <w:lang w:val="en-US"/>
        </w:rPr>
        <w:t>Journal of Applied Management / Jurnal Aplikasi Manajemen</w:t>
      </w:r>
      <w:r w:rsidRPr="005B1368">
        <w:rPr>
          <w:rFonts w:ascii="Times New Roman" w:hAnsi="Times New Roman" w:cs="Times New Roman"/>
          <w:lang w:val="en-US"/>
        </w:rPr>
        <w:t>, 22(3), pp. 864–877.</w:t>
      </w:r>
    </w:p>
    <w:p w14:paraId="57B33651"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Baier, D., Decker, R. and Asenova, Y. (2025) ‘Collecting and analyzing user-generated content for decision support in marketing management: An overview of methods and use cases’, </w:t>
      </w:r>
      <w:r w:rsidRPr="005B1368">
        <w:rPr>
          <w:rFonts w:ascii="Times New Roman" w:hAnsi="Times New Roman" w:cs="Times New Roman"/>
          <w:i/>
          <w:iCs/>
          <w:lang w:val="en-US"/>
        </w:rPr>
        <w:t>Schmalenbach Journal of Business Research (SBUR)</w:t>
      </w:r>
      <w:r w:rsidRPr="005B1368">
        <w:rPr>
          <w:rFonts w:ascii="Times New Roman" w:hAnsi="Times New Roman" w:cs="Times New Roman"/>
          <w:lang w:val="en-US"/>
        </w:rPr>
        <w:t>, 77(3), pp. 419–455.</w:t>
      </w:r>
    </w:p>
    <w:p w14:paraId="1137AF0D"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Bhansali, A. (2024) ‘An article on integrated marketing management at organisations’, </w:t>
      </w:r>
      <w:r w:rsidRPr="005B1368">
        <w:rPr>
          <w:rFonts w:ascii="Times New Roman" w:hAnsi="Times New Roman" w:cs="Times New Roman"/>
          <w:i/>
          <w:iCs/>
          <w:lang w:val="en-US"/>
        </w:rPr>
        <w:t>Global Journal of Research in Management</w:t>
      </w:r>
      <w:r w:rsidRPr="005B1368">
        <w:rPr>
          <w:rFonts w:ascii="Times New Roman" w:hAnsi="Times New Roman" w:cs="Times New Roman"/>
          <w:lang w:val="en-US"/>
        </w:rPr>
        <w:t>, 14(2), pp. 55–67.</w:t>
      </w:r>
    </w:p>
    <w:p w14:paraId="20432F3C"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Elhajjar, S. (2024) ‘The current and future state of the marketing management profession’, </w:t>
      </w:r>
      <w:r w:rsidRPr="005B1368">
        <w:rPr>
          <w:rFonts w:ascii="Times New Roman" w:hAnsi="Times New Roman" w:cs="Times New Roman"/>
          <w:i/>
          <w:iCs/>
          <w:lang w:val="en-US"/>
        </w:rPr>
        <w:t>Journal of Marketing Theory &amp; Practice</w:t>
      </w:r>
      <w:r w:rsidRPr="005B1368">
        <w:rPr>
          <w:rFonts w:ascii="Times New Roman" w:hAnsi="Times New Roman" w:cs="Times New Roman"/>
          <w:lang w:val="en-US"/>
        </w:rPr>
        <w:t>, 32(2), pp. 233–250.</w:t>
      </w:r>
    </w:p>
    <w:p w14:paraId="4C77DC66"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Gnizy, I. (2025) ‘Managing marketing: The elevated view of marketing within firms’, </w:t>
      </w:r>
      <w:r w:rsidRPr="005B1368">
        <w:rPr>
          <w:rFonts w:ascii="Times New Roman" w:hAnsi="Times New Roman" w:cs="Times New Roman"/>
          <w:i/>
          <w:iCs/>
          <w:lang w:val="en-US"/>
        </w:rPr>
        <w:t>Review of Marketing Science</w:t>
      </w:r>
      <w:r w:rsidRPr="005B1368">
        <w:rPr>
          <w:rFonts w:ascii="Times New Roman" w:hAnsi="Times New Roman" w:cs="Times New Roman"/>
          <w:lang w:val="en-US"/>
        </w:rPr>
        <w:t>, 1.</w:t>
      </w:r>
    </w:p>
    <w:p w14:paraId="2D4F1976"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Hattangadi, V. (2025) ‘Humanism in pharmaceutical marketing: Key lessons for pharma brand managers’, </w:t>
      </w:r>
      <w:r w:rsidRPr="005B1368">
        <w:rPr>
          <w:rFonts w:ascii="Times New Roman" w:hAnsi="Times New Roman" w:cs="Times New Roman"/>
          <w:i/>
          <w:iCs/>
          <w:lang w:val="en-US"/>
        </w:rPr>
        <w:t>Anvesha</w:t>
      </w:r>
      <w:r w:rsidRPr="005B1368">
        <w:rPr>
          <w:rFonts w:ascii="Times New Roman" w:hAnsi="Times New Roman" w:cs="Times New Roman"/>
          <w:lang w:val="en-US"/>
        </w:rPr>
        <w:t>, 16(2), pp. 55–62.</w:t>
      </w:r>
    </w:p>
    <w:p w14:paraId="4E9086A1"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Maśloch, P. and Orłowska, M. (2024) ‘Avatar as a tool supporting modern marketing and strategic management processes in local government units’, </w:t>
      </w:r>
      <w:r w:rsidRPr="005B1368">
        <w:rPr>
          <w:rFonts w:ascii="Times New Roman" w:hAnsi="Times New Roman" w:cs="Times New Roman"/>
          <w:i/>
          <w:iCs/>
          <w:lang w:val="en-US"/>
        </w:rPr>
        <w:t>Scientific Papers of Silesian University of Technology. Organization &amp; Management / Zeszyty Naukowe Politechniki Slaskiej. Seria Organizacji i Zarzadzanie</w:t>
      </w:r>
      <w:r w:rsidRPr="005B1368">
        <w:rPr>
          <w:rFonts w:ascii="Times New Roman" w:hAnsi="Times New Roman" w:cs="Times New Roman"/>
          <w:lang w:val="en-US"/>
        </w:rPr>
        <w:t>, 211, pp. 453–466.</w:t>
      </w:r>
    </w:p>
    <w:p w14:paraId="1989A243"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Mogaji, E. (2025) ‘Transformative transport services: Leveraging sustainability, inclusivity, and technology through marketing management’, </w:t>
      </w:r>
      <w:r w:rsidRPr="005B1368">
        <w:rPr>
          <w:rFonts w:ascii="Times New Roman" w:hAnsi="Times New Roman" w:cs="Times New Roman"/>
          <w:i/>
          <w:iCs/>
          <w:lang w:val="en-US"/>
        </w:rPr>
        <w:t>Journal of Marketing Management</w:t>
      </w:r>
      <w:r w:rsidRPr="005B1368">
        <w:rPr>
          <w:rFonts w:ascii="Times New Roman" w:hAnsi="Times New Roman" w:cs="Times New Roman"/>
          <w:lang w:val="en-US"/>
        </w:rPr>
        <w:t>, 41(13/14), pp. 1370–1402.</w:t>
      </w:r>
    </w:p>
    <w:p w14:paraId="50229AAA"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Patil, L.P. and Patil, A.L. (2025) ‘Artificial intelligence in marketing: Transforming consumer engagement and personalization’, </w:t>
      </w:r>
      <w:r w:rsidRPr="005B1368">
        <w:rPr>
          <w:rFonts w:ascii="Times New Roman" w:hAnsi="Times New Roman" w:cs="Times New Roman"/>
          <w:i/>
          <w:iCs/>
          <w:lang w:val="en-US"/>
        </w:rPr>
        <w:t>European Economics Letters</w:t>
      </w:r>
      <w:r w:rsidRPr="005B1368">
        <w:rPr>
          <w:rFonts w:ascii="Times New Roman" w:hAnsi="Times New Roman" w:cs="Times New Roman"/>
          <w:lang w:val="en-US"/>
        </w:rPr>
        <w:t>, 15(3), pp. 1012–1016.</w:t>
      </w:r>
    </w:p>
    <w:p w14:paraId="5A9439AF"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Polyakova, A., Garnier, M. and Duchain, J.C.D. (2025) ‘Behind the virtual scenes: Marketing management perspectives on the strategic use of virtual influencers’, </w:t>
      </w:r>
      <w:r w:rsidRPr="005B1368">
        <w:rPr>
          <w:rFonts w:ascii="Times New Roman" w:hAnsi="Times New Roman" w:cs="Times New Roman"/>
          <w:i/>
          <w:iCs/>
          <w:lang w:val="en-US"/>
        </w:rPr>
        <w:t>Journal of Marketing Management</w:t>
      </w:r>
      <w:r w:rsidRPr="005B1368">
        <w:rPr>
          <w:rFonts w:ascii="Times New Roman" w:hAnsi="Times New Roman" w:cs="Times New Roman"/>
          <w:lang w:val="en-US"/>
        </w:rPr>
        <w:t>, 41(9/10), pp. 910–948.</w:t>
      </w:r>
    </w:p>
    <w:p w14:paraId="0375C4D2"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Pysarenko, V., Pronko, L., Pidvalna, O., Lozhachevska, O., Fastovets, N. and Ramos, O.R. (2024) ‘Marketing management of the bioeconomic potential of enterprises and the quality of their innovative products in the post-war recovery strategy’, </w:t>
      </w:r>
      <w:r w:rsidRPr="005B1368">
        <w:rPr>
          <w:rFonts w:ascii="Times New Roman" w:hAnsi="Times New Roman" w:cs="Times New Roman"/>
          <w:i/>
          <w:iCs/>
          <w:lang w:val="en-US"/>
        </w:rPr>
        <w:t>Financial &amp; Credit Activity: Problems of Theory &amp; Practice</w:t>
      </w:r>
      <w:r w:rsidRPr="005B1368">
        <w:rPr>
          <w:rFonts w:ascii="Times New Roman" w:hAnsi="Times New Roman" w:cs="Times New Roman"/>
          <w:lang w:val="en-US"/>
        </w:rPr>
        <w:t>, 6(59), pp. 648–664.</w:t>
      </w:r>
    </w:p>
    <w:p w14:paraId="580C6263"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lastRenderedPageBreak/>
        <w:t xml:space="preserve">Štefanová, M. (2025) ‘Strategický marketing a talent manažment v podpore reintegrácie žien po rodičovskej dovolenke’, </w:t>
      </w:r>
      <w:r w:rsidRPr="005B1368">
        <w:rPr>
          <w:rFonts w:ascii="Times New Roman" w:hAnsi="Times New Roman" w:cs="Times New Roman"/>
          <w:i/>
          <w:iCs/>
          <w:lang w:val="en-US"/>
        </w:rPr>
        <w:t>Marketing Science &amp; Inspirations</w:t>
      </w:r>
      <w:r w:rsidRPr="005B1368">
        <w:rPr>
          <w:rFonts w:ascii="Times New Roman" w:hAnsi="Times New Roman" w:cs="Times New Roman"/>
          <w:lang w:val="en-US"/>
        </w:rPr>
        <w:t>, 20(2), pp. 27–44.</w:t>
      </w:r>
    </w:p>
    <w:p w14:paraId="6E274F59"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Tasaddi Kari, M.J. and Zadeh Layegh, N.A. (2025) ‘Explaining the development pattern of management accounting services market’, </w:t>
      </w:r>
      <w:r w:rsidRPr="005B1368">
        <w:rPr>
          <w:rFonts w:ascii="Times New Roman" w:hAnsi="Times New Roman" w:cs="Times New Roman"/>
          <w:i/>
          <w:iCs/>
          <w:lang w:val="en-US"/>
        </w:rPr>
        <w:t>International Journal of Management, Accounting &amp; Economics</w:t>
      </w:r>
      <w:r w:rsidRPr="005B1368">
        <w:rPr>
          <w:rFonts w:ascii="Times New Roman" w:hAnsi="Times New Roman" w:cs="Times New Roman"/>
          <w:lang w:val="en-US"/>
        </w:rPr>
        <w:t>, 12(10), pp. 1619–1634.</w:t>
      </w:r>
    </w:p>
    <w:p w14:paraId="751BEBEF"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Thierman, B. (2025) ‘Teaching case: A practical approach to marketing management and beyond’, </w:t>
      </w:r>
      <w:r w:rsidRPr="005B1368">
        <w:rPr>
          <w:rFonts w:ascii="Times New Roman" w:hAnsi="Times New Roman" w:cs="Times New Roman"/>
          <w:i/>
          <w:iCs/>
          <w:lang w:val="en-US"/>
        </w:rPr>
        <w:t>Small Business Institute® Journal (SBIJ)</w:t>
      </w:r>
      <w:r w:rsidRPr="005B1368">
        <w:rPr>
          <w:rFonts w:ascii="Times New Roman" w:hAnsi="Times New Roman" w:cs="Times New Roman"/>
          <w:lang w:val="en-US"/>
        </w:rPr>
        <w:t>, 21(1), pp. 66–71.</w:t>
      </w:r>
    </w:p>
    <w:p w14:paraId="4B373186" w14:textId="77777777" w:rsidR="00CB4E23" w:rsidRPr="005B1368" w:rsidRDefault="00CB4E23" w:rsidP="00CB4E23">
      <w:pPr>
        <w:spacing w:line="360" w:lineRule="auto"/>
        <w:jc w:val="both"/>
        <w:rPr>
          <w:rFonts w:ascii="Times New Roman" w:hAnsi="Times New Roman" w:cs="Times New Roman"/>
          <w:lang w:val="en-US"/>
        </w:rPr>
      </w:pPr>
      <w:r w:rsidRPr="005B1368">
        <w:rPr>
          <w:rFonts w:ascii="Times New Roman" w:hAnsi="Times New Roman" w:cs="Times New Roman"/>
          <w:lang w:val="en-US"/>
        </w:rPr>
        <w:t xml:space="preserve">Vysochan, O., Vasylyshyn, T., Vysochan, O., Voskresenska, T., Hyk, V. and Tyvonchuk, O. (2025) ‘Management change in digital marketing companies: Key drivers and scenarios for resilient development’, </w:t>
      </w:r>
      <w:r w:rsidRPr="005B1368">
        <w:rPr>
          <w:rFonts w:ascii="Times New Roman" w:hAnsi="Times New Roman" w:cs="Times New Roman"/>
          <w:i/>
          <w:iCs/>
          <w:lang w:val="en-US"/>
        </w:rPr>
        <w:t>TEM Journal</w:t>
      </w:r>
      <w:r w:rsidRPr="005B1368">
        <w:rPr>
          <w:rFonts w:ascii="Times New Roman" w:hAnsi="Times New Roman" w:cs="Times New Roman"/>
          <w:lang w:val="en-US"/>
        </w:rPr>
        <w:t>, 14(2), pp. 1223–1233.</w:t>
      </w:r>
    </w:p>
    <w:p w14:paraId="42B0BBF1" w14:textId="77777777" w:rsidR="00CB4E23" w:rsidRPr="004D7CE8" w:rsidRDefault="00CB4E23" w:rsidP="004D7CE8">
      <w:pPr>
        <w:spacing w:line="360" w:lineRule="auto"/>
        <w:jc w:val="both"/>
        <w:rPr>
          <w:rFonts w:ascii="Times New Roman" w:hAnsi="Times New Roman" w:cs="Times New Roman"/>
        </w:rPr>
      </w:pPr>
    </w:p>
    <w:p w14:paraId="6105903D" w14:textId="7B1A0399" w:rsidR="00434358" w:rsidRPr="00434358" w:rsidRDefault="00434358" w:rsidP="00434358">
      <w:pPr>
        <w:spacing w:line="360" w:lineRule="auto"/>
        <w:jc w:val="both"/>
        <w:rPr>
          <w:rFonts w:ascii="Times New Roman" w:eastAsiaTheme="majorEastAsia" w:hAnsi="Times New Roman" w:cs="Times New Roman"/>
        </w:rPr>
      </w:pPr>
    </w:p>
    <w:sectPr w:rsidR="00434358" w:rsidRPr="00434358" w:rsidSect="00CB4E23">
      <w:footerReference w:type="default" r:id="rId9"/>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979B4" w14:textId="77777777" w:rsidR="00B03CA5" w:rsidRDefault="00B03CA5" w:rsidP="00CB4E23">
      <w:r>
        <w:separator/>
      </w:r>
    </w:p>
  </w:endnote>
  <w:endnote w:type="continuationSeparator" w:id="0">
    <w:p w14:paraId="2A3886E8" w14:textId="77777777" w:rsidR="00B03CA5" w:rsidRDefault="00B03CA5" w:rsidP="00CB4E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42556596"/>
      <w:docPartObj>
        <w:docPartGallery w:val="Page Numbers (Bottom of Page)"/>
        <w:docPartUnique/>
      </w:docPartObj>
    </w:sdtPr>
    <w:sdtEndPr>
      <w:rPr>
        <w:noProof/>
      </w:rPr>
    </w:sdtEndPr>
    <w:sdtContent>
      <w:p w14:paraId="5AD8725B" w14:textId="2EEE3A50" w:rsidR="00CB4E23" w:rsidRPr="00CB4E23" w:rsidRDefault="00CB4E23">
        <w:pPr>
          <w:pStyle w:val="Footer"/>
          <w:jc w:val="center"/>
          <w:rPr>
            <w:rFonts w:ascii="Times New Roman" w:hAnsi="Times New Roman" w:cs="Times New Roman"/>
            <w:sz w:val="20"/>
            <w:szCs w:val="20"/>
          </w:rPr>
        </w:pPr>
        <w:r w:rsidRPr="00CB4E23">
          <w:rPr>
            <w:rFonts w:ascii="Times New Roman" w:hAnsi="Times New Roman" w:cs="Times New Roman"/>
            <w:sz w:val="20"/>
            <w:szCs w:val="20"/>
          </w:rPr>
          <w:fldChar w:fldCharType="begin"/>
        </w:r>
        <w:r w:rsidRPr="00CB4E23">
          <w:rPr>
            <w:rFonts w:ascii="Times New Roman" w:hAnsi="Times New Roman" w:cs="Times New Roman"/>
            <w:sz w:val="20"/>
            <w:szCs w:val="20"/>
          </w:rPr>
          <w:instrText xml:space="preserve"> PAGE   \* MERGEFORMAT </w:instrText>
        </w:r>
        <w:r w:rsidRPr="00CB4E23">
          <w:rPr>
            <w:rFonts w:ascii="Times New Roman" w:hAnsi="Times New Roman" w:cs="Times New Roman"/>
            <w:sz w:val="20"/>
            <w:szCs w:val="20"/>
          </w:rPr>
          <w:fldChar w:fldCharType="separate"/>
        </w:r>
        <w:r w:rsidRPr="00CB4E23">
          <w:rPr>
            <w:rFonts w:ascii="Times New Roman" w:hAnsi="Times New Roman" w:cs="Times New Roman"/>
            <w:noProof/>
            <w:sz w:val="20"/>
            <w:szCs w:val="20"/>
          </w:rPr>
          <w:t>2</w:t>
        </w:r>
        <w:r w:rsidRPr="00CB4E23">
          <w:rPr>
            <w:rFonts w:ascii="Times New Roman" w:hAnsi="Times New Roman" w:cs="Times New Roman"/>
            <w:noProof/>
            <w:sz w:val="20"/>
            <w:szCs w:val="20"/>
          </w:rPr>
          <w:fldChar w:fldCharType="end"/>
        </w:r>
      </w:p>
    </w:sdtContent>
  </w:sdt>
  <w:p w14:paraId="2FA57079" w14:textId="77777777" w:rsidR="00CB4E23" w:rsidRPr="00CB4E23" w:rsidRDefault="00CB4E23">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68D0F" w14:textId="77777777" w:rsidR="00B03CA5" w:rsidRDefault="00B03CA5" w:rsidP="00CB4E23">
      <w:r>
        <w:separator/>
      </w:r>
    </w:p>
  </w:footnote>
  <w:footnote w:type="continuationSeparator" w:id="0">
    <w:p w14:paraId="05A026A9" w14:textId="77777777" w:rsidR="00B03CA5" w:rsidRDefault="00B03CA5" w:rsidP="00CB4E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4F2199"/>
    <w:multiLevelType w:val="hybridMultilevel"/>
    <w:tmpl w:val="61489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7"/>
  </w:num>
  <w:num w:numId="2" w16cid:durableId="966158073">
    <w:abstractNumId w:val="11"/>
  </w:num>
  <w:num w:numId="3" w16cid:durableId="877475478">
    <w:abstractNumId w:val="23"/>
  </w:num>
  <w:num w:numId="4" w16cid:durableId="1865439684">
    <w:abstractNumId w:val="24"/>
  </w:num>
  <w:num w:numId="5" w16cid:durableId="296037109">
    <w:abstractNumId w:val="25"/>
  </w:num>
  <w:num w:numId="6" w16cid:durableId="1857650049">
    <w:abstractNumId w:val="13"/>
  </w:num>
  <w:num w:numId="7" w16cid:durableId="1295714836">
    <w:abstractNumId w:val="0"/>
  </w:num>
  <w:num w:numId="8" w16cid:durableId="1104423434">
    <w:abstractNumId w:val="18"/>
  </w:num>
  <w:num w:numId="9" w16cid:durableId="785196607">
    <w:abstractNumId w:val="27"/>
  </w:num>
  <w:num w:numId="10" w16cid:durableId="1805731991">
    <w:abstractNumId w:val="26"/>
  </w:num>
  <w:num w:numId="11" w16cid:durableId="508838147">
    <w:abstractNumId w:val="3"/>
  </w:num>
  <w:num w:numId="12" w16cid:durableId="477303180">
    <w:abstractNumId w:val="20"/>
  </w:num>
  <w:num w:numId="13" w16cid:durableId="1043408458">
    <w:abstractNumId w:val="19"/>
  </w:num>
  <w:num w:numId="14" w16cid:durableId="453400969">
    <w:abstractNumId w:val="1"/>
  </w:num>
  <w:num w:numId="15" w16cid:durableId="1524706236">
    <w:abstractNumId w:val="28"/>
  </w:num>
  <w:num w:numId="16" w16cid:durableId="1474368624">
    <w:abstractNumId w:val="15"/>
  </w:num>
  <w:num w:numId="17" w16cid:durableId="1082482068">
    <w:abstractNumId w:val="12"/>
  </w:num>
  <w:num w:numId="18" w16cid:durableId="356203542">
    <w:abstractNumId w:val="21"/>
  </w:num>
  <w:num w:numId="19" w16cid:durableId="207844578">
    <w:abstractNumId w:val="5"/>
  </w:num>
  <w:num w:numId="20" w16cid:durableId="1398867505">
    <w:abstractNumId w:val="22"/>
  </w:num>
  <w:num w:numId="21" w16cid:durableId="780687429">
    <w:abstractNumId w:val="10"/>
  </w:num>
  <w:num w:numId="22" w16cid:durableId="1166899088">
    <w:abstractNumId w:val="9"/>
  </w:num>
  <w:num w:numId="23" w16cid:durableId="455174308">
    <w:abstractNumId w:val="6"/>
  </w:num>
  <w:num w:numId="24" w16cid:durableId="603149070">
    <w:abstractNumId w:val="8"/>
  </w:num>
  <w:num w:numId="25" w16cid:durableId="390542811">
    <w:abstractNumId w:val="2"/>
  </w:num>
  <w:num w:numId="26" w16cid:durableId="562985041">
    <w:abstractNumId w:val="16"/>
  </w:num>
  <w:num w:numId="27" w16cid:durableId="590622514">
    <w:abstractNumId w:val="4"/>
  </w:num>
  <w:num w:numId="28" w16cid:durableId="413863525">
    <w:abstractNumId w:val="17"/>
  </w:num>
  <w:num w:numId="29" w16cid:durableId="116655189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1003E8"/>
    <w:rsid w:val="00136289"/>
    <w:rsid w:val="00206788"/>
    <w:rsid w:val="00325A3E"/>
    <w:rsid w:val="003950E7"/>
    <w:rsid w:val="00434358"/>
    <w:rsid w:val="004D7CE8"/>
    <w:rsid w:val="004F2663"/>
    <w:rsid w:val="005A570C"/>
    <w:rsid w:val="00617CF1"/>
    <w:rsid w:val="00646406"/>
    <w:rsid w:val="00675F02"/>
    <w:rsid w:val="00702E24"/>
    <w:rsid w:val="0073681E"/>
    <w:rsid w:val="00947A6D"/>
    <w:rsid w:val="009E58AF"/>
    <w:rsid w:val="00A15C5D"/>
    <w:rsid w:val="00A53B98"/>
    <w:rsid w:val="00B03CA5"/>
    <w:rsid w:val="00C57D61"/>
    <w:rsid w:val="00CB01F0"/>
    <w:rsid w:val="00CB4E23"/>
    <w:rsid w:val="00DE5D5B"/>
    <w:rsid w:val="00EC69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358"/>
    <w:pPr>
      <w:spacing w:line="360" w:lineRule="auto"/>
      <w:jc w:val="both"/>
      <w:outlineLvl w:val="0"/>
    </w:pPr>
    <w:rPr>
      <w:rFonts w:ascii="Times New Roman" w:hAnsi="Times New Roman" w:cs="Times New Roman"/>
      <w:b/>
      <w:bCs/>
      <w:color w:val="000000" w:themeColor="text1"/>
    </w:rPr>
  </w:style>
  <w:style w:type="paragraph" w:styleId="Heading2">
    <w:name w:val="heading 2"/>
    <w:basedOn w:val="Normal"/>
    <w:next w:val="Normal"/>
    <w:link w:val="Heading2Char"/>
    <w:uiPriority w:val="9"/>
    <w:unhideWhenUsed/>
    <w:qFormat/>
    <w:rsid w:val="00206788"/>
    <w:pPr>
      <w:spacing w:line="360" w:lineRule="auto"/>
      <w:jc w:val="both"/>
      <w:outlineLvl w:val="1"/>
    </w:pPr>
    <w:rPr>
      <w:rFonts w:ascii="Times New Roman" w:hAnsi="Times New Roman" w:cs="Times New Roman"/>
      <w:b/>
      <w:bCs/>
      <w:lang w:val="en-US"/>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358"/>
    <w:rPr>
      <w:rFonts w:ascii="Times New Roman" w:hAnsi="Times New Roman" w:cs="Times New Roman"/>
      <w:b/>
      <w:bCs/>
      <w:color w:val="000000" w:themeColor="text1"/>
    </w:rPr>
  </w:style>
  <w:style w:type="character" w:customStyle="1" w:styleId="Heading2Char">
    <w:name w:val="Heading 2 Char"/>
    <w:basedOn w:val="DefaultParagraphFont"/>
    <w:link w:val="Heading2"/>
    <w:uiPriority w:val="9"/>
    <w:rsid w:val="00206788"/>
    <w:rPr>
      <w:rFonts w:ascii="Times New Roman" w:hAnsi="Times New Roman" w:cs="Times New Roman"/>
      <w:b/>
      <w:bCs/>
      <w:lang w:val="en-US"/>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line="276" w:lineRule="auto"/>
      <w:outlineLvl w:val="9"/>
    </w:pPr>
    <w:rPr>
      <w:b w:val="0"/>
      <w:bCs w:val="0"/>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CB4E23"/>
    <w:pPr>
      <w:tabs>
        <w:tab w:val="center" w:pos="4680"/>
        <w:tab w:val="right" w:pos="9360"/>
      </w:tabs>
    </w:pPr>
  </w:style>
  <w:style w:type="character" w:customStyle="1" w:styleId="HeaderChar">
    <w:name w:val="Header Char"/>
    <w:basedOn w:val="DefaultParagraphFont"/>
    <w:link w:val="Header"/>
    <w:uiPriority w:val="99"/>
    <w:rsid w:val="00CB4E23"/>
  </w:style>
  <w:style w:type="paragraph" w:styleId="Footer">
    <w:name w:val="footer"/>
    <w:basedOn w:val="Normal"/>
    <w:link w:val="FooterChar"/>
    <w:uiPriority w:val="99"/>
    <w:unhideWhenUsed/>
    <w:rsid w:val="00CB4E23"/>
    <w:pPr>
      <w:tabs>
        <w:tab w:val="center" w:pos="4680"/>
        <w:tab w:val="right" w:pos="9360"/>
      </w:tabs>
    </w:pPr>
  </w:style>
  <w:style w:type="character" w:customStyle="1" w:styleId="FooterChar">
    <w:name w:val="Footer Char"/>
    <w:basedOn w:val="DefaultParagraphFont"/>
    <w:link w:val="Footer"/>
    <w:uiPriority w:val="99"/>
    <w:rsid w:val="00CB4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3417</Words>
  <Characters>19479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kazi mahmud ul Islam</cp:lastModifiedBy>
  <cp:revision>3</cp:revision>
  <dcterms:created xsi:type="dcterms:W3CDTF">2025-11-12T18:53:00Z</dcterms:created>
  <dcterms:modified xsi:type="dcterms:W3CDTF">2025-11-18T10:03:00Z</dcterms:modified>
</cp:coreProperties>
</file>