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w:rsidR="1448D84B" w:rsidP="3FB8BE3B" w:rsidRDefault="1448D84B" w14:paraId="464E3835" w14:textId="212D0F05">
      <w:pPr>
        <w:spacing w:before="240" w:beforeAutospacing="off" w:after="240" w:afterAutospacing="of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3FB8BE3B" w:rsidR="1448D84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FB8BE3B" w:rsidP="3FB8BE3B" w:rsidRDefault="3FB8BE3B" w14:paraId="6D5C268F" w14:textId="18DE39BA">
      <w:pPr>
        <w:rPr>
          <w:rFonts w:ascii="Aptos" w:hAnsi="Aptos" w:eastAsia="Aptos" w:cs="Aptos"/>
          <w:noProof w:val="0"/>
          <w:sz w:val="24"/>
          <w:szCs w:val="24"/>
          <w:lang w:val="en-GB"/>
        </w:rPr>
      </w:pPr>
    </w:p>
    <w:p w:rsidR="3FB8BE3B" w:rsidP="3FB8BE3B" w:rsidRDefault="3FB8BE3B" w14:paraId="185D5906" w14:textId="346AD267">
      <w:pPr>
        <w:rPr>
          <w:rFonts w:ascii="Aptos" w:hAnsi="Aptos" w:eastAsia="Aptos" w:cs="Aptos"/>
          <w:noProof w:val="0"/>
          <w:sz w:val="24"/>
          <w:szCs w:val="24"/>
          <w:lang w:val="en-GB"/>
        </w:rPr>
      </w:pPr>
    </w:p>
    <w:p xmlns:wp14="http://schemas.microsoft.com/office/word/2010/wordml" w:rsidP="75304EF6" wp14:paraId="492455A2" wp14:textId="43D4754D">
      <w:pPr>
        <w:rPr>
          <w:rFonts w:ascii="Aptos" w:hAnsi="Aptos" w:eastAsia="Aptos" w:cs="Aptos"/>
          <w:noProof w:val="0"/>
          <w:sz w:val="24"/>
          <w:szCs w:val="24"/>
          <w:lang w:val="en-GB"/>
        </w:rPr>
      </w:pPr>
      <w:r w:rsidRPr="75304EF6" w:rsidR="098D3D7B">
        <w:rPr>
          <w:rFonts w:ascii="Aptos" w:hAnsi="Aptos" w:eastAsia="Aptos" w:cs="Aptos"/>
          <w:noProof w:val="0"/>
          <w:sz w:val="24"/>
          <w:szCs w:val="24"/>
          <w:lang w:val="en-GB"/>
        </w:rPr>
        <w:t xml:space="preserve">Summary of “The bear necessities of stress” </w:t>
      </w:r>
    </w:p>
    <w:p xmlns:wp14="http://schemas.microsoft.com/office/word/2010/wordml" w:rsidP="75304EF6" wp14:paraId="012207B0" wp14:textId="0D03B060">
      <w:pPr>
        <w:rPr>
          <w:rFonts w:ascii="Aptos" w:hAnsi="Aptos" w:eastAsia="Aptos" w:cs="Aptos"/>
          <w:noProof w:val="0"/>
          <w:color w:val="06020F"/>
          <w:sz w:val="24"/>
          <w:szCs w:val="24"/>
          <w:lang w:val="en-GB"/>
        </w:rPr>
      </w:pPr>
      <w:r w:rsidRPr="75304EF6" w:rsidR="098D3D7B">
        <w:rPr>
          <w:rFonts w:ascii="Aptos" w:hAnsi="Aptos" w:eastAsia="Aptos" w:cs="Aptos"/>
          <w:noProof w:val="0"/>
          <w:sz w:val="24"/>
          <w:szCs w:val="24"/>
          <w:lang w:val="en-GB"/>
        </w:rPr>
        <w:t>When your brain perceives a stress inducer, there’s an entire system that's happening within the body to deal with possible threats, blood is pumped towards the body's most important organs and two pathways within the body are triggered. The pathways being the “</w:t>
      </w:r>
      <w:r w:rsidRPr="75304EF6" w:rsidR="098D3D7B">
        <w:rPr>
          <w:rFonts w:ascii="Aptos" w:hAnsi="Aptos" w:eastAsia="Aptos" w:cs="Aptos"/>
          <w:noProof w:val="0"/>
          <w:color w:val="06020F"/>
          <w:sz w:val="24"/>
          <w:szCs w:val="24"/>
          <w:lang w:val="en-GB"/>
        </w:rPr>
        <w:t xml:space="preserve">sympathetic adrenal medullary system” and the “hypothalamic pituitary adrenal pathway”. Signals are sent very quickly through the nervous system to give you adrenaline and to release a stress hormone within the body right after the stress inducer. If your stress levels have not dropped 20 – 30 minuets after this, your body starts to produce cortisol to stay in the fight or flight response for longer. </w:t>
      </w:r>
    </w:p>
    <w:p xmlns:wp14="http://schemas.microsoft.com/office/word/2010/wordml" w:rsidP="75304EF6" wp14:paraId="1216BFC1" wp14:textId="5E2CAF91">
      <w:pPr>
        <w:rPr>
          <w:rFonts w:ascii="Aptos" w:hAnsi="Aptos" w:eastAsia="Aptos" w:cs="Aptos"/>
          <w:noProof w:val="0"/>
          <w:color w:val="06020F"/>
          <w:sz w:val="24"/>
          <w:szCs w:val="24"/>
          <w:lang w:val="en-GB"/>
        </w:rPr>
      </w:pPr>
      <w:r w:rsidRPr="75304EF6" w:rsidR="098D3D7B">
        <w:rPr>
          <w:rFonts w:ascii="Aptos" w:hAnsi="Aptos" w:eastAsia="Aptos" w:cs="Aptos"/>
          <w:noProof w:val="0"/>
          <w:color w:val="06020F"/>
          <w:sz w:val="24"/>
          <w:szCs w:val="24"/>
          <w:lang w:val="en-GB"/>
        </w:rPr>
        <w:t xml:space="preserve">Cortisol should be high in the morning and low at nighttime, and it's to regulate the digestive system, the reproductive system, the immune system and the endocrine system. Having a balance is very important for our health and happiness, but for those who are stressed out often they have high levels of cortisol consistently day to day. </w:t>
      </w:r>
    </w:p>
    <w:p xmlns:wp14="http://schemas.microsoft.com/office/word/2010/wordml" w:rsidP="75304EF6" wp14:paraId="21A01D74" wp14:textId="33EB8F33">
      <w:pPr>
        <w:rPr>
          <w:rFonts w:ascii="Aptos" w:hAnsi="Aptos" w:eastAsia="Aptos" w:cs="Aptos"/>
          <w:noProof w:val="0"/>
          <w:color w:val="06020F"/>
          <w:sz w:val="24"/>
          <w:szCs w:val="24"/>
          <w:lang w:val="en-GB"/>
        </w:rPr>
      </w:pPr>
      <w:r w:rsidRPr="75304EF6" w:rsidR="098D3D7B">
        <w:rPr>
          <w:rFonts w:ascii="Aptos" w:hAnsi="Aptos" w:eastAsia="Aptos" w:cs="Aptos"/>
          <w:noProof w:val="0"/>
          <w:color w:val="06020F"/>
          <w:sz w:val="24"/>
          <w:szCs w:val="24"/>
          <w:lang w:val="en-GB"/>
        </w:rPr>
        <w:t>To test the stress response several tests were conducted, one task was multitasking while monitored. The test was asking an individual to preform multiple tasks for 20 – 30 minutes while also having to listen out for a particular tone. It was found that there was an increase in blood pressure and heart rate. An extra addition was then added, with somebody monitoring the participant and critiquing their performance it was found that their heart rate and blood pressure was raised even more.</w:t>
      </w:r>
    </w:p>
    <w:p xmlns:wp14="http://schemas.microsoft.com/office/word/2010/wordml" w:rsidP="75304EF6" wp14:paraId="31ABCB71" wp14:textId="753B7001">
      <w:pPr>
        <w:rPr>
          <w:rFonts w:ascii="Aptos" w:hAnsi="Aptos" w:eastAsia="Aptos" w:cs="Aptos"/>
          <w:noProof w:val="0"/>
          <w:color w:val="06020F"/>
          <w:sz w:val="24"/>
          <w:szCs w:val="24"/>
          <w:lang w:val="en-GB"/>
        </w:rPr>
      </w:pPr>
      <w:r w:rsidRPr="75304EF6" w:rsidR="098D3D7B">
        <w:rPr>
          <w:rFonts w:ascii="Aptos" w:hAnsi="Aptos" w:eastAsia="Aptos" w:cs="Aptos"/>
          <w:noProof w:val="0"/>
          <w:color w:val="06020F"/>
          <w:sz w:val="24"/>
          <w:szCs w:val="24"/>
          <w:lang w:val="en-GB"/>
        </w:rPr>
        <w:t xml:space="preserve"> Furthering this</w:t>
      </w:r>
      <w:r w:rsidRPr="75304EF6" w:rsidR="092EAE6B">
        <w:rPr>
          <w:rFonts w:ascii="Aptos" w:hAnsi="Aptos" w:eastAsia="Aptos" w:cs="Aptos"/>
          <w:noProof w:val="0"/>
          <w:color w:val="06020F"/>
          <w:sz w:val="24"/>
          <w:szCs w:val="24"/>
          <w:lang w:val="en-GB"/>
        </w:rPr>
        <w:t>,</w:t>
      </w:r>
      <w:r w:rsidRPr="75304EF6" w:rsidR="098D3D7B">
        <w:rPr>
          <w:rFonts w:ascii="Aptos" w:hAnsi="Aptos" w:eastAsia="Aptos" w:cs="Aptos"/>
          <w:noProof w:val="0"/>
          <w:color w:val="06020F"/>
          <w:sz w:val="24"/>
          <w:szCs w:val="24"/>
          <w:lang w:val="en-GB"/>
        </w:rPr>
        <w:t xml:space="preserve"> researchers in Melbourne have run tests on how people who are users of cannabis and MDMA preform under this experiment. </w:t>
      </w:r>
      <w:r w:rsidRPr="75304EF6" w:rsidR="098D3D7B">
        <w:rPr>
          <w:rFonts w:ascii="Aptos" w:hAnsi="Aptos" w:eastAsia="Aptos" w:cs="Aptos"/>
          <w:noProof w:val="0"/>
          <w:color w:val="06020F"/>
          <w:sz w:val="24"/>
          <w:szCs w:val="24"/>
          <w:lang w:val="en-GB"/>
        </w:rPr>
        <w:t>Reportedly, individuals</w:t>
      </w:r>
      <w:r w:rsidRPr="75304EF6" w:rsidR="098D3D7B">
        <w:rPr>
          <w:rFonts w:ascii="Aptos" w:hAnsi="Aptos" w:eastAsia="Aptos" w:cs="Aptos"/>
          <w:noProof w:val="0"/>
          <w:color w:val="06020F"/>
          <w:sz w:val="24"/>
          <w:szCs w:val="24"/>
          <w:lang w:val="en-GB"/>
        </w:rPr>
        <w:t xml:space="preserve"> who are drug users have greater difficulty in multitasking, showing signs of irritability in just 20 – 30 minutes when sober. Similarly, those who have been consuming alcohol the night prior </w:t>
      </w:r>
      <w:r w:rsidRPr="75304EF6" w:rsidR="0362110C">
        <w:rPr>
          <w:rFonts w:ascii="Aptos" w:hAnsi="Aptos" w:eastAsia="Aptos" w:cs="Aptos"/>
          <w:noProof w:val="0"/>
          <w:color w:val="06020F"/>
          <w:sz w:val="24"/>
          <w:szCs w:val="24"/>
          <w:lang w:val="en-GB"/>
        </w:rPr>
        <w:t>conveys</w:t>
      </w:r>
      <w:r w:rsidRPr="75304EF6" w:rsidR="098D3D7B">
        <w:rPr>
          <w:rFonts w:ascii="Aptos" w:hAnsi="Aptos" w:eastAsia="Aptos" w:cs="Aptos"/>
          <w:noProof w:val="0"/>
          <w:color w:val="06020F"/>
          <w:sz w:val="24"/>
          <w:szCs w:val="24"/>
          <w:lang w:val="en-GB"/>
        </w:rPr>
        <w:t xml:space="preserve"> similar levels of frustration.</w:t>
      </w:r>
    </w:p>
    <w:p xmlns:wp14="http://schemas.microsoft.com/office/word/2010/wordml" w:rsidP="75304EF6" wp14:paraId="57EC06E3" wp14:textId="5A8C0EB7">
      <w:pPr>
        <w:rPr>
          <w:rFonts w:ascii="Aptos" w:hAnsi="Aptos" w:eastAsia="Aptos" w:cs="Aptos"/>
          <w:noProof w:val="0"/>
          <w:color w:val="06020F"/>
          <w:sz w:val="24"/>
          <w:szCs w:val="24"/>
          <w:lang w:val="en-GB"/>
        </w:rPr>
      </w:pPr>
      <w:r w:rsidRPr="75304EF6" w:rsidR="098D3D7B">
        <w:rPr>
          <w:rFonts w:ascii="Aptos" w:hAnsi="Aptos" w:eastAsia="Aptos" w:cs="Aptos"/>
          <w:noProof w:val="0"/>
          <w:color w:val="06020F"/>
          <w:sz w:val="24"/>
          <w:szCs w:val="24"/>
          <w:lang w:val="en-GB"/>
        </w:rPr>
        <w:t xml:space="preserve">Research has also shown that parental figures are more susceptible to higher levels of stress, anxiety, and depression. Caregivers also </w:t>
      </w:r>
      <w:r w:rsidRPr="75304EF6" w:rsidR="098D3D7B">
        <w:rPr>
          <w:rFonts w:ascii="Aptos" w:hAnsi="Aptos" w:eastAsia="Aptos" w:cs="Aptos"/>
          <w:noProof w:val="0"/>
          <w:color w:val="06020F"/>
          <w:sz w:val="24"/>
          <w:szCs w:val="24"/>
          <w:lang w:val="en-GB"/>
        </w:rPr>
        <w:t>stated</w:t>
      </w:r>
      <w:r w:rsidRPr="75304EF6" w:rsidR="098D3D7B">
        <w:rPr>
          <w:rFonts w:ascii="Aptos" w:hAnsi="Aptos" w:eastAsia="Aptos" w:cs="Aptos"/>
          <w:noProof w:val="0"/>
          <w:color w:val="06020F"/>
          <w:sz w:val="24"/>
          <w:szCs w:val="24"/>
          <w:lang w:val="en-GB"/>
        </w:rPr>
        <w:t xml:space="preserve"> that they have poor health; being feeling fatigued, having a sore </w:t>
      </w:r>
      <w:r w:rsidRPr="75304EF6" w:rsidR="098D3D7B">
        <w:rPr>
          <w:rFonts w:ascii="Aptos" w:hAnsi="Aptos" w:eastAsia="Aptos" w:cs="Aptos"/>
          <w:noProof w:val="0"/>
          <w:color w:val="06020F"/>
          <w:sz w:val="24"/>
          <w:szCs w:val="24"/>
          <w:lang w:val="en-GB"/>
        </w:rPr>
        <w:t>throat or</w:t>
      </w:r>
      <w:r w:rsidRPr="75304EF6" w:rsidR="098D3D7B">
        <w:rPr>
          <w:rFonts w:ascii="Aptos" w:hAnsi="Aptos" w:eastAsia="Aptos" w:cs="Aptos"/>
          <w:noProof w:val="0"/>
          <w:color w:val="06020F"/>
          <w:sz w:val="24"/>
          <w:szCs w:val="24"/>
          <w:lang w:val="en-GB"/>
        </w:rPr>
        <w:t xml:space="preserve"> being run down. </w:t>
      </w:r>
    </w:p>
    <w:p xmlns:wp14="http://schemas.microsoft.com/office/word/2010/wordml" w:rsidP="75304EF6" wp14:paraId="1C3AF714" wp14:textId="4F7C50FF">
      <w:pPr>
        <w:rPr>
          <w:rFonts w:ascii="Aptos" w:hAnsi="Aptos" w:eastAsia="Aptos" w:cs="Aptos"/>
          <w:noProof w:val="0"/>
          <w:color w:val="06020F"/>
          <w:sz w:val="24"/>
          <w:szCs w:val="24"/>
          <w:lang w:val="en-GB"/>
        </w:rPr>
      </w:pPr>
      <w:r w:rsidRPr="75304EF6" w:rsidR="098D3D7B">
        <w:rPr>
          <w:rFonts w:ascii="Aptos" w:hAnsi="Aptos" w:eastAsia="Aptos" w:cs="Aptos"/>
          <w:noProof w:val="0"/>
          <w:color w:val="06020F"/>
          <w:sz w:val="24"/>
          <w:szCs w:val="24"/>
          <w:lang w:val="en-GB"/>
        </w:rPr>
        <w:t xml:space="preserve">From these studies we have learned about the body's way of dealing with stress, and what exactly is happening when we perceive stress and what other factors can contribute to this, whether that is day to day stress or potential life-threatening events. </w:t>
      </w:r>
    </w:p>
    <w:p xmlns:wp14="http://schemas.microsoft.com/office/word/2010/wordml" w:rsidP="75304EF6" wp14:paraId="2D133F44" wp14:textId="51189D31">
      <w:pPr>
        <w:rPr>
          <w:rFonts w:ascii="Aptos" w:hAnsi="Aptos" w:eastAsia="Aptos" w:cs="Aptos"/>
          <w:noProof w:val="0"/>
          <w:sz w:val="24"/>
          <w:szCs w:val="24"/>
          <w:lang w:val="en-GB"/>
        </w:rPr>
      </w:pPr>
    </w:p>
    <w:p xmlns:wp14="http://schemas.microsoft.com/office/word/2010/wordml" w:rsidP="75304EF6" wp14:paraId="2386327D" wp14:textId="57E976C0">
      <w:pPr>
        <w:rPr>
          <w:rFonts w:ascii="Aptos" w:hAnsi="Aptos" w:eastAsia="Aptos" w:cs="Aptos"/>
          <w:noProof w:val="0"/>
          <w:sz w:val="24"/>
          <w:szCs w:val="24"/>
          <w:lang w:val="en-GB"/>
        </w:rPr>
      </w:pPr>
    </w:p>
    <w:p xmlns:wp14="http://schemas.microsoft.com/office/word/2010/wordml" w:rsidP="75304EF6" wp14:paraId="6BA77AE6" wp14:textId="68462FDF">
      <w:pPr>
        <w:rPr>
          <w:rFonts w:ascii="Aptos" w:hAnsi="Aptos" w:eastAsia="Aptos" w:cs="Aptos"/>
          <w:noProof w:val="0"/>
          <w:sz w:val="24"/>
          <w:szCs w:val="24"/>
          <w:lang w:val="en-GB"/>
        </w:rPr>
      </w:pPr>
    </w:p>
    <w:p xmlns:wp14="http://schemas.microsoft.com/office/word/2010/wordml" w:rsidP="75304EF6" wp14:paraId="5E615A46" wp14:textId="1EBDC361">
      <w:pPr>
        <w:rPr>
          <w:rFonts w:ascii="Aptos" w:hAnsi="Aptos" w:eastAsia="Aptos" w:cs="Aptos"/>
          <w:noProof w:val="0"/>
          <w:sz w:val="24"/>
          <w:szCs w:val="24"/>
          <w:lang w:val="en-GB"/>
        </w:rPr>
      </w:pPr>
    </w:p>
    <w:p xmlns:wp14="http://schemas.microsoft.com/office/word/2010/wordml" w:rsidP="75304EF6" wp14:paraId="73124FC1" wp14:textId="4A10C419">
      <w:pPr>
        <w:rPr>
          <w:rFonts w:ascii="Aptos" w:hAnsi="Aptos" w:eastAsia="Aptos" w:cs="Aptos"/>
          <w:noProof w:val="0"/>
          <w:sz w:val="24"/>
          <w:szCs w:val="24"/>
          <w:lang w:val="en-GB"/>
        </w:rPr>
      </w:pPr>
    </w:p>
    <w:p xmlns:wp14="http://schemas.microsoft.com/office/word/2010/wordml" w:rsidP="75304EF6" wp14:paraId="40CC1E27" wp14:textId="67F71C0F">
      <w:pPr>
        <w:rPr>
          <w:rFonts w:ascii="Aptos" w:hAnsi="Aptos" w:eastAsia="Aptos" w:cs="Aptos"/>
          <w:noProof w:val="0"/>
          <w:sz w:val="24"/>
          <w:szCs w:val="24"/>
          <w:lang w:val="en-GB"/>
        </w:rPr>
      </w:pPr>
    </w:p>
    <w:p xmlns:wp14="http://schemas.microsoft.com/office/word/2010/wordml" w:rsidP="75304EF6" wp14:paraId="6C5AAAA6" wp14:textId="548504E1">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Davis, Emily R., &amp; Clarke, Michael J. (2022)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Modern marketing strategies,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Business Books Publishing</w:t>
      </w:r>
    </w:p>
    <w:p xmlns:wp14="http://schemas.microsoft.com/office/word/2010/wordml" w:rsidP="75304EF6" wp14:paraId="08D32308" wp14:textId="056A87EB">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20943540" wp14:textId="2F52186B">
      <w:pPr>
        <w:spacing w:before="204" w:beforeAutospacing="off" w:after="204"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Department for Environment, Food &amp; Rural Affairs (DEFRA) (2020)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UK climate change risk assessment 2020,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Uk Government </w:t>
      </w:r>
      <w:hyperlink r:id="R30426a7090a54b84">
        <w:r w:rsidRPr="75304EF6" w:rsidR="2A643280">
          <w:rPr>
            <w:rStyle w:val="Hyperlink"/>
            <w:rFonts w:ascii="Aptos" w:hAnsi="Aptos" w:eastAsia="Aptos" w:cs="Aptos" w:asciiTheme="minorAscii" w:hAnsiTheme="minorAscii" w:eastAsiaTheme="minorAscii" w:cstheme="minorAscii"/>
            <w:strike w:val="0"/>
            <w:dstrike w:val="0"/>
            <w:noProof w:val="0"/>
            <w:sz w:val="24"/>
            <w:szCs w:val="24"/>
            <w:lang w:val="en-GB"/>
          </w:rPr>
          <w:t>https://www.gov.uk/government/publications/uk-climate-change-risk-assessment-2020</w:t>
        </w:r>
      </w:hyperlink>
    </w:p>
    <w:p xmlns:wp14="http://schemas.microsoft.com/office/word/2010/wordml" w:rsidP="75304EF6" wp14:paraId="7D351B14" wp14:textId="3EC6E74A">
      <w:pPr>
        <w:spacing w:before="204" w:beforeAutospacing="off" w:after="204" w:afterAutospacing="off"/>
        <w:rPr>
          <w:rFonts w:ascii="Aptos" w:hAnsi="Aptos" w:eastAsia="Aptos" w:cs="Aptos" w:asciiTheme="minorAscii" w:hAnsiTheme="minorAscii" w:eastAsiaTheme="minorAscii" w:cstheme="minorAscii"/>
          <w:strike w:val="0"/>
          <w:dstrike w:val="0"/>
          <w:noProof w:val="0"/>
          <w:sz w:val="24"/>
          <w:szCs w:val="24"/>
          <w:lang w:val="en-GB"/>
        </w:rPr>
      </w:pPr>
    </w:p>
    <w:p xmlns:wp14="http://schemas.microsoft.com/office/word/2010/wordml" w:rsidP="75304EF6" wp14:paraId="7FD23C19" wp14:textId="0231B9C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Garcia, Maria T. (2022) The Global Times;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Climate change impacts on coastal cities </w:t>
      </w:r>
      <w:hyperlink r:id="R37e1d62030d0479f">
        <w:r w:rsidRPr="75304EF6" w:rsidR="2A643280">
          <w:rPr>
            <w:rStyle w:val="Hyperlink"/>
            <w:rFonts w:ascii="Aptos" w:hAnsi="Aptos" w:eastAsia="Aptos" w:cs="Aptos" w:asciiTheme="minorAscii" w:hAnsiTheme="minorAscii" w:eastAsiaTheme="minorAscii" w:cstheme="minorAscii"/>
            <w:strike w:val="0"/>
            <w:dstrike w:val="0"/>
            <w:noProof w:val="0"/>
            <w:sz w:val="24"/>
            <w:szCs w:val="24"/>
            <w:lang w:val="en-GB"/>
          </w:rPr>
          <w:t>https://globaltimes.com/climate/coastal-impact</w:t>
        </w:r>
      </w:hyperlink>
    </w:p>
    <w:p xmlns:wp14="http://schemas.microsoft.com/office/word/2010/wordml" w:rsidP="75304EF6" wp14:paraId="2C55DE77" wp14:textId="54EE5A7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714EE7A0" wp14:textId="72780C94">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Kim, Sang H., Patel, Raj, &amp; Wilson, John D. World Health Organization (2023)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Mental health and COVID-19 </w:t>
      </w:r>
      <w:hyperlink r:id="R37321c81f9df4400">
        <w:r w:rsidRPr="75304EF6" w:rsidR="2A643280">
          <w:rPr>
            <w:rStyle w:val="Hyperlink"/>
            <w:rFonts w:ascii="Aptos" w:hAnsi="Aptos" w:eastAsia="Aptos" w:cs="Aptos" w:asciiTheme="minorAscii" w:hAnsiTheme="minorAscii" w:eastAsiaTheme="minorAscii" w:cstheme="minorAscii"/>
            <w:strike w:val="0"/>
            <w:dstrike w:val="0"/>
            <w:noProof w:val="0"/>
            <w:sz w:val="24"/>
            <w:szCs w:val="24"/>
            <w:lang w:val="en-GB"/>
          </w:rPr>
          <w:t>https://www.who.int/mental_health/covid-195</w:t>
        </w:r>
      </w:hyperlink>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xmlns:wp14="http://schemas.microsoft.com/office/word/2010/wordml" w:rsidP="75304EF6" wp14:paraId="62761F6B" wp14:textId="7BA233DF">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74140938" wp14:textId="39331EB5">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Lee, Anna M (2020) Cognitive development in early childhood in Springer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child development theories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(pp. 45 – 67) Brown, Peter &amp; Green, Lucy</w:t>
      </w:r>
    </w:p>
    <w:p xmlns:wp14="http://schemas.microsoft.com/office/word/2010/wordml" w:rsidP="75304EF6" wp14:paraId="5466AE51" wp14:textId="5A91B152">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270AA911" wp14:textId="06B6EFF3">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London, UK, NHS Greater London Trust (2020)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Annual patient satisfaction survey report</w:t>
      </w:r>
    </w:p>
    <w:p xmlns:wp14="http://schemas.microsoft.com/office/word/2010/wordml" w:rsidP="75304EF6" wp14:paraId="6C629964" wp14:textId="2C7930E7">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07A31B94" wp14:textId="59FBBC31">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Martinez, Sofia L (2022)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Advances in renewable energy storage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in International Symposium on Sustainable Energy (October 14, 2022); Berlin, Germany</w:t>
      </w:r>
    </w:p>
    <w:p xmlns:wp14="http://schemas.microsoft.com/office/word/2010/wordml" w:rsidP="75304EF6" wp14:paraId="2B8795BE" wp14:textId="700C678F">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1B5A4634" wp14:textId="7EB4E2EC">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Morgan, S David (2021)</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Machine learning applications in healthcare diagnostics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12345678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Master's</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thesis]. University of Edinburgh, ProQuest Dissertations &amp; Theses Global</w:t>
      </w:r>
    </w:p>
    <w:p xmlns:wp14="http://schemas.microsoft.com/office/word/2010/wordml" w:rsidP="75304EF6" wp14:paraId="3315485F" wp14:textId="7BB0CFB8">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20B46A70" wp14:textId="5E09F648">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Nguyen, L. T., O'Connell, M. A., Li, S. J., Rivera, P. M., Adams, F. R., Chen, H. Y., Bailey, T. K., Jones, A. R., Walker, C. L., &amp; Ahmed, S. E. (2022) Cognitive flexibility and executive function in early adulthood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Journal of Experimental Psychology: General 151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(issue 4) pp. 789 – 805 DOI: 10.1037/xge0001223</w:t>
      </w:r>
    </w:p>
    <w:p xmlns:wp14="http://schemas.microsoft.com/office/word/2010/wordml" w:rsidP="75304EF6" wp14:paraId="1DFFDD49" wp14:textId="2CA0039F">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716BC69D" wp14:textId="76861B1A">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Reynolds, Katie M. (2023)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Mindful Living How mindfulness improves productivity </w:t>
      </w:r>
      <w:hyperlink r:id="R4fb42e27b0364289">
        <w:r w:rsidRPr="75304EF6" w:rsidR="2A643280">
          <w:rPr>
            <w:rStyle w:val="Hyperlink"/>
            <w:rFonts w:ascii="Aptos" w:hAnsi="Aptos" w:eastAsia="Aptos" w:cs="Aptos" w:asciiTheme="minorAscii" w:hAnsiTheme="minorAscii" w:eastAsiaTheme="minorAscii" w:cstheme="minorAscii"/>
            <w:strike w:val="0"/>
            <w:dstrike w:val="0"/>
            <w:noProof w:val="0"/>
            <w:sz w:val="24"/>
            <w:szCs w:val="24"/>
            <w:lang w:val="en-GB"/>
          </w:rPr>
          <w:t>https://mindfulliving.com/how-mindfulness-improves-productivity</w:t>
        </w:r>
      </w:hyperlink>
    </w:p>
    <w:p xmlns:wp14="http://schemas.microsoft.com/office/word/2010/wordml" w:rsidP="75304EF6" wp14:paraId="3BA4CB34" wp14:textId="05248FA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0B942DFA" wp14:textId="45E4A2E5">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Singh, Rajesh &amp; Cohen, Alan</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Blockchain technology in finance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in Hoa P. Nguyen</w:t>
      </w:r>
    </w:p>
    <w:p xmlns:wp14="http://schemas.microsoft.com/office/word/2010/wordml" w:rsidP="75304EF6" wp14:paraId="1E923C27" wp14:textId="22A07931">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(2018</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Innovations</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in financial technology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(pp. 122 – 139) Wiley Online Library</w:t>
      </w:r>
    </w:p>
    <w:p xmlns:wp14="http://schemas.microsoft.com/office/word/2010/wordml" w:rsidP="75304EF6" wp14:paraId="1AD78B1D" wp14:textId="054A1803">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20858115" wp14:textId="2A63ADA1">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Smith, John A (2019)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Understanding Psychology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3</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vertAlign w:val="superscript"/>
          <w:lang w:val="en-GB"/>
        </w:rPr>
        <w:t>rd</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edition) Academic Press</w:t>
      </w:r>
    </w:p>
    <w:p xmlns:wp14="http://schemas.microsoft.com/office/word/2010/wordml" w:rsidP="75304EF6" wp14:paraId="393924D4" wp14:textId="34EAA92E">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56598BD6" wp14:textId="48E429CB">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Sunita, R. Patel (2020)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The rise of digital therapy.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The Psychologist (vol. 22 issue 6), (pp. 48-53)</w:t>
      </w:r>
    </w:p>
    <w:p xmlns:wp14="http://schemas.microsoft.com/office/word/2010/wordml" w:rsidP="75304EF6" wp14:paraId="0C9D0A6F" wp14:textId="02C1570C">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7E1FF4C0" wp14:textId="41FDB359">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Thomson, E. Rachel (2018) Social media effects on adolescent mental health. J</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ournal of Adolescent Health 62 4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pp. 410 – 417, DOI 10.1016/j.jadohealth.2017.11.290</w:t>
      </w:r>
    </w:p>
    <w:p xmlns:wp14="http://schemas.microsoft.com/office/word/2010/wordml" w:rsidP="75304EF6" wp14:paraId="272D9AEA" wp14:textId="7B170018">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3FBFA949" wp14:textId="7462677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University of Oxford (2022)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Referencing and citation guide </w:t>
      </w:r>
      <w:hyperlink r:id="Rdfff0e18ef8c45d7">
        <w:r w:rsidRPr="75304EF6" w:rsidR="2A643280">
          <w:rPr>
            <w:rStyle w:val="Hyperlink"/>
            <w:rFonts w:ascii="Aptos" w:hAnsi="Aptos" w:eastAsia="Aptos" w:cs="Aptos" w:asciiTheme="minorAscii" w:hAnsiTheme="minorAscii" w:eastAsiaTheme="minorAscii" w:cstheme="minorAscii"/>
            <w:strike w:val="0"/>
            <w:dstrike w:val="0"/>
            <w:noProof w:val="0"/>
            <w:sz w:val="24"/>
            <w:szCs w:val="24"/>
            <w:lang w:val="en-GB"/>
          </w:rPr>
          <w:t>https://www.ox.ac.uk/students/academic/referencing</w:t>
        </w:r>
      </w:hyperlink>
    </w:p>
    <w:p xmlns:wp14="http://schemas.microsoft.com/office/word/2010/wordml" w:rsidP="75304EF6" wp14:paraId="688ACD8F" wp14:textId="22AF17F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7701F337" wp14:textId="0D3B2124">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U.S. Department of Education, (2017)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National education technology plan 2017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(Report No. ED-ICT-17-01) </w:t>
      </w:r>
      <w:hyperlink r:id="Rf6505a510eb04585">
        <w:r w:rsidRPr="75304EF6" w:rsidR="2A643280">
          <w:rPr>
            <w:rStyle w:val="Hyperlink"/>
            <w:rFonts w:ascii="Aptos" w:hAnsi="Aptos" w:eastAsia="Aptos" w:cs="Aptos" w:asciiTheme="minorAscii" w:hAnsiTheme="minorAscii" w:eastAsiaTheme="minorAscii" w:cstheme="minorAscii"/>
            <w:strike w:val="0"/>
            <w:dstrike w:val="0"/>
            <w:noProof w:val="0"/>
            <w:sz w:val="24"/>
            <w:szCs w:val="24"/>
            <w:lang w:val="en-GB"/>
          </w:rPr>
          <w:t>https://tech.ed.gov/netp</w:t>
        </w:r>
      </w:hyperlink>
    </w:p>
    <w:p xmlns:wp14="http://schemas.microsoft.com/office/word/2010/wordml" w:rsidP="75304EF6" wp14:paraId="5183B6F8" wp14:textId="1278B76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5FE8EE3E" wp14:textId="75C0E51E">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Virtual reality in education: A meta-analysis (2021),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Educational Technology Research and Development v 2</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vertAlign w:val="superscript"/>
          <w:lang w:val="en-GB"/>
        </w:rPr>
        <w:t>nd</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ed (vol.69., pp. 1105 – 1123) DOI: 10.1007/s11423-020-09834-7</w:t>
      </w:r>
    </w:p>
    <w:p xmlns:wp14="http://schemas.microsoft.com/office/word/2010/wordml" w:rsidP="75304EF6" wp14:paraId="585B349D" wp14:textId="6856097C">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010CB092" wp14:textId="47D66F01">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Williams, Jessica L. (2020)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Exploring sustainable urban development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[Doctoral dissertation] University of California, </w:t>
      </w:r>
      <w:hyperlink r:id="Re3a65bc3c3ba4d33">
        <w:r w:rsidRPr="75304EF6" w:rsidR="2A643280">
          <w:rPr>
            <w:rStyle w:val="Hyperlink"/>
            <w:rFonts w:ascii="Aptos" w:hAnsi="Aptos" w:eastAsia="Aptos" w:cs="Aptos" w:asciiTheme="minorAscii" w:hAnsiTheme="minorAscii" w:eastAsiaTheme="minorAscii" w:cstheme="minorAscii"/>
            <w:strike w:val="0"/>
            <w:dstrike w:val="0"/>
            <w:noProof w:val="0"/>
            <w:sz w:val="24"/>
            <w:szCs w:val="24"/>
            <w:lang w:val="en-GB"/>
          </w:rPr>
          <w:t>https://escholarship.org/uc/item/7gp4v2cd10</w:t>
        </w:r>
      </w:hyperlink>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75304EF6" w:rsidR="2A64328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Book with two authors</w:t>
      </w:r>
    </w:p>
    <w:p xmlns:wp14="http://schemas.microsoft.com/office/word/2010/wordml" w:rsidP="75304EF6" wp14:paraId="0ADF5152" wp14:textId="0A0871BA">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1C3A16DE" wp14:textId="676EBF2A">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Zhao, Lingg (2019) </w:t>
      </w:r>
      <w:r w:rsidRPr="75304EF6" w:rsidR="2A64328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Enhancing user experience in mobile apps,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Proceedings of the International Conference on Human-Computer Interaction, ACM press </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pp.</w:t>
      </w:r>
      <w:r w:rsidRPr="75304EF6" w:rsidR="2A6432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102 –110) DOI: 10.1145/3313831.3376310</w:t>
      </w:r>
    </w:p>
    <w:p xmlns:wp14="http://schemas.microsoft.com/office/word/2010/wordml" w:rsidP="75304EF6" wp14:paraId="30D25221" wp14:textId="4A2044A8">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37EDD9D1" wp14:textId="352A6EDB">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3D941449" wp14:textId="4E65CC75">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7250AAA6" wp14:textId="4F0F6920">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5304EF6" wp14:paraId="0AF9FDED" wp14:textId="6DDAC808">
      <w:pPr>
        <w:spacing w:before="240" w:beforeAutospacing="off" w:after="240" w:afterAutospacing="off"/>
        <w:jc w:val="cente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C0925AA" wp14:editId="617F0C33">
                <wp:extent xmlns:wp="http://schemas.openxmlformats.org/drawingml/2006/wordprocessingDrawing" cx="5535930" cy="1851025"/>
                <wp:effectExtent xmlns:wp="http://schemas.openxmlformats.org/drawingml/2006/wordprocessingDrawing" l="0" t="0" r="26670" b="15875"/>
                <wp:docPr xmlns:wp="http://schemas.openxmlformats.org/drawingml/2006/wordprocessingDrawing" id="133286296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535930" cy="1851025"/>
                          <a:chOff x="0" y="0"/>
                          <a:chExt cx="6172200" cy="1571625"/>
                        </a:xfrm>
                      </wpg:grpSpPr>
                      <wps:wsp xmlns:wps="http://schemas.microsoft.com/office/word/2010/wordprocessingShape">
                        <wps:cNvPr id="642956026" name="Rectangle 642956026"/>
                        <wps:cNvSpPr/>
                        <wps:spPr>
                          <a:xfrm>
                            <a:off x="0" y="0"/>
                            <a:ext cx="6172200" cy="1571625"/>
                          </a:xfrm>
                          <a:prstGeom prst="rect">
                            <a:avLst/>
                          </a:prstGeom>
                          <a:solidFill>
                            <a:schemeClr val="accent5">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696204152" name="Rectangle 1696204152"/>
                        <wps:cNvSpPr/>
                        <wps:spPr>
                          <a:xfrm>
                            <a:off x="219075" y="161925"/>
                            <a:ext cx="5715000" cy="1219200"/>
                          </a:xfrm>
                          <a:prstGeom prst="rect">
                            <a:avLst/>
                          </a:prstGeom>
                          <a:solidFill>
                            <a:schemeClr val="accent5">
                              <a:lumMod val="20000"/>
                              <a:lumOff val="80000"/>
                            </a:schemeClr>
                          </a:solidFill>
                          <a:ln>
                            <a:solidFill>
                              <a:srgbClr val="000000"/>
                            </a:solidFill>
                          </a:ln>
                        </wps:spPr>
                        <wps:txbx>
                          <w:txbxContent xmlns:w="http://schemas.openxmlformats.org/wordprocessingml/2006/main">
                            <w:p w:rsidR="001E1B11" w:rsidP="003170DF" w:rsidRDefault="001E1B11">
                              <w:pPr>
                                <w:spacing w:line="276" w:lineRule="auto"/>
                                <w:jc w:val="center"/>
                                <w:rPr>
                                  <w:rFonts w:ascii="Aptos" w:hAnsi="Aptos"/>
                                  <w:color w:val="000000"/>
                                  <w:kern w:val="0"/>
                                  <w:sz w:val="36"/>
                                  <w:szCs w:val="36"/>
                                  <w:lang w:val="en-US"/>
                                  <w14:ligatures xmlns:w14="http://schemas.microsoft.com/office/word/2010/wordml" w14:val="none"/>
                                </w:rPr>
                              </w:pPr>
                              <w:r>
                                <w:rPr>
                                  <w:rFonts w:ascii="Aptos" w:hAnsi="Aptos"/>
                                  <w:color w:val="000000"/>
                                  <w:sz w:val="36"/>
                                  <w:szCs w:val="36"/>
                                  <w:lang w:val="en-US"/>
                                </w:rPr>
                                <w:t>(Essay title)</w:t>
                              </w:r>
                            </w:p>
                            <w:p w:rsidR="001E1B11" w:rsidP="003170DF" w:rsidRDefault="001E1B11">
                              <w:pPr>
                                <w:spacing w:line="276" w:lineRule="auto"/>
                                <w:jc w:val="center"/>
                                <w:rPr>
                                  <w:rFonts w:ascii="Aptos" w:hAnsi="Aptos"/>
                                  <w:color w:val="000000"/>
                                  <w:sz w:val="36"/>
                                  <w:szCs w:val="36"/>
                                  <w:lang w:val="en-US"/>
                                </w:rPr>
                              </w:pPr>
                              <w:r>
                                <w:rPr>
                                  <w:rFonts w:ascii="Aptos" w:hAnsi="Aptos"/>
                                  <w:color w:val="000000"/>
                                  <w:sz w:val="36"/>
                                  <w:szCs w:val="36"/>
                                  <w:lang w:val="en-US"/>
                                </w:rPr>
                                <w:t>How has our understanding of melancholia, and its treatment have changed over time?</w:t>
                              </w:r>
                            </w:p>
                          </w:txbxContent>
                        </wps:txbx>
                        <wps:bodyPr anchor="t"/>
                      </wps:wsp>
                    </wpg:wgp>
                  </a:graphicData>
                </a:graphic>
              </wp:inline>
            </w:drawing>
          </mc:Choice>
          <mc:Fallback xmlns:a="http://schemas.openxmlformats.org/drawingml/2006/main" xmlns:mc="http://schemas.openxmlformats.org/markup-compatibility/2006"/>
        </mc:AlternateContent>
      </w:r>
    </w:p>
    <w:p xmlns:wp14="http://schemas.microsoft.com/office/word/2010/wordml" w:rsidP="75304EF6" wp14:paraId="6A99F0CF" wp14:textId="4CA0C172" wp14:noSpellErr="1">
      <w:pPr>
        <w:pStyle w:val="Normal"/>
        <w:jc w:val="cente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CD7BD29" wp14:editId="17D553A5">
                <wp:extent xmlns:wp="http://schemas.openxmlformats.org/drawingml/2006/wordprocessingDrawing" cx="6197600" cy="2182495"/>
                <wp:effectExtent xmlns:wp="http://schemas.openxmlformats.org/drawingml/2006/wordprocessingDrawing" l="0" t="0" r="12700" b="27305"/>
                <wp:docPr xmlns:wp="http://schemas.openxmlformats.org/drawingml/2006/wordprocessingDrawing" id="39312219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197600" cy="2182495"/>
                        </a:xfrm>
                        <a:prstGeom prst="rect">
                          <a:avLst/>
                        </a:prstGeom>
                        <a:solidFill>
                          <a:schemeClr val="accent5">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2964C2" w:rsidP="002964C2" w:rsidRDefault="002964C2">
                            <w:pPr>
                              <w:spacing w:line="276" w:lineRule="auto"/>
                              <w:jc w:val="center"/>
                              <w:rPr>
                                <w:rFonts w:hAnsi="Aptos" w:eastAsia="Aptos" w:cs="Aptos"/>
                                <w:color w:val="000000"/>
                                <w:kern w:val="0"/>
                                <w:sz w:val="22"/>
                                <w:szCs w:val="22"/>
                                <w:lang w:val="en-US"/>
                                <w14:ligatures xmlns:w14="http://schemas.microsoft.com/office/word/2010/wordml" w14:val="none"/>
                              </w:rPr>
                            </w:pPr>
                            <w:r>
                              <w:rPr>
                                <w:rFonts w:hAnsi="Aptos" w:eastAsia="Aptos" w:cs="Aptos"/>
                                <w:color w:val="000000"/>
                                <w:sz w:val="22"/>
                                <w:szCs w:val="22"/>
                                <w:lang w:val="en-US"/>
                              </w:rPr>
                              <w:t>(introduction)</w:t>
                            </w:r>
                          </w:p>
                          <w:p w:rsidR="002964C2" w:rsidP="002964C2" w:rsidRDefault="002964C2">
                            <w:pPr>
                              <w:spacing w:line="276" w:lineRule="auto"/>
                              <w:jc w:val="center"/>
                              <w:rPr>
                                <w:rFonts w:hAnsi="Aptos" w:eastAsia="Aptos" w:cs="Aptos"/>
                                <w:color w:val="000000"/>
                                <w:sz w:val="36"/>
                                <w:szCs w:val="36"/>
                                <w:lang w:val="en-US"/>
                              </w:rPr>
                            </w:pPr>
                            <w:r>
                              <w:rPr>
                                <w:rFonts w:hAnsi="Aptos" w:eastAsia="Aptos" w:cs="Aptos"/>
                                <w:color w:val="000000"/>
                                <w:sz w:val="36"/>
                                <w:szCs w:val="36"/>
                                <w:lang w:val="en-US"/>
                              </w:rPr>
                              <w:t xml:space="preserve">What melancholias defenition is </w:t>
                            </w:r>
                          </w:p>
                          <w:p w:rsidR="002964C2" w:rsidP="002964C2" w:rsidRDefault="002964C2">
                            <w:pPr>
                              <w:spacing w:line="276" w:lineRule="auto"/>
                              <w:jc w:val="center"/>
                              <w:rPr>
                                <w:rFonts w:hAnsi="Aptos" w:eastAsia="Aptos" w:cs="Aptos"/>
                                <w:color w:val="000000"/>
                                <w:sz w:val="36"/>
                                <w:szCs w:val="36"/>
                                <w:lang w:val="en-US"/>
                              </w:rPr>
                            </w:pPr>
                            <w:r>
                              <w:rPr>
                                <w:rFonts w:hAnsi="Aptos" w:eastAsia="Aptos" w:cs="Aptos"/>
                                <w:color w:val="000000"/>
                                <w:sz w:val="36"/>
                                <w:szCs w:val="36"/>
                                <w:lang w:val="en-US"/>
                              </w:rPr>
                              <w:t>What the causes of melancholia could be</w:t>
                            </w:r>
                          </w:p>
                          <w:p w:rsidR="002964C2" w:rsidP="002964C2" w:rsidRDefault="002964C2">
                            <w:pPr>
                              <w:spacing w:line="276" w:lineRule="auto"/>
                              <w:jc w:val="center"/>
                              <w:rPr>
                                <w:rFonts w:hAnsi="Aptos" w:eastAsia="Aptos" w:cs="Aptos"/>
                                <w:color w:val="000000"/>
                                <w:sz w:val="36"/>
                                <w:szCs w:val="36"/>
                                <w:lang w:val="en-US"/>
                              </w:rPr>
                            </w:pPr>
                            <w:r>
                              <w:rPr>
                                <w:rFonts w:hAnsi="Aptos" w:eastAsia="Aptos" w:cs="Aptos"/>
                                <w:color w:val="000000"/>
                                <w:sz w:val="36"/>
                                <w:szCs w:val="36"/>
                                <w:lang w:val="en-US"/>
                              </w:rPr>
                              <w:t>Symptoms of melancholia</w:t>
                            </w:r>
                          </w:p>
                          <w:p w:rsidR="002964C2" w:rsidP="002964C2" w:rsidRDefault="002964C2">
                            <w:pPr>
                              <w:spacing w:line="276" w:lineRule="auto"/>
                              <w:jc w:val="center"/>
                              <w:rPr>
                                <w:rFonts w:hAnsi="Aptos" w:eastAsia="Aptos" w:cs="Aptos"/>
                                <w:color w:val="000000"/>
                                <w:sz w:val="36"/>
                                <w:szCs w:val="36"/>
                                <w:lang w:val="en-US"/>
                              </w:rPr>
                            </w:pPr>
                            <w:r>
                              <w:rPr>
                                <w:rFonts w:hAnsi="Aptos" w:eastAsia="Aptos" w:cs="Aptos"/>
                                <w:color w:val="000000"/>
                                <w:sz w:val="36"/>
                                <w:szCs w:val="36"/>
                                <w:lang w:val="en-US"/>
                              </w:rPr>
                              <w:t>Breif example of melancholia treatments over time</w:t>
                            </w:r>
                          </w:p>
                        </w:txbxContent>
                      </wps:txbx>
                      <wps:bodyPr anchor="ctr"/>
                    </wps:wsp>
                  </a:graphicData>
                </a:graphic>
              </wp:inline>
            </w:drawing>
          </mc:Choice>
          <mc:Fallback xmlns:mc="http://schemas.openxmlformats.org/markup-compatibility/2006"/>
        </mc:AlternateContent>
      </w:r>
    </w:p>
    <w:p xmlns:wp14="http://schemas.microsoft.com/office/word/2010/wordml" w:rsidP="75304EF6" wp14:paraId="711F31B1" wp14:textId="57D15B13">
      <w:pPr>
        <w:pStyle w:val="Normal"/>
      </w:pPr>
    </w:p>
    <w:p xmlns:wp14="http://schemas.microsoft.com/office/word/2010/wordml" w:rsidP="75304EF6" wp14:paraId="2EF7262D" wp14:textId="7BFA5B22">
      <w:pPr>
        <w:pStyle w:val="Normal"/>
        <w:rPr>
          <w:rFonts w:ascii="Aptos" w:hAnsi="Aptos" w:eastAsia="Aptos" w:cs="Aptos" w:asciiTheme="minorAscii" w:hAnsiTheme="minorAscii" w:eastAsiaTheme="minorAscii" w:cstheme="minorAscii"/>
          <w:sz w:val="24"/>
          <w:szCs w:val="24"/>
        </w:rPr>
      </w:pPr>
    </w:p>
    <w:p xmlns:wp14="http://schemas.microsoft.com/office/word/2010/wordml" w:rsidP="75304EF6" wp14:paraId="049A907C" wp14:textId="3EB51D0F">
      <w:pPr>
        <w:jc w:val="center"/>
        <w:rPr>
          <w:rFonts w:ascii="Aptos" w:hAnsi="Aptos" w:eastAsia="Aptos" w:cs="Aptos" w:asciiTheme="minorAscii" w:hAnsiTheme="minorAscii" w:eastAsiaTheme="minorAscii" w:cstheme="minorAscii"/>
          <w:noProof w:val="0"/>
          <w:sz w:val="24"/>
          <w:szCs w:val="24"/>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EF46C7C" wp14:editId="278CD823">
                <wp:extent xmlns:wp="http://schemas.openxmlformats.org/drawingml/2006/wordprocessingDrawing" cx="5811520" cy="7598410"/>
                <wp:effectExtent xmlns:wp="http://schemas.openxmlformats.org/drawingml/2006/wordprocessingDrawing" l="0" t="0" r="17780" b="21590"/>
                <wp:docPr xmlns:wp="http://schemas.openxmlformats.org/drawingml/2006/wordprocessingDrawing" id="230755176"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811520" cy="7598410"/>
                        </a:xfrm>
                        <a:prstGeom prst="rect">
                          <a:avLst/>
                        </a:prstGeom>
                        <a:solidFill>
                          <a:schemeClr val="accent5">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858C4" w:rsidP="00262779" w:rsidRDefault="00E858C4">
                            <w:pPr>
                              <w:jc w:val="center"/>
                              <w:rPr>
                                <w:rFonts w:ascii="Aptos" w:hAnsi="Aptos"/>
                                <w:color w:val="000000" w:themeColor="text1"/>
                                <w:kern w:val="0"/>
                                <w:sz w:val="36"/>
                                <w:szCs w:val="36"/>
                                <w:lang w:val="en-US"/>
                                <w14:ligatures xmlns:w14="http://schemas.microsoft.com/office/word/2010/wordml" w14:val="none"/>
                              </w:rPr>
                            </w:pPr>
                            <w:r>
                              <w:rPr>
                                <w:rFonts w:ascii="Aptos" w:hAnsi="Aptos"/>
                                <w:color w:val="000000" w:themeColor="text1"/>
                                <w:sz w:val="36"/>
                                <w:szCs w:val="36"/>
                                <w:lang w:val="en-US"/>
                              </w:rPr>
                              <w:t>(Main body)</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Why has the treatment changed over time and what is the signifigance of that.</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Who developed the treatment for melancholia.</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How has peoples idea of melancholia changed over time.</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The first documented cases of melancholia.</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 xml:space="preserve">What were the </w:t>
                            </w:r>
                            <w:r>
                              <w:rPr>
                                <w:rFonts w:ascii="Aptos" w:hAnsi="Aptos"/>
                                <w:color w:val="000000" w:themeColor="text1"/>
                                <w:sz w:val="36"/>
                                <w:szCs w:val="36"/>
                                <w:lang w:val="en-US"/>
                              </w:rPr>
                              <w:t>affects that the early treatments would have on the patients</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How were people with melacholia treated compared with now.</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Is melancholia curable.</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Are there more cases of people recovering from melancholia now in comparison to in the 4th centure BCE.</w:t>
                            </w:r>
                          </w:p>
                          <w:p w:rsidR="00E858C4" w:rsidP="00262779" w:rsidRDefault="00E858C4">
                            <w:pPr>
                              <w:jc w:val="center"/>
                              <w:rPr>
                                <w:rFonts w:ascii="Aptos" w:hAnsi="Aptos"/>
                                <w:color w:val="000000" w:themeColor="text1"/>
                                <w:sz w:val="36"/>
                                <w:szCs w:val="36"/>
                                <w:lang w:val="en-US"/>
                              </w:rPr>
                            </w:pPr>
                            <w:r>
                              <w:rPr>
                                <w:rFonts w:ascii="Aptos" w:hAnsi="Aptos"/>
                                <w:color w:val="000000" w:themeColor="text1"/>
                                <w:sz w:val="36"/>
                                <w:szCs w:val="36"/>
                                <w:lang w:val="en-US"/>
                              </w:rPr>
                              <w:t>Was the treatment ethical - and why this is important to consider.</w:t>
                            </w:r>
                          </w:p>
                        </w:txbxContent>
                      </wps:txbx>
                      <wps:bodyPr anchor="ctr"/>
                    </wps:wsp>
                  </a:graphicData>
                </a:graphic>
              </wp:inline>
            </w:drawing>
          </mc:Choice>
          <mc:Fallback xmlns:a="http://schemas.openxmlformats.org/drawingml/2006/main" xmlns:mc="http://schemas.openxmlformats.org/markup-compatibility/2006"/>
        </mc:AlternateContent>
      </w:r>
    </w:p>
    <w:p xmlns:wp14="http://schemas.microsoft.com/office/word/2010/wordml" w:rsidP="75304EF6" wp14:paraId="1F849A52" wp14:textId="70AE2442">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41C4A2CE" wp14:textId="36418548">
      <w:pPr>
        <w:jc w:val="center"/>
        <w:rPr>
          <w:rFonts w:ascii="Aptos" w:hAnsi="Aptos" w:eastAsia="Aptos" w:cs="Aptos" w:asciiTheme="minorAscii" w:hAnsiTheme="minorAscii" w:eastAsiaTheme="minorAscii" w:cstheme="minorAscii"/>
          <w:noProof w:val="0"/>
          <w:sz w:val="24"/>
          <w:szCs w:val="24"/>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6D5AB9A" wp14:editId="1D8E1B83">
                <wp:extent xmlns:wp="http://schemas.openxmlformats.org/drawingml/2006/wordprocessingDrawing" cx="6010275" cy="2562225"/>
                <wp:effectExtent xmlns:wp="http://schemas.openxmlformats.org/drawingml/2006/wordprocessingDrawing" l="0" t="0" r="28575" b="28575"/>
                <wp:docPr xmlns:wp="http://schemas.openxmlformats.org/drawingml/2006/wordprocessingDrawing" id="194731060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010275" cy="2562225"/>
                        </a:xfrm>
                        <a:prstGeom prst="rect">
                          <a:avLst/>
                        </a:prstGeom>
                        <a:solidFill>
                          <a:schemeClr val="accent5">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154A63" w:rsidP="00154A63" w:rsidRDefault="00154A63">
                            <w:pPr>
                              <w:jc w:val="center"/>
                              <w:rPr>
                                <w:rFonts w:ascii="Aptos" w:hAnsi="Aptos"/>
                                <w:color w:val="000000" w:themeColor="text1"/>
                                <w:kern w:val="0"/>
                                <w:sz w:val="22"/>
                                <w:szCs w:val="22"/>
                                <w:lang w:val="en-US"/>
                                <w14:ligatures xmlns:w14="http://schemas.microsoft.com/office/word/2010/wordml" w14:val="none"/>
                              </w:rPr>
                            </w:pPr>
                            <w:r>
                              <w:rPr>
                                <w:rFonts w:ascii="Aptos" w:hAnsi="Aptos"/>
                                <w:color w:val="000000" w:themeColor="text1"/>
                                <w:sz w:val="22"/>
                                <w:szCs w:val="22"/>
                                <w:lang w:val="en-US"/>
                              </w:rPr>
                              <w:t>(conclusion)</w:t>
                            </w:r>
                          </w:p>
                          <w:p w:rsidR="00154A63" w:rsidP="00154A63" w:rsidRDefault="00154A63">
                            <w:pPr>
                              <w:jc w:val="center"/>
                              <w:rPr>
                                <w:rFonts w:ascii="Aptos" w:hAnsi="Aptos"/>
                                <w:color w:val="000000" w:themeColor="text1"/>
                                <w:sz w:val="36"/>
                                <w:szCs w:val="36"/>
                                <w:lang w:val="en-US"/>
                              </w:rPr>
                            </w:pPr>
                            <w:r>
                              <w:rPr>
                                <w:rFonts w:ascii="Aptos" w:hAnsi="Aptos"/>
                                <w:color w:val="000000" w:themeColor="text1"/>
                                <w:sz w:val="36"/>
                                <w:szCs w:val="36"/>
                                <w:lang w:val="en-US"/>
                              </w:rPr>
                              <w:t>How the treatment has changed, and wether its for better or worse</w:t>
                            </w:r>
                          </w:p>
                          <w:p w:rsidR="00154A63" w:rsidP="00154A63" w:rsidRDefault="00154A63">
                            <w:pPr>
                              <w:jc w:val="center"/>
                              <w:rPr>
                                <w:rFonts w:ascii="Aptos" w:hAnsi="Aptos"/>
                                <w:color w:val="000000" w:themeColor="text1"/>
                                <w:sz w:val="36"/>
                                <w:szCs w:val="36"/>
                                <w:lang w:val="en-US"/>
                              </w:rPr>
                            </w:pPr>
                            <w:r>
                              <w:rPr>
                                <w:rFonts w:ascii="Aptos" w:hAnsi="Aptos"/>
                                <w:color w:val="000000" w:themeColor="text1"/>
                                <w:sz w:val="36"/>
                                <w:szCs w:val="36"/>
                                <w:lang w:val="en-US"/>
                              </w:rPr>
                              <w:t xml:space="preserve">The key takeaways of the transformation of the treatment </w:t>
                            </w:r>
                          </w:p>
                          <w:p w:rsidR="00154A63" w:rsidP="00154A63" w:rsidRDefault="00154A63">
                            <w:pPr>
                              <w:jc w:val="center"/>
                              <w:rPr>
                                <w:rFonts w:ascii="Aptos" w:hAnsi="Aptos"/>
                                <w:color w:val="000000" w:themeColor="text1"/>
                                <w:sz w:val="36"/>
                                <w:szCs w:val="36"/>
                                <w:lang w:val="en-US"/>
                              </w:rPr>
                            </w:pPr>
                            <w:r>
                              <w:rPr>
                                <w:rFonts w:ascii="Aptos" w:hAnsi="Aptos"/>
                                <w:color w:val="000000" w:themeColor="text1"/>
                                <w:sz w:val="36"/>
                                <w:szCs w:val="36"/>
                                <w:lang w:val="en-US"/>
                              </w:rPr>
                              <w:t>Reflection on what ive learned from my research</w:t>
                            </w:r>
                          </w:p>
                        </w:txbxContent>
                      </wps:txbx>
                      <wps:bodyPr anchor="ctr"/>
                    </wps:wsp>
                  </a:graphicData>
                </a:graphic>
              </wp:inline>
            </w:drawing>
          </mc:Choice>
          <mc:Fallback xmlns:mc="http://schemas.openxmlformats.org/markup-compatibility/2006"/>
        </mc:AlternateContent>
      </w:r>
    </w:p>
    <w:p xmlns:wp14="http://schemas.microsoft.com/office/word/2010/wordml" w:rsidP="75304EF6" wp14:paraId="4460BD59" wp14:textId="01DAFB39">
      <w:pPr>
        <w:jc w:val="center"/>
        <w:rPr>
          <w:rFonts w:ascii="Aptos" w:hAnsi="Aptos" w:eastAsia="Aptos" w:cs="Aptos" w:asciiTheme="minorAscii" w:hAnsiTheme="minorAscii" w:eastAsiaTheme="minorAscii" w:cstheme="minorAscii"/>
          <w:noProof w:val="0"/>
          <w:sz w:val="24"/>
          <w:szCs w:val="24"/>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F945863" wp14:editId="76559137">
                <wp:extent xmlns:wp="http://schemas.openxmlformats.org/drawingml/2006/wordprocessingDrawing" cx="5895975" cy="4648200"/>
                <wp:effectExtent xmlns:wp="http://schemas.openxmlformats.org/drawingml/2006/wordprocessingDrawing" l="0" t="0" r="28575" b="19050"/>
                <wp:docPr xmlns:wp="http://schemas.openxmlformats.org/drawingml/2006/wordprocessingDrawing" id="213406734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895975" cy="4648200"/>
                        </a:xfrm>
                        <a:prstGeom prst="rect">
                          <a:avLst/>
                        </a:prstGeom>
                        <a:solidFill>
                          <a:schemeClr val="accent5">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C00E81" w:rsidP="00C00E81" w:rsidRDefault="00C00E81">
                            <w:pPr>
                              <w:jc w:val="center"/>
                              <w:rPr>
                                <w:rFonts w:ascii="Aptos" w:hAnsi="Aptos"/>
                                <w:color w:val="000000" w:themeColor="text1"/>
                                <w:kern w:val="0"/>
                                <w:sz w:val="36"/>
                                <w:szCs w:val="36"/>
                                <w:lang w:val="en-US"/>
                                <w14:ligatures xmlns:w14="http://schemas.microsoft.com/office/word/2010/wordml" w14:val="none"/>
                              </w:rPr>
                            </w:pPr>
                            <w:r>
                              <w:rPr>
                                <w:rFonts w:ascii="Aptos" w:hAnsi="Aptos"/>
                                <w:color w:val="000000" w:themeColor="text1"/>
                                <w:sz w:val="36"/>
                                <w:szCs w:val="36"/>
                                <w:lang w:val="en-US"/>
                              </w:rPr>
                              <w:t>(research needed)</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Melancholia defenition</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The individual signs and causes of melacholia</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Melancholia treatments over time</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How social views have changed and the way those with melancholia are treated have changed</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Who developed treatmeats and diagnois</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 xml:space="preserve">Early cases of melacholia </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Possible side affects of the treatments over time</w:t>
                            </w:r>
                          </w:p>
                          <w:p w:rsidR="00C00E81" w:rsidP="00C00E81" w:rsidRDefault="00C00E81">
                            <w:pPr>
                              <w:jc w:val="center"/>
                              <w:rPr>
                                <w:rFonts w:ascii="Aptos" w:hAnsi="Aptos"/>
                                <w:color w:val="000000" w:themeColor="text1"/>
                                <w:sz w:val="36"/>
                                <w:szCs w:val="36"/>
                                <w:lang w:val="en-US"/>
                              </w:rPr>
                            </w:pPr>
                            <w:r>
                              <w:rPr>
                                <w:rFonts w:ascii="Aptos" w:hAnsi="Aptos"/>
                                <w:color w:val="000000" w:themeColor="text1"/>
                                <w:sz w:val="36"/>
                                <w:szCs w:val="36"/>
                                <w:lang w:val="en-US"/>
                              </w:rPr>
                              <w:t>Examples of people who have been cured of melancholia, and those who have not</w:t>
                            </w:r>
                          </w:p>
                        </w:txbxContent>
                      </wps:txbx>
                      <wps:bodyPr anchor="ctr"/>
                    </wps:wsp>
                  </a:graphicData>
                </a:graphic>
              </wp:inline>
            </w:drawing>
          </mc:Choice>
          <mc:Fallback xmlns:mc="http://schemas.openxmlformats.org/markup-compatibility/2006"/>
        </mc:AlternateContent>
      </w:r>
    </w:p>
    <w:p xmlns:wp14="http://schemas.microsoft.com/office/word/2010/wordml" w:rsidP="75304EF6" wp14:paraId="1993E87B" wp14:textId="3D916149">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0CDA6A91" wp14:textId="05B7535A">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626ABD4F" wp14:textId="5CD19AB2">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5EF4B8A7" wp14:textId="669A7960">
      <w:pPr>
        <w:jc w:val="center"/>
        <w:rPr>
          <w:rFonts w:ascii="Aptos" w:hAnsi="Aptos" w:eastAsia="Aptos" w:cs="Aptos" w:asciiTheme="minorAscii" w:hAnsiTheme="minorAscii" w:eastAsiaTheme="minorAscii" w:cstheme="minorAscii"/>
          <w:noProof w:val="0"/>
          <w:sz w:val="24"/>
          <w:szCs w:val="24"/>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E3329FF" wp14:editId="0F43A87C">
                <wp:extent xmlns:wp="http://schemas.openxmlformats.org/drawingml/2006/wordprocessingDrawing" cx="6191250" cy="4695825"/>
                <wp:effectExtent xmlns:wp="http://schemas.openxmlformats.org/drawingml/2006/wordprocessingDrawing" l="0" t="0" r="19050" b="28575"/>
                <wp:docPr xmlns:wp="http://schemas.openxmlformats.org/drawingml/2006/wordprocessingDrawing" id="1253506993"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191250" cy="4695825"/>
                        </a:xfrm>
                        <a:prstGeom prst="rect">
                          <a:avLst/>
                        </a:prstGeom>
                        <a:solidFill>
                          <a:schemeClr val="accent5">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E6E40" w:rsidP="008E6E40" w:rsidRDefault="008E6E40">
                            <w:pPr>
                              <w:jc w:val="center"/>
                              <w:rPr>
                                <w:rFonts w:ascii="Aptos" w:hAnsi="Aptos"/>
                                <w:color w:val="000000" w:themeColor="text1"/>
                                <w:kern w:val="0"/>
                                <w:sz w:val="36"/>
                                <w:szCs w:val="36"/>
                                <w:lang w:val="en-US"/>
                                <w14:ligatures xmlns:w14="http://schemas.microsoft.com/office/word/2010/wordml" w14:val="none"/>
                              </w:rPr>
                            </w:pPr>
                            <w:r>
                              <w:rPr>
                                <w:rFonts w:ascii="Aptos" w:hAnsi="Aptos"/>
                                <w:color w:val="000000" w:themeColor="text1"/>
                                <w:sz w:val="36"/>
                                <w:szCs w:val="36"/>
                                <w:lang w:val="en-US"/>
                              </w:rPr>
                              <w:t>(key references)</w:t>
                            </w:r>
                          </w:p>
                          <w:p w:rsidR="008E6E40" w:rsidP="008E6E40" w:rsidRDefault="008E6E40">
                            <w:pPr>
                              <w:jc w:val="center"/>
                              <w:rPr>
                                <w:rFonts w:ascii="Aptos" w:hAnsi="Aptos"/>
                                <w:color w:val="000000" w:themeColor="text1"/>
                                <w:sz w:val="36"/>
                                <w:szCs w:val="36"/>
                                <w:lang w:val="en-US"/>
                              </w:rPr>
                            </w:pPr>
                            <w:r>
                              <w:rPr>
                                <w:rFonts w:ascii="Aptos" w:hAnsi="Aptos"/>
                                <w:color w:val="000000" w:themeColor="text1"/>
                                <w:sz w:val="36"/>
                                <w:szCs w:val="36"/>
                                <w:lang w:val="en-US"/>
                              </w:rPr>
                              <w:t>https://pmc.ncbi.nlm.nih.gov/articles/PMC4314947/</w:t>
                            </w:r>
                          </w:p>
                          <w:p w:rsidR="008E6E40" w:rsidP="008E6E40" w:rsidRDefault="008E6E40">
                            <w:pPr>
                              <w:jc w:val="center"/>
                              <w:rPr>
                                <w:rFonts w:ascii="Aptos" w:hAnsi="Aptos"/>
                                <w:color w:val="000000" w:themeColor="text1"/>
                                <w:sz w:val="36"/>
                                <w:szCs w:val="36"/>
                                <w:lang w:val="en-US"/>
                              </w:rPr>
                            </w:pPr>
                            <w:r>
                              <w:rPr>
                                <w:rFonts w:ascii="Aptos" w:hAnsi="Aptos"/>
                                <w:color w:val="000000" w:themeColor="text1"/>
                                <w:sz w:val="36"/>
                                <w:szCs w:val="36"/>
                                <w:lang w:val="en-US"/>
                              </w:rPr>
                              <w:t>https://www.sciencedirect.com/science/article/abs/pii/S0165032707001395#:~:text=1.,al.%2C%201979%2C%20p.</w:t>
                            </w:r>
                          </w:p>
                          <w:p w:rsidR="008E6E40" w:rsidP="008E6E40" w:rsidRDefault="008E6E40">
                            <w:pPr>
                              <w:jc w:val="center"/>
                              <w:rPr>
                                <w:rFonts w:ascii="Aptos" w:hAnsi="Aptos"/>
                                <w:color w:val="000000" w:themeColor="text1"/>
                                <w:sz w:val="36"/>
                                <w:szCs w:val="36"/>
                                <w:lang w:val="en-US"/>
                              </w:rPr>
                            </w:pPr>
                            <w:r>
                              <w:rPr>
                                <w:rFonts w:ascii="Aptos" w:hAnsi="Aptos"/>
                                <w:color w:val="000000" w:themeColor="text1"/>
                                <w:sz w:val="36"/>
                                <w:szCs w:val="36"/>
                                <w:lang w:val="en-US"/>
                              </w:rPr>
                              <w:t>https://academic.oup.com/book/702/chapter-abstract/135377063?redirectedFrom=fulltext#SS</w:t>
                            </w:r>
                          </w:p>
                          <w:p w:rsidR="008E6E40" w:rsidP="008E6E40" w:rsidRDefault="008E6E40">
                            <w:pPr>
                              <w:jc w:val="center"/>
                              <w:rPr>
                                <w:rFonts w:ascii="Aptos" w:hAnsi="Aptos"/>
                                <w:i/>
                                <w:iCs/>
                                <w:color w:val="000000" w:themeColor="text1"/>
                                <w:sz w:val="36"/>
                                <w:szCs w:val="36"/>
                                <w:lang w:val="en-US"/>
                              </w:rPr>
                            </w:pPr>
                            <w:r>
                              <w:rPr>
                                <w:rFonts w:ascii="Aptos" w:hAnsi="Aptos"/>
                                <w:i/>
                                <w:iCs/>
                                <w:color w:val="000000" w:themeColor="text1"/>
                                <w:sz w:val="36"/>
                                <w:szCs w:val="36"/>
                                <w:lang w:val="en-US"/>
                              </w:rPr>
                              <w:t xml:space="preserve">From Melancholia to Depression </w:t>
                            </w:r>
                            <w:r>
                              <w:rPr>
                                <w:rFonts w:ascii="Aptos" w:hAnsi="Aptos"/>
                                <w:color w:val="000000" w:themeColor="text1"/>
                                <w:sz w:val="36"/>
                                <w:szCs w:val="36"/>
                                <w:lang w:val="en-US"/>
                              </w:rPr>
                              <w:t xml:space="preserve">: Disordered Mood in Nineteenth-Century Psychiatry - UWTSD library </w:t>
                            </w:r>
                          </w:p>
                          <w:p w:rsidR="008E6E40" w:rsidP="008E6E40" w:rsidRDefault="008E6E40">
                            <w:pPr>
                              <w:jc w:val="center"/>
                              <w:rPr>
                                <w:rFonts w:ascii="Aptos" w:hAnsi="Aptos"/>
                                <w:i/>
                                <w:iCs/>
                                <w:color w:val="000000" w:themeColor="text1"/>
                                <w:sz w:val="36"/>
                                <w:szCs w:val="36"/>
                                <w:lang w:val="en-US"/>
                              </w:rPr>
                            </w:pPr>
                            <w:r>
                              <w:rPr>
                                <w:rFonts w:ascii="Aptos" w:hAnsi="Aptos"/>
                                <w:i/>
                                <w:iCs/>
                                <w:color w:val="000000" w:themeColor="text1"/>
                                <w:sz w:val="36"/>
                                <w:szCs w:val="36"/>
                                <w:lang w:val="en-US"/>
                              </w:rPr>
                              <w:t>Melancholia</w:t>
                            </w:r>
                            <w:r>
                              <w:rPr>
                                <w:rFonts w:ascii="Aptos" w:hAnsi="Aptos"/>
                                <w:color w:val="000000" w:themeColor="text1"/>
                                <w:sz w:val="36"/>
                                <w:szCs w:val="36"/>
                                <w:lang w:val="en-US"/>
                              </w:rPr>
                              <w:t xml:space="preserve"> by SMITH, MATTHEW BUCKLEY - UWRSD library</w:t>
                            </w:r>
                          </w:p>
                        </w:txbxContent>
                      </wps:txbx>
                      <wps:bodyPr anchor="ctr"/>
                    </wps:wsp>
                  </a:graphicData>
                </a:graphic>
              </wp:inline>
            </w:drawing>
          </mc:Choice>
          <mc:Fallback xmlns:mc="http://schemas.openxmlformats.org/markup-compatibility/2006"/>
        </mc:AlternateContent>
      </w:r>
    </w:p>
    <w:p xmlns:wp14="http://schemas.microsoft.com/office/word/2010/wordml" w:rsidP="75304EF6" wp14:paraId="615A3EDA" wp14:textId="1D7F4277">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5FC6872D" wp14:textId="69B8BEDA">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77A5957E" wp14:textId="17217802">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32B614B1" wp14:textId="1AB24B72">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14270420" wp14:textId="3506F8AC">
      <w:pPr>
        <w:jc w:val="center"/>
        <w:rPr>
          <w:rFonts w:ascii="Aptos" w:hAnsi="Aptos" w:eastAsia="Aptos" w:cs="Aptos" w:asciiTheme="minorAscii" w:hAnsiTheme="minorAscii" w:eastAsiaTheme="minorAscii" w:cstheme="minorAscii"/>
          <w:noProof w:val="0"/>
          <w:sz w:val="24"/>
          <w:szCs w:val="24"/>
          <w:lang w:val="en-GB"/>
        </w:rPr>
      </w:pPr>
    </w:p>
    <w:p xmlns:wp14="http://schemas.microsoft.com/office/word/2010/wordml" w:rsidP="75304EF6" wp14:paraId="3456FC32" wp14:textId="6903930B">
      <w:pPr>
        <w:rPr>
          <w:rFonts w:ascii="Aptos" w:hAnsi="Aptos" w:eastAsia="Aptos" w:cs="Aptos" w:asciiTheme="minorAscii" w:hAnsiTheme="minorAscii" w:eastAsiaTheme="minorAscii" w:cstheme="minorAscii"/>
          <w:sz w:val="24"/>
          <w:szCs w:val="24"/>
        </w:rPr>
      </w:pPr>
    </w:p>
    <w:p xmlns:wp14="http://schemas.microsoft.com/office/word/2010/wordml" w:rsidP="75304EF6" wp14:paraId="4D45B65E" wp14:textId="716B89BE">
      <w:pPr>
        <w:rPr>
          <w:rFonts w:ascii="Aptos" w:hAnsi="Aptos" w:eastAsia="Aptos" w:cs="Aptos" w:asciiTheme="minorAscii" w:hAnsiTheme="minorAscii" w:eastAsiaTheme="minorAscii" w:cstheme="minorAscii"/>
          <w:sz w:val="24"/>
          <w:szCs w:val="24"/>
        </w:rPr>
      </w:pPr>
    </w:p>
    <w:p xmlns:wp14="http://schemas.microsoft.com/office/word/2010/wordml" w:rsidP="75304EF6" wp14:paraId="5E5787A5" wp14:textId="416D683C">
      <w:pPr>
        <w:rPr>
          <w:rFonts w:ascii="Aptos" w:hAnsi="Aptos" w:eastAsia="Aptos" w:cs="Aptos"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A03737"/>
    <w:rsid w:val="01132196"/>
    <w:rsid w:val="02D9F4B7"/>
    <w:rsid w:val="0314F6D5"/>
    <w:rsid w:val="0362110C"/>
    <w:rsid w:val="092EAE6B"/>
    <w:rsid w:val="098D3D7B"/>
    <w:rsid w:val="0A0E9129"/>
    <w:rsid w:val="0A6D3265"/>
    <w:rsid w:val="0CCD95A1"/>
    <w:rsid w:val="132E5892"/>
    <w:rsid w:val="13F40FEA"/>
    <w:rsid w:val="1448D84B"/>
    <w:rsid w:val="17A03737"/>
    <w:rsid w:val="1C7EC470"/>
    <w:rsid w:val="213A1206"/>
    <w:rsid w:val="24755727"/>
    <w:rsid w:val="25AFCE33"/>
    <w:rsid w:val="2A643280"/>
    <w:rsid w:val="2DFE0EFF"/>
    <w:rsid w:val="31048824"/>
    <w:rsid w:val="32AFC873"/>
    <w:rsid w:val="3AB10020"/>
    <w:rsid w:val="3E762923"/>
    <w:rsid w:val="3FB8BE3B"/>
    <w:rsid w:val="45B87187"/>
    <w:rsid w:val="470E9F69"/>
    <w:rsid w:val="48FB16D3"/>
    <w:rsid w:val="4C074458"/>
    <w:rsid w:val="4CFF90DB"/>
    <w:rsid w:val="4E229288"/>
    <w:rsid w:val="4FEF5DC1"/>
    <w:rsid w:val="5176BC8A"/>
    <w:rsid w:val="539C045B"/>
    <w:rsid w:val="568DBE72"/>
    <w:rsid w:val="5B15FEA8"/>
    <w:rsid w:val="5E498B40"/>
    <w:rsid w:val="62A58B5F"/>
    <w:rsid w:val="63BACD0D"/>
    <w:rsid w:val="6865FB62"/>
    <w:rsid w:val="704F5107"/>
    <w:rsid w:val="74D43051"/>
    <w:rsid w:val="75304EF6"/>
    <w:rsid w:val="7A26C77C"/>
    <w:rsid w:val="7AE8F548"/>
    <w:rsid w:val="7BF30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89EF"/>
  <w15:chartTrackingRefBased/>
  <w15:docId w15:val="{15A6CB9A-4735-4228-B1A3-67A638A172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5304EF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uk-climate-change-risk-assessment-2020" TargetMode="External" Id="R30426a7090a54b84" /><Relationship Type="http://schemas.openxmlformats.org/officeDocument/2006/relationships/hyperlink" Target="https://globaltimes.com/climate/coastal-impact" TargetMode="External" Id="R37e1d62030d0479f" /><Relationship Type="http://schemas.openxmlformats.org/officeDocument/2006/relationships/hyperlink" Target="https://www.who.int/mental_health/covid-195" TargetMode="External" Id="R37321c81f9df4400" /><Relationship Type="http://schemas.openxmlformats.org/officeDocument/2006/relationships/hyperlink" Target="https://mindfulliving.com/how-mindfulness-improves-productivity" TargetMode="External" Id="R4fb42e27b0364289" /><Relationship Type="http://schemas.openxmlformats.org/officeDocument/2006/relationships/hyperlink" Target="https://www.ox.ac.uk/students/academic/referencing" TargetMode="External" Id="Rdfff0e18ef8c45d7" /><Relationship Type="http://schemas.openxmlformats.org/officeDocument/2006/relationships/hyperlink" Target="https://tech.ed.gov/netp" TargetMode="External" Id="Rf6505a510eb04585" /><Relationship Type="http://schemas.openxmlformats.org/officeDocument/2006/relationships/hyperlink" Target="https://escholarship.org/uc/item/7gp4v2cd10" TargetMode="External" Id="Re3a65bc3c3ba4d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Doyle (2519068)</dc:creator>
  <keywords/>
  <dc:description/>
  <lastModifiedBy>Holly Doyle (2519068)</lastModifiedBy>
  <revision>3</revision>
  <dcterms:created xsi:type="dcterms:W3CDTF">2025-10-30T14:44:14.7048173Z</dcterms:created>
  <dcterms:modified xsi:type="dcterms:W3CDTF">2025-11-02T20:51:21.9095016Z</dcterms:modified>
</coreProperties>
</file>