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9A593" w14:textId="77777777" w:rsidR="0079000F" w:rsidRDefault="009E1DEF">
      <w:pPr>
        <w:spacing w:after="0" w:line="360" w:lineRule="auto"/>
        <w:jc w:val="center"/>
        <w:rPr>
          <w:rFonts w:ascii="Times New Roman" w:eastAsia="Times New Roman" w:hAnsi="Times New Roman" w:cs="Times New Roman"/>
          <w:sz w:val="24"/>
          <w:szCs w:val="24"/>
        </w:rPr>
      </w:pPr>
      <w:r>
        <w:rPr>
          <w:rFonts w:ascii="Arial" w:eastAsia="Arial" w:hAnsi="Arial" w:cs="Arial"/>
          <w:noProof/>
          <w:color w:val="000000"/>
          <w:lang w:val="en-US" w:eastAsia="en-US"/>
        </w:rPr>
        <w:drawing>
          <wp:inline distT="0" distB="0" distL="0" distR="0" wp14:anchorId="4469A649" wp14:editId="4469A64A">
            <wp:extent cx="3538814" cy="1464048"/>
            <wp:effectExtent l="0" t="0" r="0" b="0"/>
            <wp:docPr id="2" name="image1.png" descr="https://lh7-rt.googleusercontent.com/docsz/AD_4nXd9xAJhKPMD7xtRvvsq1OZqTr-F7eU9932l2UnVHaJiignlJM6RvoX-uvlh87mwth92kDuu4V3o4iidQq04hMDOBPPVdpnfeziVc6Vk0hbESZKeUkG9DJpswIXaoarWVOYz1naASQ?key=NO1PM516FYliJOM368CgWjMx"/>
            <wp:cNvGraphicFramePr/>
            <a:graphic xmlns:a="http://schemas.openxmlformats.org/drawingml/2006/main">
              <a:graphicData uri="http://schemas.openxmlformats.org/drawingml/2006/picture">
                <pic:pic xmlns:pic="http://schemas.openxmlformats.org/drawingml/2006/picture">
                  <pic:nvPicPr>
                    <pic:cNvPr id="0" name="image1.png" descr="https://lh7-rt.googleusercontent.com/docsz/AD_4nXd9xAJhKPMD7xtRvvsq1OZqTr-F7eU9932l2UnVHaJiignlJM6RvoX-uvlh87mwth92kDuu4V3o4iidQq04hMDOBPPVdpnfeziVc6Vk0hbESZKeUkG9DJpswIXaoarWVOYz1naASQ?key=NO1PM516FYliJOM368CgWjMx"/>
                    <pic:cNvPicPr preferRelativeResize="0"/>
                  </pic:nvPicPr>
                  <pic:blipFill>
                    <a:blip r:embed="rId8"/>
                    <a:srcRect/>
                    <a:stretch>
                      <a:fillRect/>
                    </a:stretch>
                  </pic:blipFill>
                  <pic:spPr>
                    <a:xfrm>
                      <a:off x="0" y="0"/>
                      <a:ext cx="3538814" cy="1464048"/>
                    </a:xfrm>
                    <a:prstGeom prst="rect">
                      <a:avLst/>
                    </a:prstGeom>
                    <a:ln/>
                  </pic:spPr>
                </pic:pic>
              </a:graphicData>
            </a:graphic>
          </wp:inline>
        </w:drawing>
      </w:r>
    </w:p>
    <w:p w14:paraId="4469A594" w14:textId="77777777" w:rsidR="0079000F" w:rsidRDefault="0079000F">
      <w:pPr>
        <w:spacing w:after="0" w:line="360" w:lineRule="auto"/>
        <w:rPr>
          <w:rFonts w:ascii="Times New Roman" w:eastAsia="Times New Roman" w:hAnsi="Times New Roman" w:cs="Times New Roman"/>
          <w:sz w:val="24"/>
          <w:szCs w:val="24"/>
        </w:rPr>
      </w:pPr>
    </w:p>
    <w:p w14:paraId="4469A595" w14:textId="77777777" w:rsidR="0079000F" w:rsidRDefault="009E1DE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32"/>
          <w:szCs w:val="32"/>
        </w:rPr>
        <w:t>Programme: International Hotel Management (BA)</w:t>
      </w:r>
    </w:p>
    <w:p w14:paraId="4469A596" w14:textId="77777777" w:rsidR="0079000F" w:rsidRDefault="0079000F">
      <w:pPr>
        <w:spacing w:after="0" w:line="360" w:lineRule="auto"/>
        <w:rPr>
          <w:rFonts w:ascii="Times New Roman" w:eastAsia="Times New Roman" w:hAnsi="Times New Roman" w:cs="Times New Roman"/>
          <w:sz w:val="24"/>
          <w:szCs w:val="24"/>
        </w:rPr>
      </w:pPr>
    </w:p>
    <w:p w14:paraId="4469A597" w14:textId="77777777" w:rsidR="0079000F" w:rsidRDefault="009E1DE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32"/>
          <w:szCs w:val="32"/>
        </w:rPr>
        <w:t>Module: International Meetings Management for the Hotel Industry</w:t>
      </w:r>
    </w:p>
    <w:p w14:paraId="4469A598" w14:textId="77777777" w:rsidR="0079000F" w:rsidRDefault="0079000F">
      <w:pPr>
        <w:spacing w:after="0" w:line="360" w:lineRule="auto"/>
        <w:rPr>
          <w:rFonts w:ascii="Times New Roman" w:eastAsia="Times New Roman" w:hAnsi="Times New Roman" w:cs="Times New Roman"/>
          <w:sz w:val="24"/>
          <w:szCs w:val="24"/>
        </w:rPr>
      </w:pPr>
    </w:p>
    <w:p w14:paraId="4469A599" w14:textId="77777777" w:rsidR="0079000F" w:rsidRDefault="009E1DE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32"/>
          <w:szCs w:val="32"/>
        </w:rPr>
        <w:t>Module code: BMIH6007</w:t>
      </w:r>
    </w:p>
    <w:p w14:paraId="4469A59A" w14:textId="77777777" w:rsidR="0079000F" w:rsidRDefault="0079000F">
      <w:pPr>
        <w:spacing w:after="0" w:line="360" w:lineRule="auto"/>
        <w:rPr>
          <w:rFonts w:ascii="Times New Roman" w:eastAsia="Times New Roman" w:hAnsi="Times New Roman" w:cs="Times New Roman"/>
          <w:sz w:val="24"/>
          <w:szCs w:val="24"/>
        </w:rPr>
      </w:pPr>
    </w:p>
    <w:p w14:paraId="4469A59B" w14:textId="5934E442" w:rsidR="0079000F" w:rsidRDefault="009E1DE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32"/>
          <w:szCs w:val="32"/>
        </w:rPr>
        <w:t>Lecturers: Kathryn Flynn Module Lead</w:t>
      </w:r>
      <w:r w:rsidR="0051644F">
        <w:rPr>
          <w:rFonts w:ascii="Times New Roman" w:eastAsia="Times New Roman" w:hAnsi="Times New Roman" w:cs="Times New Roman"/>
          <w:b/>
          <w:color w:val="000000"/>
          <w:sz w:val="32"/>
          <w:szCs w:val="32"/>
        </w:rPr>
        <w:t>:</w:t>
      </w:r>
      <w:r>
        <w:rPr>
          <w:rFonts w:ascii="Times New Roman" w:eastAsia="Times New Roman" w:hAnsi="Times New Roman" w:cs="Times New Roman"/>
          <w:b/>
          <w:color w:val="000000"/>
          <w:sz w:val="32"/>
          <w:szCs w:val="32"/>
        </w:rPr>
        <w:t xml:space="preserve"> Chris Wilkin</w:t>
      </w:r>
    </w:p>
    <w:p w14:paraId="4469A59C" w14:textId="77777777" w:rsidR="0079000F" w:rsidRDefault="0079000F">
      <w:pPr>
        <w:spacing w:after="0" w:line="360" w:lineRule="auto"/>
        <w:rPr>
          <w:rFonts w:ascii="Times New Roman" w:eastAsia="Times New Roman" w:hAnsi="Times New Roman" w:cs="Times New Roman"/>
          <w:sz w:val="24"/>
          <w:szCs w:val="24"/>
        </w:rPr>
      </w:pPr>
    </w:p>
    <w:p w14:paraId="4469A59D" w14:textId="77777777" w:rsidR="0079000F" w:rsidRDefault="009E1DE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32"/>
          <w:szCs w:val="32"/>
        </w:rPr>
        <w:t>Assignment Title: Assignment 2: Event Strategic Planning and Delivery Considerations for an International Meeting</w:t>
      </w:r>
    </w:p>
    <w:p w14:paraId="4469A59E" w14:textId="77777777" w:rsidR="0079000F" w:rsidRDefault="0079000F">
      <w:pPr>
        <w:spacing w:after="0" w:line="360" w:lineRule="auto"/>
        <w:rPr>
          <w:rFonts w:ascii="Times New Roman" w:eastAsia="Times New Roman" w:hAnsi="Times New Roman" w:cs="Times New Roman"/>
          <w:sz w:val="24"/>
          <w:szCs w:val="24"/>
        </w:rPr>
      </w:pPr>
    </w:p>
    <w:p w14:paraId="4469A59F" w14:textId="706A55BB" w:rsidR="0079000F" w:rsidRDefault="009E1DE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32"/>
          <w:szCs w:val="32"/>
        </w:rPr>
        <w:t>Student Name:</w:t>
      </w:r>
      <w:r w:rsidR="0051644F">
        <w:rPr>
          <w:rFonts w:ascii="Times New Roman" w:eastAsia="Times New Roman" w:hAnsi="Times New Roman" w:cs="Times New Roman"/>
          <w:b/>
          <w:color w:val="000000"/>
          <w:sz w:val="32"/>
          <w:szCs w:val="32"/>
        </w:rPr>
        <w:t>Md Shamim K Chowdhury</w:t>
      </w:r>
    </w:p>
    <w:p w14:paraId="4469A5A0" w14:textId="4FF30426" w:rsidR="0079000F" w:rsidRDefault="009E1DEF">
      <w:pPr>
        <w:spacing w:after="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Student ID: </w:t>
      </w:r>
      <w:r w:rsidR="0051644F">
        <w:rPr>
          <w:rFonts w:ascii="Times New Roman" w:eastAsia="Times New Roman" w:hAnsi="Times New Roman" w:cs="Times New Roman"/>
          <w:b/>
          <w:color w:val="000000"/>
          <w:sz w:val="32"/>
          <w:szCs w:val="32"/>
        </w:rPr>
        <w:t>2234243</w:t>
      </w:r>
      <w:r>
        <w:rPr>
          <w:rFonts w:ascii="Times New Roman" w:eastAsia="Times New Roman" w:hAnsi="Times New Roman" w:cs="Times New Roman"/>
          <w:b/>
          <w:color w:val="000000"/>
          <w:sz w:val="32"/>
          <w:szCs w:val="32"/>
        </w:rPr>
        <w:br/>
        <w:t>Word Count: 2500</w:t>
      </w:r>
    </w:p>
    <w:p w14:paraId="4469A5A1" w14:textId="77777777" w:rsidR="00FF0A6F" w:rsidRDefault="00FF0A6F">
      <w:pP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br w:type="page"/>
      </w:r>
    </w:p>
    <w:p w14:paraId="4469A5A2" w14:textId="77777777" w:rsidR="00FF0A6F" w:rsidRDefault="00FF0A6F" w:rsidP="00FF0A6F">
      <w:pPr>
        <w:jc w:val="both"/>
        <w:rPr>
          <w:rFonts w:asciiTheme="minorHAnsi" w:hAnsiTheme="minorHAnsi" w:cstheme="minorHAnsi"/>
          <w:b/>
          <w:sz w:val="28"/>
          <w:szCs w:val="18"/>
        </w:rPr>
      </w:pPr>
      <w:r>
        <w:rPr>
          <w:rFonts w:asciiTheme="minorHAnsi" w:hAnsiTheme="minorHAnsi" w:cstheme="minorHAnsi"/>
          <w:b/>
          <w:sz w:val="28"/>
          <w:szCs w:val="18"/>
        </w:rPr>
        <w:lastRenderedPageBreak/>
        <w:t xml:space="preserve">AI Declaration: </w:t>
      </w:r>
    </w:p>
    <w:p w14:paraId="4469A5A3" w14:textId="77777777" w:rsidR="00FF0A6F" w:rsidRPr="00FF0A6F" w:rsidRDefault="00FF0A6F" w:rsidP="00FF0A6F">
      <w:pPr>
        <w:jc w:val="both"/>
        <w:rPr>
          <w:rFonts w:asciiTheme="minorHAnsi" w:hAnsiTheme="minorHAnsi" w:cstheme="minorHAnsi"/>
          <w:b/>
          <w:sz w:val="28"/>
          <w:szCs w:val="18"/>
        </w:rPr>
      </w:pPr>
      <w:r w:rsidRPr="006C7251">
        <w:rPr>
          <w:bCs/>
          <w:sz w:val="24"/>
          <w:szCs w:val="24"/>
        </w:rPr>
        <w:t>I confirm that I have not used any AI tools in the research and creation of this assignment. I confirm that I have not presented any AI generated materials as my own work. I confirm I have copies of my notes and other resources I used, which I may be asked to provide in evidence</w:t>
      </w:r>
    </w:p>
    <w:p w14:paraId="4469A5A4" w14:textId="77777777" w:rsidR="0079000F" w:rsidRDefault="0079000F">
      <w:pPr>
        <w:spacing w:after="0" w:line="360" w:lineRule="auto"/>
        <w:rPr>
          <w:rFonts w:ascii="Times New Roman" w:eastAsia="Times New Roman" w:hAnsi="Times New Roman" w:cs="Times New Roman"/>
          <w:sz w:val="24"/>
          <w:szCs w:val="24"/>
        </w:rPr>
      </w:pPr>
    </w:p>
    <w:p w14:paraId="4469A5A5"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5A6" w14:textId="77777777" w:rsidR="0079000F" w:rsidRDefault="009E1DEF">
      <w:pPr>
        <w:spacing w:after="0" w:line="360" w:lineRule="auto"/>
        <w:rPr>
          <w:rFonts w:ascii="Times New Roman" w:eastAsia="Times New Roman" w:hAnsi="Times New Roman" w:cs="Times New Roman"/>
          <w:b/>
          <w:color w:val="000000"/>
          <w:sz w:val="24"/>
          <w:szCs w:val="24"/>
        </w:rPr>
      </w:pPr>
      <w:bookmarkStart w:id="0" w:name="_heading=h.gjdgxs" w:colFirst="0" w:colLast="0"/>
      <w:bookmarkEnd w:id="0"/>
      <w:r>
        <w:br w:type="page"/>
      </w:r>
    </w:p>
    <w:p w14:paraId="4469A5A7" w14:textId="77777777" w:rsidR="0079000F" w:rsidRDefault="009E1DEF">
      <w:pPr>
        <w:spacing w:after="0" w:line="360" w:lineRule="auto"/>
        <w:jc w:val="both"/>
        <w:rPr>
          <w:rFonts w:ascii="Times New Roman" w:eastAsia="Times New Roman" w:hAnsi="Times New Roman" w:cs="Times New Roman"/>
          <w:b/>
          <w:sz w:val="48"/>
          <w:szCs w:val="48"/>
        </w:rPr>
      </w:pPr>
      <w:bookmarkStart w:id="1" w:name="_heading=h.30j0zll" w:colFirst="0" w:colLast="0"/>
      <w:bookmarkEnd w:id="1"/>
      <w:r>
        <w:rPr>
          <w:rFonts w:ascii="Times New Roman" w:eastAsia="Times New Roman" w:hAnsi="Times New Roman" w:cs="Times New Roman"/>
          <w:b/>
          <w:color w:val="000000"/>
          <w:sz w:val="24"/>
          <w:szCs w:val="24"/>
        </w:rPr>
        <w:lastRenderedPageBreak/>
        <w:t>Introduction </w:t>
      </w:r>
    </w:p>
    <w:p w14:paraId="4469A5A8"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This report sheds light on the core aspects of a significant event plan considering an all-inclusive and prominent innovation event in the entire United Kingdom in an efficient way. Towards the significant MICE sector, crucial inclusion along with diversity and equality- related progression and promotion are the main aim of this event (</w:t>
      </w:r>
      <w:r>
        <w:rPr>
          <w:rFonts w:ascii="Times New Roman" w:eastAsia="Times New Roman" w:hAnsi="Times New Roman" w:cs="Times New Roman"/>
          <w:color w:val="222222"/>
          <w:sz w:val="24"/>
          <w:szCs w:val="24"/>
          <w:highlight w:val="white"/>
        </w:rPr>
        <w:t>Dewidar, Elmestekawy and Welch, 2022</w:t>
      </w:r>
      <w:r>
        <w:rPr>
          <w:rFonts w:ascii="Times New Roman" w:eastAsia="Times New Roman" w:hAnsi="Times New Roman" w:cs="Times New Roman"/>
          <w:color w:val="000000"/>
          <w:sz w:val="24"/>
          <w:szCs w:val="24"/>
        </w:rPr>
        <w:t>). For this entire industry, crucial exhibitions, conferences, potential incentives and meetings, needful increasing preferences towards inclusivity are recognised due to this calculated conference. </w:t>
      </w:r>
    </w:p>
    <w:p w14:paraId="4469A5A9"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the Manchester Central Convention Complex which is in the United Kingdom, this event is going to be held (</w:t>
      </w:r>
      <w:r>
        <w:rPr>
          <w:rFonts w:ascii="Times New Roman" w:eastAsia="Times New Roman" w:hAnsi="Times New Roman" w:cs="Times New Roman"/>
          <w:color w:val="222222"/>
          <w:sz w:val="24"/>
          <w:szCs w:val="24"/>
          <w:highlight w:val="white"/>
        </w:rPr>
        <w:t xml:space="preserve">Calver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color w:val="000000"/>
          <w:sz w:val="24"/>
          <w:szCs w:val="24"/>
        </w:rPr>
        <w:t>). It is a two day event. Several leaders along with policymakers and impactful industry professionals are going to be involved within this event as well. Thus the best and prominent practices related to EDI and their implementations are described effectively. </w:t>
      </w:r>
    </w:p>
    <w:p w14:paraId="4469A5AA"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Potential and actionable comprehensions can also be obtained. Various interactive workshops along with panel discussions and effective keynote speeches- these combined forces makes it possible. Through this entire event planning, desired and required inclusivity can be promoted eventually. Business circumstances prefer these kinds of events. Diversity related core values and its acknowledgement can be possibly done by this as well (</w:t>
      </w:r>
      <w:r>
        <w:rPr>
          <w:rFonts w:ascii="Times New Roman" w:eastAsia="Times New Roman" w:hAnsi="Times New Roman" w:cs="Times New Roman"/>
          <w:color w:val="222222"/>
          <w:sz w:val="24"/>
          <w:szCs w:val="24"/>
          <w:highlight w:val="white"/>
        </w:rPr>
        <w:t>Dobusch, 2021</w:t>
      </w:r>
      <w:r>
        <w:rPr>
          <w:rFonts w:ascii="Times New Roman" w:eastAsia="Times New Roman" w:hAnsi="Times New Roman" w:cs="Times New Roman"/>
          <w:color w:val="000000"/>
          <w:sz w:val="24"/>
          <w:szCs w:val="24"/>
        </w:rPr>
        <w:t>). Overall, social responsibility and significant competitiveness and innovation are also navigated throughout this event. </w:t>
      </w:r>
    </w:p>
    <w:p w14:paraId="4469A5AB" w14:textId="77777777" w:rsidR="0079000F" w:rsidRDefault="009E1DEF">
      <w:pPr>
        <w:spacing w:after="0" w:line="360" w:lineRule="auto"/>
        <w:jc w:val="both"/>
        <w:rPr>
          <w:rFonts w:ascii="Times New Roman" w:eastAsia="Times New Roman" w:hAnsi="Times New Roman" w:cs="Times New Roman"/>
          <w:b/>
          <w:sz w:val="48"/>
          <w:szCs w:val="48"/>
        </w:rPr>
      </w:pPr>
      <w:bookmarkStart w:id="2" w:name="_heading=h.1fob9te" w:colFirst="0" w:colLast="0"/>
      <w:bookmarkEnd w:id="2"/>
      <w:r>
        <w:rPr>
          <w:rFonts w:ascii="Times New Roman" w:eastAsia="Times New Roman" w:hAnsi="Times New Roman" w:cs="Times New Roman"/>
          <w:b/>
          <w:color w:val="000000"/>
          <w:sz w:val="24"/>
          <w:szCs w:val="24"/>
        </w:rPr>
        <w:t>The Event Cycle </w:t>
      </w:r>
    </w:p>
    <w:p w14:paraId="4469A5AC"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Comprehensive phases are signified through this significant event cycle. Appraisal of an event alongside its execution and impactful planning- all of these forces are getting engaged within this cycle as well. Prominent five stages are restrained within it, which are going to be discussed below</w:t>
      </w:r>
      <w:r>
        <w:rPr>
          <w:rFonts w:ascii="Times New Roman" w:eastAsia="Times New Roman" w:hAnsi="Times New Roman" w:cs="Times New Roman"/>
          <w:sz w:val="24"/>
          <w:szCs w:val="24"/>
        </w:rPr>
        <w:t>:</w:t>
      </w:r>
    </w:p>
    <w:p w14:paraId="4469A5AD" w14:textId="77777777" w:rsidR="0079000F" w:rsidRDefault="009E1DEF">
      <w:pPr>
        <w:numPr>
          <w:ilvl w:val="0"/>
          <w:numId w:val="1"/>
        </w:num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Design along with significant planning- </w:t>
      </w:r>
      <w:r>
        <w:rPr>
          <w:rFonts w:ascii="Times New Roman" w:eastAsia="Times New Roman" w:hAnsi="Times New Roman" w:cs="Times New Roman"/>
          <w:color w:val="000000"/>
          <w:sz w:val="24"/>
          <w:szCs w:val="24"/>
        </w:rPr>
        <w:t>Stakeholder involvement alongside marketing, potential budgeting and effective far-reaching logistics- these unified forces are engaged within this entire stage. In order to achieve efficient execution, promotional methods, crucial resource allocation, along with program scheduling and impactful venue selection are needed (</w:t>
      </w:r>
      <w:r>
        <w:rPr>
          <w:rFonts w:ascii="Times New Roman" w:eastAsia="Times New Roman" w:hAnsi="Times New Roman" w:cs="Times New Roman"/>
          <w:color w:val="222222"/>
          <w:sz w:val="24"/>
          <w:szCs w:val="24"/>
          <w:highlight w:val="white"/>
        </w:rPr>
        <w:t>Wolbring and Lillywhite, 2021</w:t>
      </w:r>
      <w:r>
        <w:rPr>
          <w:rFonts w:ascii="Times New Roman" w:eastAsia="Times New Roman" w:hAnsi="Times New Roman" w:cs="Times New Roman"/>
          <w:color w:val="000000"/>
          <w:sz w:val="24"/>
          <w:szCs w:val="24"/>
        </w:rPr>
        <w:t>). </w:t>
      </w:r>
    </w:p>
    <w:p w14:paraId="4469A5AE" w14:textId="77777777" w:rsidR="0079000F" w:rsidRDefault="009E1DEF">
      <w:pPr>
        <w:numPr>
          <w:ilvl w:val="0"/>
          <w:numId w:val="1"/>
        </w:num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Commencement along with core concept- </w:t>
      </w:r>
      <w:r>
        <w:rPr>
          <w:rFonts w:ascii="Times New Roman" w:eastAsia="Times New Roman" w:hAnsi="Times New Roman" w:cs="Times New Roman"/>
          <w:color w:val="000000"/>
          <w:sz w:val="24"/>
          <w:szCs w:val="24"/>
        </w:rPr>
        <w:t xml:space="preserve">The main and prominent aim of this entire and significant event- its acknowledgement gets included in the stage eventually. </w:t>
      </w:r>
      <w:r>
        <w:rPr>
          <w:rFonts w:ascii="Times New Roman" w:eastAsia="Times New Roman" w:hAnsi="Times New Roman" w:cs="Times New Roman"/>
          <w:color w:val="000000"/>
          <w:sz w:val="24"/>
          <w:szCs w:val="24"/>
        </w:rPr>
        <w:lastRenderedPageBreak/>
        <w:t>Feasibility along with target audience related core recognition is also engaged within its main priority as well. Inclusion along with diversity and effective equality- associated stimulation and concentration is getting involved within this event related to - all-inclusive aspects of innovation in the MICE sector. Related core preferences and needful relevance are also getting assured (</w:t>
      </w:r>
      <w:r>
        <w:rPr>
          <w:rFonts w:ascii="Times New Roman" w:eastAsia="Times New Roman" w:hAnsi="Times New Roman" w:cs="Times New Roman"/>
          <w:color w:val="222222"/>
          <w:sz w:val="24"/>
          <w:szCs w:val="24"/>
          <w:highlight w:val="white"/>
        </w:rPr>
        <w:t>Bowdin</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color w:val="000000"/>
          <w:sz w:val="24"/>
          <w:szCs w:val="24"/>
        </w:rPr>
        <w:t>). </w:t>
      </w:r>
    </w:p>
    <w:p w14:paraId="4469A5AF" w14:textId="77777777" w:rsidR="0079000F" w:rsidRDefault="009E1DEF">
      <w:pPr>
        <w:numPr>
          <w:ilvl w:val="0"/>
          <w:numId w:val="1"/>
        </w:num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Control along with significant monitoring- </w:t>
      </w:r>
      <w:r>
        <w:rPr>
          <w:rFonts w:ascii="Times New Roman" w:eastAsia="Times New Roman" w:hAnsi="Times New Roman" w:cs="Times New Roman"/>
          <w:color w:val="000000"/>
          <w:sz w:val="24"/>
          <w:szCs w:val="24"/>
        </w:rPr>
        <w:t>In order to achieve efficient business operations, adjustments as for the references of on-site holds a huge set of crucial importance. Attendee involvement, significant security and technical complications are handled by the efforts of event managers (</w:t>
      </w:r>
      <w:r>
        <w:rPr>
          <w:rFonts w:ascii="Times New Roman" w:eastAsia="Times New Roman" w:hAnsi="Times New Roman" w:cs="Times New Roman"/>
          <w:color w:val="222222"/>
          <w:sz w:val="24"/>
          <w:szCs w:val="24"/>
          <w:highlight w:val="white"/>
        </w:rPr>
        <w:t>Bhaskara and Filimonau, 2021</w:t>
      </w:r>
      <w:r>
        <w:rPr>
          <w:rFonts w:ascii="Times New Roman" w:eastAsia="Times New Roman" w:hAnsi="Times New Roman" w:cs="Times New Roman"/>
          <w:color w:val="000000"/>
          <w:sz w:val="24"/>
          <w:szCs w:val="24"/>
        </w:rPr>
        <w:t>). Any sorts of prominent challenges are also recognised. </w:t>
      </w:r>
    </w:p>
    <w:p w14:paraId="4469A5B0" w14:textId="77777777" w:rsidR="0079000F" w:rsidRDefault="009E1DEF">
      <w:pPr>
        <w:numPr>
          <w:ilvl w:val="0"/>
          <w:numId w:val="1"/>
        </w:num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Execution along with primitive application- </w:t>
      </w:r>
      <w:r>
        <w:rPr>
          <w:rFonts w:ascii="Times New Roman" w:eastAsia="Times New Roman" w:hAnsi="Times New Roman" w:cs="Times New Roman"/>
          <w:color w:val="000000"/>
          <w:sz w:val="24"/>
          <w:szCs w:val="24"/>
        </w:rPr>
        <w:t>Based on the aspects and circumstances related to this entire effective plan, all of these offerings are provided. Activities and its alliances are also offered by incorporating this entire plan. Significant workshops along with crucial networking opportunities and speaker sessions are also restrained within it in an efficient way (</w:t>
      </w:r>
      <w:r>
        <w:rPr>
          <w:rFonts w:ascii="Times New Roman" w:eastAsia="Times New Roman" w:hAnsi="Times New Roman" w:cs="Times New Roman"/>
          <w:color w:val="222222"/>
          <w:sz w:val="24"/>
          <w:szCs w:val="24"/>
          <w:highlight w:val="white"/>
        </w:rPr>
        <w:t>Lynberg and Deif, 2023</w:t>
      </w:r>
      <w:r>
        <w:rPr>
          <w:rFonts w:ascii="Times New Roman" w:eastAsia="Times New Roman" w:hAnsi="Times New Roman" w:cs="Times New Roman"/>
          <w:color w:val="000000"/>
          <w:sz w:val="24"/>
          <w:szCs w:val="24"/>
        </w:rPr>
        <w:t>). In the course of this stage, needful contingency planning along with significant communication hold a huge potential. </w:t>
      </w:r>
    </w:p>
    <w:p w14:paraId="4469A5B1" w14:textId="77777777" w:rsidR="0079000F" w:rsidRDefault="009E1DEF">
      <w:pPr>
        <w:numPr>
          <w:ilvl w:val="0"/>
          <w:numId w:val="1"/>
        </w:num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Legacy alongside appraisal- </w:t>
      </w:r>
      <w:r>
        <w:rPr>
          <w:rFonts w:ascii="Times New Roman" w:eastAsia="Times New Roman" w:hAnsi="Times New Roman" w:cs="Times New Roman"/>
          <w:color w:val="000000"/>
          <w:sz w:val="24"/>
          <w:szCs w:val="24"/>
        </w:rPr>
        <w:t>In order to evaluate the ratio and possibilities of desired advancement, appraisal of post-events is very necessary. Media influence along with financial performance and impactful attendee feedback are very beneficial regarding this context. Future events related guidelines and its needful improvements can be attained throughout this comprehension. MICE sector related core EDI consciousness through this event’s whole impacts and its estimates can also be achieved. </w:t>
      </w:r>
    </w:p>
    <w:p w14:paraId="4469A5B2" w14:textId="77777777" w:rsidR="0079000F" w:rsidRDefault="009E1DE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4469A64B" wp14:editId="4469A64C">
            <wp:extent cx="5943600" cy="31877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187700"/>
                    </a:xfrm>
                    <a:prstGeom prst="rect">
                      <a:avLst/>
                    </a:prstGeom>
                    <a:ln w="12700">
                      <a:solidFill>
                        <a:srgbClr val="000000"/>
                      </a:solidFill>
                      <a:prstDash val="solid"/>
                    </a:ln>
                  </pic:spPr>
                </pic:pic>
              </a:graphicData>
            </a:graphic>
          </wp:inline>
        </w:drawing>
      </w:r>
    </w:p>
    <w:p w14:paraId="4469A5B3" w14:textId="77777777" w:rsidR="0079000F" w:rsidRDefault="009E1DEF">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Events Cycle</w:t>
      </w:r>
    </w:p>
    <w:p w14:paraId="4469A5B4" w14:textId="77777777" w:rsidR="0079000F" w:rsidRDefault="009E1DE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Kaunisto, 2023</w:t>
      </w:r>
      <w:r>
        <w:rPr>
          <w:rFonts w:ascii="Times New Roman" w:eastAsia="Times New Roman" w:hAnsi="Times New Roman" w:cs="Times New Roman"/>
          <w:sz w:val="24"/>
          <w:szCs w:val="24"/>
        </w:rPr>
        <w:t>)</w:t>
      </w:r>
    </w:p>
    <w:p w14:paraId="4469A5B5"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This event gets assured this entire far reaching and significant event cycle. Ongoing execution along with panoramic preparation offers a significant advantage. Inclusion along with diversity related core dedication towards this entire sector is incorporated with potential influences eventually because of this event cycle. </w:t>
      </w:r>
    </w:p>
    <w:p w14:paraId="4469A5B6" w14:textId="77777777" w:rsidR="0079000F" w:rsidRDefault="009E1DEF">
      <w:pPr>
        <w:spacing w:after="0" w:line="360" w:lineRule="auto"/>
        <w:jc w:val="both"/>
        <w:rPr>
          <w:rFonts w:ascii="Times New Roman" w:eastAsia="Times New Roman" w:hAnsi="Times New Roman" w:cs="Times New Roman"/>
          <w:b/>
          <w:sz w:val="48"/>
          <w:szCs w:val="48"/>
        </w:rPr>
      </w:pPr>
      <w:bookmarkStart w:id="3" w:name="_heading=h.3znysh7" w:colFirst="0" w:colLast="0"/>
      <w:bookmarkEnd w:id="3"/>
      <w:r>
        <w:rPr>
          <w:rFonts w:ascii="Times New Roman" w:eastAsia="Times New Roman" w:hAnsi="Times New Roman" w:cs="Times New Roman"/>
          <w:b/>
          <w:color w:val="000000"/>
          <w:sz w:val="24"/>
          <w:szCs w:val="24"/>
        </w:rPr>
        <w:t>Event Concept </w:t>
      </w:r>
    </w:p>
    <w:p w14:paraId="4469A5B7"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Towards the entire MICE sector, significant inclusion alongside diversity and effective equality related potential progression; this is occurred and discussed through an event of innovation by taking all-inclusive aspects regarding these contexts (</w:t>
      </w:r>
      <w:r>
        <w:rPr>
          <w:rFonts w:ascii="Times New Roman" w:eastAsia="Times New Roman" w:hAnsi="Times New Roman" w:cs="Times New Roman"/>
          <w:color w:val="222222"/>
          <w:sz w:val="24"/>
          <w:szCs w:val="24"/>
          <w:highlight w:val="white"/>
        </w:rPr>
        <w:t>Khan</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color w:val="000000"/>
          <w:sz w:val="24"/>
          <w:szCs w:val="24"/>
        </w:rPr>
        <w:t>). A meaningful and involving experience is offered due to this significant event. Core networking opportunities alongside interactive workshops and expert discussions are getting incorporated within this event’s circumstances. Manchester Central Convention Complex hosts this entire event in the United Kingdom. Phenomenal facilities and prominent accessibility gets assured through this event in an efficient way. </w:t>
      </w:r>
    </w:p>
    <w:p w14:paraId="4469A5B8"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Full itinerary </w:t>
      </w:r>
    </w:p>
    <w:p w14:paraId="4469A5B9" w14:textId="77777777" w:rsidR="0079000F" w:rsidRDefault="009E1DEF">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Breakfast networking and guest registration (8:00-9:00 am)</w:t>
      </w:r>
    </w:p>
    <w:p w14:paraId="4469A5BA"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Includes check-in of every attendee and collection of materials (Yessimova et al., 2023).</w:t>
      </w:r>
    </w:p>
    <w:p w14:paraId="4469A5BB"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Informal networking opportunities for attendees to engage in potential discussions.</w:t>
      </w:r>
    </w:p>
    <w:p w14:paraId="4469A5BC" w14:textId="77777777" w:rsidR="0079000F" w:rsidRDefault="009E1DEF">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Keynote speech and welcome address (9:00-10:00 am)</w:t>
      </w:r>
    </w:p>
    <w:p w14:paraId="4469A5BD"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Focuses on effective potentials of EDI in the MICE sector (Venske, 2022).</w:t>
      </w:r>
    </w:p>
    <w:p w14:paraId="4469A5BE"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Expert speaker delivers the opening speech grounded in the MICE sector.</w:t>
      </w:r>
    </w:p>
    <w:p w14:paraId="4469A5BF" w14:textId="77777777" w:rsidR="0079000F" w:rsidRDefault="009E1DEF">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Panel discussion (10:00-11:00 am)</w:t>
      </w:r>
    </w:p>
    <w:p w14:paraId="4469A5C0"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Discusses deep-rooted diversity issues in the MICE sector.</w:t>
      </w:r>
    </w:p>
    <w:p w14:paraId="4469A5C1"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Focus on all-inclusive and effective future events (Venske, 2022).</w:t>
      </w:r>
    </w:p>
    <w:p w14:paraId="4469A5C2"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Best practices and significant insights provided by industry leaders.</w:t>
      </w:r>
    </w:p>
    <w:p w14:paraId="4469A5C3" w14:textId="77777777" w:rsidR="0079000F" w:rsidRDefault="009E1DEF">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Breakout workshops (12:00-1:00 pm)</w:t>
      </w:r>
    </w:p>
    <w:p w14:paraId="4469A5C4"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Attendees choose from several topics.</w:t>
      </w:r>
    </w:p>
    <w:p w14:paraId="4469A5C5"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Topics include inclusion, effective leadership, inclusive marketing, and accessibility.</w:t>
      </w:r>
    </w:p>
    <w:p w14:paraId="4469A5C6" w14:textId="77777777" w:rsidR="0079000F" w:rsidRDefault="009E1DEF">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Networking and lunch (1:00-2:30 pm)</w:t>
      </w:r>
    </w:p>
    <w:p w14:paraId="4469A5C7"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Multiple dietary preferences catered to the diverse needs of attendees.</w:t>
      </w:r>
    </w:p>
    <w:p w14:paraId="4469A5C8"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wide variety of food choices available.</w:t>
      </w:r>
    </w:p>
    <w:p w14:paraId="4469A5C9"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networking opportunities for further discussions.</w:t>
      </w:r>
    </w:p>
    <w:p w14:paraId="4469A5CA" w14:textId="77777777" w:rsidR="0079000F" w:rsidRDefault="009E1DEF">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Elucidation of case studies (2:30-3:30 pm)</w:t>
      </w:r>
    </w:p>
    <w:p w14:paraId="4469A5CB"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Focus on significant EDI applications in the MICE industry.</w:t>
      </w:r>
    </w:p>
    <w:p w14:paraId="4469A5CC"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Real-world examples presented to highlight best practices in EDI (Yessimova et al., 2023).</w:t>
      </w:r>
    </w:p>
    <w:p w14:paraId="4469A5CD" w14:textId="77777777" w:rsidR="0079000F" w:rsidRDefault="009E1DEF">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Interactive session (3:30-4:30 pm)</w:t>
      </w:r>
    </w:p>
    <w:p w14:paraId="4469A5CE"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Discusses core shifts in diversity actions.</w:t>
      </w:r>
    </w:p>
    <w:p w14:paraId="4469A5CF"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Pragmatic exercises incorporated into the session for practical learning.</w:t>
      </w:r>
    </w:p>
    <w:p w14:paraId="4469A5D0" w14:textId="77777777" w:rsidR="0079000F" w:rsidRDefault="009E1DEF">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Future outlooks and closing remarks (4:30-5:00 pm)</w:t>
      </w:r>
    </w:p>
    <w:p w14:paraId="4469A5D1"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Core takeaways summarized from the event.</w:t>
      </w:r>
    </w:p>
    <w:p w14:paraId="4469A5D2"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Key goals for advancing the industry are discussed.</w:t>
      </w:r>
    </w:p>
    <w:p w14:paraId="4469A5D3" w14:textId="77777777" w:rsidR="0079000F" w:rsidRDefault="009E1DEF">
      <w:pPr>
        <w:numPr>
          <w:ilvl w:val="1"/>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Attendees leave with a meaningful and educational experience (Yessimova et al., 2023).</w:t>
      </w:r>
    </w:p>
    <w:p w14:paraId="4469A5D4" w14:textId="77777777" w:rsidR="0079000F" w:rsidRDefault="009E1DEF">
      <w:pPr>
        <w:spacing w:after="0" w:line="360" w:lineRule="auto"/>
        <w:jc w:val="both"/>
        <w:rPr>
          <w:rFonts w:ascii="Times New Roman" w:eastAsia="Times New Roman" w:hAnsi="Times New Roman" w:cs="Times New Roman"/>
          <w:b/>
          <w:sz w:val="48"/>
          <w:szCs w:val="48"/>
        </w:rPr>
      </w:pPr>
      <w:bookmarkStart w:id="4" w:name="_heading=h.2et92p0" w:colFirst="0" w:colLast="0"/>
      <w:bookmarkEnd w:id="4"/>
      <w:r>
        <w:rPr>
          <w:rFonts w:ascii="Times New Roman" w:eastAsia="Times New Roman" w:hAnsi="Times New Roman" w:cs="Times New Roman"/>
          <w:b/>
          <w:color w:val="000000"/>
          <w:sz w:val="24"/>
          <w:szCs w:val="24"/>
        </w:rPr>
        <w:t>Aim and Objectives of the Meeting / Event </w:t>
      </w:r>
    </w:p>
    <w:p w14:paraId="4469A5D5"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Aim</w:t>
      </w:r>
    </w:p>
    <w:p w14:paraId="4469A5D6"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Within the entire MICE sector, significant inclusion along with diversity and potential equality- related needful advancements through an innovation centric event with all-inclusive aspects are included as its primitive aim (</w:t>
      </w:r>
      <w:r>
        <w:rPr>
          <w:rFonts w:ascii="Times New Roman" w:eastAsia="Times New Roman" w:hAnsi="Times New Roman" w:cs="Times New Roman"/>
          <w:color w:val="222222"/>
          <w:sz w:val="24"/>
          <w:szCs w:val="24"/>
          <w:highlight w:val="white"/>
        </w:rPr>
        <w:t xml:space="preserve">Purdy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color w:val="000000"/>
          <w:sz w:val="24"/>
          <w:szCs w:val="24"/>
        </w:rPr>
        <w:t>). For fostering these circumstances as for the references of EDI prospects- towards this entire industry, along with actionable methods, significant knowledge sharing and crucial discussions are promoted. These are all included in this event’s core intention. Significant networking opportunities along with crucial comprehensions and tools are also offered throughout the efforts of industry professionals. Event experiences can be then more accessible alongside maintained inclusivity- these forces can be improved eventually. </w:t>
      </w:r>
    </w:p>
    <w:p w14:paraId="4469A5D7"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Objectives </w:t>
      </w:r>
    </w:p>
    <w:p w14:paraId="4469A5D8"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Alliances along with industry involvement needs to be increased </w:t>
      </w:r>
    </w:p>
    <w:p w14:paraId="4469A5D9"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Specific- Sponsorships of approximately 10 must be safeguarded. A minimum of 5 significant and prime partnerships should also be protected. Thus this entire event can be reinforced and fostered. </w:t>
      </w:r>
    </w:p>
    <w:p w14:paraId="4469A5DA"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Measurable- Desired advancements can be appraised due to the influences of marketing along with significant partnership agreements (</w:t>
      </w:r>
      <w:r>
        <w:rPr>
          <w:rFonts w:ascii="Times New Roman" w:eastAsia="Times New Roman" w:hAnsi="Times New Roman" w:cs="Times New Roman"/>
          <w:color w:val="222222"/>
          <w:sz w:val="24"/>
          <w:szCs w:val="24"/>
          <w:highlight w:val="white"/>
        </w:rPr>
        <w:t>Hung</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color w:val="000000"/>
          <w:sz w:val="24"/>
          <w:szCs w:val="24"/>
        </w:rPr>
        <w:t>). </w:t>
      </w:r>
    </w:p>
    <w:p w14:paraId="4469A5DB"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Achievable- Required dedications are also intensified. EDI values oriented crucial organisations and its significant involvement makes all of it possible. </w:t>
      </w:r>
    </w:p>
    <w:p w14:paraId="4469A5DC"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Relevant- Far reaching influences along with reach and needful credibility can also be developed through industry related partnerships. </w:t>
      </w:r>
    </w:p>
    <w:p w14:paraId="4469A5DD"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Time-bound- In order to leverage promotional reach, the event must be safeguarded before 1 month. </w:t>
      </w:r>
    </w:p>
    <w:p w14:paraId="4469A5DE"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Best practices along with industry awareness should be developed </w:t>
      </w:r>
    </w:p>
    <w:p w14:paraId="4469A5DF"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Specific- Practical methods related comprehensions can be obtained by most of the attendees of this entire event. Thus core EDI centric principles are deep rooted within their prospects. Methods of their impactful event planning are also incorporated within it eventually (</w:t>
      </w:r>
      <w:r>
        <w:rPr>
          <w:rFonts w:ascii="Times New Roman" w:eastAsia="Times New Roman" w:hAnsi="Times New Roman" w:cs="Times New Roman"/>
          <w:color w:val="222222"/>
          <w:sz w:val="24"/>
          <w:szCs w:val="24"/>
          <w:highlight w:val="white"/>
        </w:rPr>
        <w:t>Liddy, Kerrigan and O’Brien, 2023</w:t>
      </w:r>
      <w:r>
        <w:rPr>
          <w:rFonts w:ascii="Times New Roman" w:eastAsia="Times New Roman" w:hAnsi="Times New Roman" w:cs="Times New Roman"/>
          <w:color w:val="000000"/>
          <w:sz w:val="24"/>
          <w:szCs w:val="24"/>
        </w:rPr>
        <w:t>). </w:t>
      </w:r>
    </w:p>
    <w:p w14:paraId="4469A5E0"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Measurable- EDI related techniques, its implementations and the comprehension of attendee can be appraised throughout the evaluation of post events.  </w:t>
      </w:r>
    </w:p>
    <w:p w14:paraId="4469A5E1"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Achievable- Best practices and its concerned direct exposure can also be achieved. Several case studies and its execution along with interactive workshops and industry oriented panels’ makes all of it </w:t>
      </w:r>
      <w:r>
        <w:rPr>
          <w:rFonts w:ascii="Times New Roman" w:eastAsia="Times New Roman" w:hAnsi="Times New Roman" w:cs="Times New Roman"/>
          <w:sz w:val="24"/>
          <w:szCs w:val="24"/>
        </w:rPr>
        <w:t>happen</w:t>
      </w:r>
      <w:r>
        <w:rPr>
          <w:rFonts w:ascii="Times New Roman" w:eastAsia="Times New Roman" w:hAnsi="Times New Roman" w:cs="Times New Roman"/>
          <w:color w:val="000000"/>
          <w:sz w:val="24"/>
          <w:szCs w:val="24"/>
        </w:rPr>
        <w:t>. </w:t>
      </w:r>
    </w:p>
    <w:p w14:paraId="4469A5E2"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Relevant- Needful and potential inclusivity gets prospered within several sectors and organisations. Market preferences are getting oriented with significant and tangible solutions. Professionals and experts obtained these aspects. </w:t>
      </w:r>
    </w:p>
    <w:p w14:paraId="4469A5E3"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Time-bound- Post event, feedback along with time frames are collected within one month. </w:t>
      </w:r>
    </w:p>
    <w:p w14:paraId="4469A5E4"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Collaboration along with professional networking must be accelerated </w:t>
      </w:r>
    </w:p>
    <w:p w14:paraId="4469A5E5"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Specific- Far-reaching activities is very useful. It is incorporated within networking opportunities and involves attendees which get assured through these activities eventually. </w:t>
      </w:r>
    </w:p>
    <w:p w14:paraId="4469A5E6"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Measurable- Check-ins choices which are consolidated with significant event centric apps, helps to trace networking sessions as for the regards of attendee involvement. </w:t>
      </w:r>
    </w:p>
    <w:p w14:paraId="4469A5E7"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Achievable- Significant connections are also motivated due to crucial networking sessions. </w:t>
      </w:r>
    </w:p>
    <w:p w14:paraId="4469A5E8"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Relevant- Collaborations can get promoted through networking. Far reaching industry related influences are also driven for this reason (</w:t>
      </w:r>
      <w:r>
        <w:rPr>
          <w:rFonts w:ascii="Times New Roman" w:eastAsia="Times New Roman" w:hAnsi="Times New Roman" w:cs="Times New Roman"/>
          <w:color w:val="222222"/>
          <w:sz w:val="24"/>
          <w:szCs w:val="24"/>
          <w:highlight w:val="white"/>
        </w:rPr>
        <w:t xml:space="preserve">Sobrany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000000"/>
          <w:sz w:val="24"/>
          <w:szCs w:val="24"/>
        </w:rPr>
        <w:t>). </w:t>
      </w:r>
    </w:p>
    <w:p w14:paraId="4469A5E9"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Time-bound- Involvements can be traced after this event ends, one month minimum. Desired collaborations are also obtained then.  </w:t>
      </w:r>
    </w:p>
    <w:p w14:paraId="4469A5EA" w14:textId="77777777" w:rsidR="0079000F" w:rsidRDefault="009E1DEF">
      <w:pPr>
        <w:spacing w:after="0" w:line="360" w:lineRule="auto"/>
        <w:jc w:val="both"/>
        <w:rPr>
          <w:rFonts w:ascii="Times New Roman" w:eastAsia="Times New Roman" w:hAnsi="Times New Roman" w:cs="Times New Roman"/>
          <w:b/>
          <w:sz w:val="48"/>
          <w:szCs w:val="48"/>
        </w:rPr>
      </w:pPr>
      <w:bookmarkStart w:id="5" w:name="_heading=h.tyjcwt" w:colFirst="0" w:colLast="0"/>
      <w:bookmarkEnd w:id="5"/>
      <w:r>
        <w:rPr>
          <w:rFonts w:ascii="Times New Roman" w:eastAsia="Times New Roman" w:hAnsi="Times New Roman" w:cs="Times New Roman"/>
          <w:b/>
          <w:color w:val="000000"/>
          <w:sz w:val="24"/>
          <w:szCs w:val="24"/>
        </w:rPr>
        <w:t>Event Management </w:t>
      </w:r>
    </w:p>
    <w:p w14:paraId="4469A5EB"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Planning activities </w:t>
      </w:r>
    </w:p>
    <w:p w14:paraId="4469A5EC"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Potential expenses along with ticket sales and impactful management of sponsorships are noticed by finance alongside budgeting. This financial viability gets assured in a potential way. In order to stabilise involvement, significant workshops along with panel discussions and foremost keynote speeches are needed. These are handled by agenda structuring. Overall, panel </w:t>
      </w:r>
      <w:r>
        <w:rPr>
          <w:rFonts w:ascii="Times New Roman" w:eastAsia="Times New Roman" w:hAnsi="Times New Roman" w:cs="Times New Roman"/>
          <w:sz w:val="24"/>
          <w:szCs w:val="24"/>
        </w:rPr>
        <w:t>coordination along</w:t>
      </w:r>
      <w:r>
        <w:rPr>
          <w:rFonts w:ascii="Times New Roman" w:eastAsia="Times New Roman" w:hAnsi="Times New Roman" w:cs="Times New Roman"/>
          <w:color w:val="000000"/>
          <w:sz w:val="24"/>
          <w:szCs w:val="24"/>
        </w:rPr>
        <w:t xml:space="preserve"> with speakers hold a huge potential (</w:t>
      </w:r>
      <w:r>
        <w:rPr>
          <w:rFonts w:ascii="Times New Roman" w:eastAsia="Times New Roman" w:hAnsi="Times New Roman" w:cs="Times New Roman"/>
          <w:color w:val="222222"/>
          <w:sz w:val="24"/>
          <w:szCs w:val="24"/>
          <w:highlight w:val="white"/>
        </w:rPr>
        <w:t>Higgins-Desbiolles and Monga, 2022</w:t>
      </w:r>
      <w:r>
        <w:rPr>
          <w:rFonts w:ascii="Times New Roman" w:eastAsia="Times New Roman" w:hAnsi="Times New Roman" w:cs="Times New Roman"/>
          <w:color w:val="000000"/>
          <w:sz w:val="24"/>
          <w:szCs w:val="24"/>
        </w:rPr>
        <w:t>). EDI centric significant professionals get their invitation through their efforts. Their availability also gets assured because of these approaches. </w:t>
      </w:r>
    </w:p>
    <w:p w14:paraId="4469A5ED"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Operational activities </w:t>
      </w:r>
    </w:p>
    <w:p w14:paraId="4469A5EE"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Manchester Central Convention Complex is getting engaged with needful logistics and significant coordination. Venue management makes this happen. Thus technical reinforcement, catering along with seating and accessibility- these combined forces are assured. Event security is also recruited due to safety along with significant security. Overall, safety and effective health </w:t>
      </w:r>
      <w:r>
        <w:rPr>
          <w:rFonts w:ascii="Times New Roman" w:eastAsia="Times New Roman" w:hAnsi="Times New Roman" w:cs="Times New Roman"/>
          <w:color w:val="000000"/>
          <w:sz w:val="24"/>
          <w:szCs w:val="24"/>
        </w:rPr>
        <w:lastRenderedPageBreak/>
        <w:t>centric core regulations and compliances are also engaged with core assurances. Resource allocation also holds a huge significance. Inclusivity gets explained. Moreover, AV related equipment is assembled. An immense range of dietary preferences are accomplished. Accessibility related required arrangements are also noticed by these allocations. </w:t>
      </w:r>
    </w:p>
    <w:p w14:paraId="4469A5EF"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Marketing activities </w:t>
      </w:r>
    </w:p>
    <w:p w14:paraId="4469A5F0"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Business reach can be boosted along with credibility. All of these are made possible through industry leaders along with their significant alliances (</w:t>
      </w:r>
      <w:r>
        <w:rPr>
          <w:rFonts w:ascii="Times New Roman" w:eastAsia="Times New Roman" w:hAnsi="Times New Roman" w:cs="Times New Roman"/>
          <w:color w:val="222222"/>
          <w:sz w:val="24"/>
          <w:szCs w:val="24"/>
          <w:highlight w:val="white"/>
        </w:rPr>
        <w:t>Morrison, 2023</w:t>
      </w:r>
      <w:r>
        <w:rPr>
          <w:rFonts w:ascii="Times New Roman" w:eastAsia="Times New Roman" w:hAnsi="Times New Roman" w:cs="Times New Roman"/>
          <w:color w:val="000000"/>
          <w:sz w:val="24"/>
          <w:szCs w:val="24"/>
        </w:rPr>
        <w:t>). Sponsorships along with needful partnerships make it happen. Industry professionals and experts centric needful reach can also be obtained. Various event websites along with significant email campaigns and social media- combined forces and its maximisation is behind all of that. These are incorporated in digital promotions eventually. PR management along with the prospects and comprehension of media also hold a huge set of importance. Awareness can be boosted due to impacts and the press related participation. </w:t>
      </w:r>
    </w:p>
    <w:p w14:paraId="4469A5F1"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All-inclusive aspects of innovation within the entire MICE sector- related areas are getting engaged with significant confirmation through potential management. Thus a well-defined and essential along with impactful and ongoing experience can be offered. </w:t>
      </w:r>
    </w:p>
    <w:p w14:paraId="4469A5F2" w14:textId="77777777" w:rsidR="0079000F" w:rsidRDefault="009E1DEF">
      <w:pPr>
        <w:spacing w:after="0" w:line="360" w:lineRule="auto"/>
        <w:jc w:val="both"/>
        <w:rPr>
          <w:rFonts w:ascii="Times New Roman" w:eastAsia="Times New Roman" w:hAnsi="Times New Roman" w:cs="Times New Roman"/>
          <w:b/>
          <w:sz w:val="48"/>
          <w:szCs w:val="48"/>
        </w:rPr>
      </w:pPr>
      <w:bookmarkStart w:id="6" w:name="_heading=h.3dy6vkm" w:colFirst="0" w:colLast="0"/>
      <w:bookmarkEnd w:id="6"/>
      <w:r>
        <w:rPr>
          <w:rFonts w:ascii="Times New Roman" w:eastAsia="Times New Roman" w:hAnsi="Times New Roman" w:cs="Times New Roman"/>
          <w:b/>
          <w:color w:val="000000"/>
          <w:sz w:val="24"/>
          <w:szCs w:val="24"/>
        </w:rPr>
        <w:t>Event Budget </w:t>
      </w:r>
    </w:p>
    <w:p w14:paraId="4469A5F3"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Estimated expenditure</w:t>
      </w:r>
    </w:p>
    <w:p w14:paraId="4469A5F4"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Approximately £8,000 is needed for hospitality along with catering. </w:t>
      </w:r>
    </w:p>
    <w:p w14:paraId="4469A5F5"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Approximately £15,000 is needed for logistics along with the venue. </w:t>
      </w:r>
    </w:p>
    <w:p w14:paraId="4469A5F6"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Approximately £10,000 is needed for significant workshops and effective speakers. </w:t>
      </w:r>
    </w:p>
    <w:p w14:paraId="4469A5F7"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Approximately £7,000 is needed for promotions along with potential marketing objectives. </w:t>
      </w:r>
    </w:p>
    <w:p w14:paraId="4469A5F8"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Projected income </w:t>
      </w:r>
    </w:p>
    <w:p w14:paraId="4469A5F9"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Ticket sales- Almost £20,000. </w:t>
      </w:r>
    </w:p>
    <w:p w14:paraId="4469A5FA"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Partnerships along with sponsorships- Almost £30,000.  </w:t>
      </w:r>
    </w:p>
    <w:p w14:paraId="4469A5FB"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Exhibitor fees- Almost £10,000. </w:t>
      </w:r>
    </w:p>
    <w:p w14:paraId="4469A5FC"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Financial along with investment centric viability</w:t>
      </w:r>
      <w:r>
        <w:rPr>
          <w:rFonts w:ascii="Times New Roman" w:eastAsia="Times New Roman" w:hAnsi="Times New Roman" w:cs="Times New Roman"/>
          <w:color w:val="000000"/>
          <w:sz w:val="24"/>
          <w:szCs w:val="24"/>
        </w:rPr>
        <w:t> </w:t>
      </w:r>
    </w:p>
    <w:p w14:paraId="4469A5FD"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 stabilised and well defined budget aspect assures through significant revenue streams. Financial losses are also circumvented (</w:t>
      </w:r>
      <w:r>
        <w:rPr>
          <w:rFonts w:ascii="Times New Roman" w:eastAsia="Times New Roman" w:hAnsi="Times New Roman" w:cs="Times New Roman"/>
          <w:color w:val="222222"/>
          <w:sz w:val="24"/>
          <w:szCs w:val="24"/>
          <w:highlight w:val="white"/>
        </w:rPr>
        <w:t xml:space="preserve">Falchetta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color w:val="000000"/>
          <w:sz w:val="24"/>
          <w:szCs w:val="24"/>
        </w:rPr>
        <w:t>). Related needful influences are also leveraged. Desired profitability gets safeguarded due to ticket sales along with exhibitor’s fees and several prominent sponsorships. </w:t>
      </w:r>
    </w:p>
    <w:p w14:paraId="4469A5FE" w14:textId="77777777" w:rsidR="0079000F" w:rsidRDefault="009E1DEF">
      <w:pPr>
        <w:spacing w:after="0" w:line="360" w:lineRule="auto"/>
        <w:jc w:val="both"/>
        <w:rPr>
          <w:rFonts w:ascii="Times New Roman" w:eastAsia="Times New Roman" w:hAnsi="Times New Roman" w:cs="Times New Roman"/>
          <w:b/>
          <w:sz w:val="48"/>
          <w:szCs w:val="48"/>
        </w:rPr>
      </w:pPr>
      <w:bookmarkStart w:id="7" w:name="_heading=h.1t3h5sf" w:colFirst="0" w:colLast="0"/>
      <w:bookmarkEnd w:id="7"/>
      <w:r>
        <w:rPr>
          <w:rFonts w:ascii="Times New Roman" w:eastAsia="Times New Roman" w:hAnsi="Times New Roman" w:cs="Times New Roman"/>
          <w:b/>
          <w:color w:val="000000"/>
          <w:sz w:val="24"/>
          <w:szCs w:val="24"/>
        </w:rPr>
        <w:lastRenderedPageBreak/>
        <w:t>Industry Trends / Issues / Impacts </w:t>
      </w:r>
    </w:p>
    <w:p w14:paraId="4469A5FF"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Issues </w:t>
      </w:r>
    </w:p>
    <w:p w14:paraId="4469A600"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Significant regulatory compliance signifies a core issue. It holds a huge significance. Safety along with health related regulations and data security along with accessibility- these unified forces get assured through this compliance (</w:t>
      </w:r>
      <w:r>
        <w:rPr>
          <w:rFonts w:ascii="Times New Roman" w:eastAsia="Times New Roman" w:hAnsi="Times New Roman" w:cs="Times New Roman"/>
          <w:color w:val="222222"/>
          <w:sz w:val="24"/>
          <w:szCs w:val="24"/>
          <w:highlight w:val="white"/>
        </w:rPr>
        <w:t xml:space="preserve">Fitzsimmons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color w:val="000000"/>
          <w:sz w:val="24"/>
          <w:szCs w:val="24"/>
        </w:rPr>
        <w:t>). Whereas it is an increasing concern. Over and above that, significant financial pressures are encountered by several event organisers. Growing venue related costs along with inflation are behind all of that. In order to achieve financial sustainability, sponsorships must be involved with core safeguard. </w:t>
      </w:r>
    </w:p>
    <w:p w14:paraId="4469A601"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Trends </w:t>
      </w:r>
    </w:p>
    <w:p w14:paraId="4469A602"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Digital along with hybrid events are incorporated within the list of trends. For developing accessibility, several virtual attributes are consolidated throughout potential events after the pandemic. A huge range of audience base can be achieved. Regarding this context, virtual involvement along with live streaming holds a huge significance. These are crucially engaged within this event as well. </w:t>
      </w:r>
    </w:p>
    <w:p w14:paraId="4469A603"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EDI related core concentrations are significantly included in this list as well. Accessibility and impactful inclusivity on events are shaped due to the foreground of its growing aspects. These effective policies are obtained through various organisations. Thus networking opportunities are involved with significant inclusivity (</w:t>
      </w:r>
      <w:r>
        <w:rPr>
          <w:rFonts w:ascii="Times New Roman" w:eastAsia="Times New Roman" w:hAnsi="Times New Roman" w:cs="Times New Roman"/>
          <w:color w:val="222222"/>
          <w:sz w:val="24"/>
          <w:szCs w:val="24"/>
          <w:highlight w:val="white"/>
        </w:rPr>
        <w:t>Hagen, 2021</w:t>
      </w:r>
      <w:r>
        <w:rPr>
          <w:rFonts w:ascii="Times New Roman" w:eastAsia="Times New Roman" w:hAnsi="Times New Roman" w:cs="Times New Roman"/>
          <w:color w:val="000000"/>
          <w:sz w:val="24"/>
          <w:szCs w:val="24"/>
        </w:rPr>
        <w:t>). Venues are engaged with accessibility. Apart from that, manifold speaker representations are also getting confirmed. This trend and inclinations are marshalled with the circumstances of this entire event eventually. Towards this MICE sector and its related fostered diversity makes it happen. </w:t>
      </w:r>
    </w:p>
    <w:p w14:paraId="4469A604"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Eco-friendly aspects and impactful sustainability in events are also restrained within this trend. Sustainable resources should be utilised. Overall, waste functions must be reduced and carbon emissions should be diminished. These forces are restrained within it significantly. This is a core change which is growing simultaneously. Additionally, sustainable business practices must be obtained which are also discussed in this event. Carbon offset programs along with several impactful sustainable catering and digital materials are incorporated in it in an efficient way. </w:t>
      </w:r>
    </w:p>
    <w:p w14:paraId="4469A605"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Impacts</w:t>
      </w:r>
      <w:r>
        <w:rPr>
          <w:rFonts w:ascii="Times New Roman" w:eastAsia="Times New Roman" w:hAnsi="Times New Roman" w:cs="Times New Roman"/>
          <w:color w:val="000000"/>
          <w:sz w:val="24"/>
          <w:szCs w:val="24"/>
        </w:rPr>
        <w:t> </w:t>
      </w:r>
    </w:p>
    <w:p w14:paraId="4469A606"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Technological consolidation along with significant sustainability and inclusivity related aspects revolves around this entire sector as for the references of MICE (</w:t>
      </w:r>
      <w:r>
        <w:rPr>
          <w:rFonts w:ascii="Times New Roman" w:eastAsia="Times New Roman" w:hAnsi="Times New Roman" w:cs="Times New Roman"/>
          <w:color w:val="222222"/>
          <w:sz w:val="24"/>
          <w:szCs w:val="24"/>
          <w:highlight w:val="white"/>
        </w:rPr>
        <w:t>Lekgau, 2022</w:t>
      </w:r>
      <w:r>
        <w:rPr>
          <w:rFonts w:ascii="Times New Roman" w:eastAsia="Times New Roman" w:hAnsi="Times New Roman" w:cs="Times New Roman"/>
          <w:color w:val="000000"/>
          <w:sz w:val="24"/>
          <w:szCs w:val="24"/>
        </w:rPr>
        <w:t xml:space="preserve">). These trends make a huge importance to create a core acknowledgement by this entire event and its embracing </w:t>
      </w:r>
      <w:r>
        <w:rPr>
          <w:rFonts w:ascii="Times New Roman" w:eastAsia="Times New Roman" w:hAnsi="Times New Roman" w:cs="Times New Roman"/>
          <w:color w:val="000000"/>
          <w:sz w:val="24"/>
          <w:szCs w:val="24"/>
        </w:rPr>
        <w:lastRenderedPageBreak/>
        <w:t>approaches. Inclusivity gets promoted as well. Forward thinking perspectives alongside financial viability- these combined forces are also incorporated within it. </w:t>
      </w:r>
    </w:p>
    <w:p w14:paraId="4469A607" w14:textId="77777777" w:rsidR="0079000F" w:rsidRDefault="009E1DEF">
      <w:pPr>
        <w:spacing w:after="0" w:line="360" w:lineRule="auto"/>
        <w:jc w:val="both"/>
        <w:rPr>
          <w:rFonts w:ascii="Times New Roman" w:eastAsia="Times New Roman" w:hAnsi="Times New Roman" w:cs="Times New Roman"/>
          <w:b/>
          <w:sz w:val="48"/>
          <w:szCs w:val="48"/>
        </w:rPr>
      </w:pPr>
      <w:bookmarkStart w:id="8" w:name="_heading=h.4d34og8" w:colFirst="0" w:colLast="0"/>
      <w:bookmarkEnd w:id="8"/>
      <w:r>
        <w:rPr>
          <w:rFonts w:ascii="Times New Roman" w:eastAsia="Times New Roman" w:hAnsi="Times New Roman" w:cs="Times New Roman"/>
          <w:b/>
          <w:color w:val="000000"/>
          <w:sz w:val="24"/>
          <w:szCs w:val="24"/>
        </w:rPr>
        <w:t>Situational and Cultural Considerations </w:t>
      </w:r>
    </w:p>
    <w:p w14:paraId="4469A608"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Impacts towards the significant and all-inclusive aspects of innovation related events regarding the entire MICE sector, through cultural along with situational factors are engaged with significant appraisal. This is elucidated throughout the circumstances of PESTLE evaluation. This is discussed below. </w:t>
      </w:r>
    </w:p>
    <w:p w14:paraId="4469A609"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Political- Business practices are incorporated within core inclusivity. Motivation of EDI aspects and policies in the UK makes it happen. Objectives of this event are also marshalled with it as well.  </w:t>
      </w:r>
    </w:p>
    <w:p w14:paraId="4469A60A"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Economic- Planning as for the references of cost effectiveness along with dynamic sponsorships are called for event related sectors (</w:t>
      </w:r>
      <w:r>
        <w:rPr>
          <w:rFonts w:ascii="Times New Roman" w:eastAsia="Times New Roman" w:hAnsi="Times New Roman" w:cs="Times New Roman"/>
          <w:color w:val="222222"/>
          <w:sz w:val="24"/>
          <w:szCs w:val="24"/>
          <w:highlight w:val="white"/>
        </w:rPr>
        <w:t>Lou and Huang, 2023</w:t>
      </w:r>
      <w:r>
        <w:rPr>
          <w:rFonts w:ascii="Times New Roman" w:eastAsia="Times New Roman" w:hAnsi="Times New Roman" w:cs="Times New Roman"/>
          <w:color w:val="000000"/>
          <w:sz w:val="24"/>
          <w:szCs w:val="24"/>
        </w:rPr>
        <w:t>). Significant budget constraints along with growing economic downturn are behind all of that. </w:t>
      </w:r>
    </w:p>
    <w:p w14:paraId="4469A60B"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Social- Towards workplaces, significant and increasing EDI related awareness can be noticed. Towards representations and inclusions, far reaching discussions towards industry aspects and its preferences are preferable for this. </w:t>
      </w:r>
    </w:p>
    <w:p w14:paraId="4469A60C"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Technological- Involvement improves due to significant accessibility related technologies along with live streaming and dynamic event models. </w:t>
      </w:r>
    </w:p>
    <w:p w14:paraId="4469A60D"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Legal- Towards legal along with ethical aspects related advancements, significant accessibility law along with its core compliance holds a huge significance. </w:t>
      </w:r>
    </w:p>
    <w:p w14:paraId="4469A60E"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Environmental- Several growing environmental circumstances can be noticed. For instance, waste functions are diminished. Sustainable catering choices are offered. Overall, event materials are also provided digitally. </w:t>
      </w:r>
    </w:p>
    <w:p w14:paraId="4469A60F" w14:textId="77777777" w:rsidR="0079000F" w:rsidRDefault="009E1DEF">
      <w:pPr>
        <w:spacing w:after="0" w:line="360" w:lineRule="auto"/>
        <w:jc w:val="both"/>
        <w:rPr>
          <w:rFonts w:ascii="Times New Roman" w:eastAsia="Times New Roman" w:hAnsi="Times New Roman" w:cs="Times New Roman"/>
          <w:b/>
          <w:sz w:val="48"/>
          <w:szCs w:val="48"/>
        </w:rPr>
      </w:pPr>
      <w:bookmarkStart w:id="9" w:name="_heading=h.2s8eyo1" w:colFirst="0" w:colLast="0"/>
      <w:bookmarkEnd w:id="9"/>
      <w:r>
        <w:rPr>
          <w:rFonts w:ascii="Times New Roman" w:eastAsia="Times New Roman" w:hAnsi="Times New Roman" w:cs="Times New Roman"/>
          <w:b/>
          <w:color w:val="000000"/>
          <w:sz w:val="24"/>
          <w:szCs w:val="24"/>
        </w:rPr>
        <w:t>Conclusion </w:t>
      </w:r>
    </w:p>
    <w:p w14:paraId="4469A610"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This all-inclusive event related to innovation by maintaining the circumstances of EDI prospects are significantly discussed in this report. Cultural sensitivity along with calculated planning’s restrained within it. Seamless and current industry inclinations are also incorporated. In order to achieve desired growth, these hold a huge significance. </w:t>
      </w:r>
    </w:p>
    <w:p w14:paraId="4469A611"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612"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613"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614"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615"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616"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617"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618"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619"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61A" w14:textId="77777777" w:rsidR="0079000F" w:rsidRDefault="0079000F">
      <w:pPr>
        <w:spacing w:after="0" w:line="360" w:lineRule="auto"/>
        <w:jc w:val="both"/>
        <w:rPr>
          <w:rFonts w:ascii="Times New Roman" w:eastAsia="Times New Roman" w:hAnsi="Times New Roman" w:cs="Times New Roman"/>
          <w:b/>
          <w:color w:val="000000"/>
          <w:sz w:val="24"/>
          <w:szCs w:val="24"/>
        </w:rPr>
      </w:pPr>
    </w:p>
    <w:p w14:paraId="4469A61B" w14:textId="77777777" w:rsidR="0079000F" w:rsidRDefault="009E1DEF">
      <w:pPr>
        <w:spacing w:after="0" w:line="360" w:lineRule="auto"/>
        <w:jc w:val="both"/>
        <w:rPr>
          <w:rFonts w:ascii="Times New Roman" w:eastAsia="Times New Roman" w:hAnsi="Times New Roman" w:cs="Times New Roman"/>
          <w:b/>
          <w:sz w:val="48"/>
          <w:szCs w:val="48"/>
        </w:rPr>
      </w:pPr>
      <w:bookmarkStart w:id="10" w:name="_heading=h.17dp8vu" w:colFirst="0" w:colLast="0"/>
      <w:bookmarkEnd w:id="10"/>
      <w:r>
        <w:rPr>
          <w:rFonts w:ascii="Times New Roman" w:eastAsia="Times New Roman" w:hAnsi="Times New Roman" w:cs="Times New Roman"/>
          <w:b/>
          <w:color w:val="000000"/>
          <w:sz w:val="24"/>
          <w:szCs w:val="24"/>
        </w:rPr>
        <w:t>Reference List</w:t>
      </w:r>
    </w:p>
    <w:p w14:paraId="4469A61C" w14:textId="77777777" w:rsidR="0079000F" w:rsidRDefault="0079000F">
      <w:pPr>
        <w:spacing w:after="0" w:line="360" w:lineRule="auto"/>
        <w:jc w:val="both"/>
        <w:rPr>
          <w:rFonts w:ascii="Times New Roman" w:eastAsia="Times New Roman" w:hAnsi="Times New Roman" w:cs="Times New Roman"/>
          <w:color w:val="222222"/>
          <w:sz w:val="24"/>
          <w:szCs w:val="24"/>
          <w:highlight w:val="white"/>
        </w:rPr>
      </w:pPr>
    </w:p>
    <w:p w14:paraId="4469A61D"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Bhaskara, G.I. and Filimonau, V., 2021. The COVID-19 pandemic and organisational learning for disaster planning and management: A perspective of tourism businesses from a destination prone to consecutive disasters. </w:t>
      </w:r>
      <w:r>
        <w:rPr>
          <w:rFonts w:ascii="Times New Roman" w:eastAsia="Times New Roman" w:hAnsi="Times New Roman" w:cs="Times New Roman"/>
          <w:i/>
          <w:color w:val="222222"/>
          <w:sz w:val="24"/>
          <w:szCs w:val="24"/>
          <w:highlight w:val="white"/>
        </w:rPr>
        <w:t>Journal of Hospitality and 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 xml:space="preserve">, pp.364-375. Available at:  </w:t>
      </w:r>
      <w:hyperlink r:id="rId10">
        <w:r>
          <w:rPr>
            <w:rFonts w:ascii="Times New Roman" w:eastAsia="Times New Roman" w:hAnsi="Times New Roman" w:cs="Times New Roman"/>
            <w:color w:val="1155CC"/>
            <w:sz w:val="24"/>
            <w:szCs w:val="24"/>
            <w:u w:val="single"/>
          </w:rPr>
          <w:t>http://eprints.bournemouth.ac.uk/35163/1/1-s2.0-S1447677021000127-main.pdf</w:t>
        </w:r>
      </w:hyperlink>
      <w:r>
        <w:rPr>
          <w:rFonts w:ascii="Times New Roman" w:eastAsia="Times New Roman" w:hAnsi="Times New Roman" w:cs="Times New Roman"/>
          <w:color w:val="222222"/>
          <w:sz w:val="24"/>
          <w:szCs w:val="24"/>
          <w:highlight w:val="white"/>
        </w:rPr>
        <w:t xml:space="preserve"> (Accessed: 30 January 2025)</w:t>
      </w:r>
    </w:p>
    <w:p w14:paraId="4469A61E" w14:textId="77777777" w:rsidR="0079000F" w:rsidRDefault="0079000F">
      <w:pPr>
        <w:spacing w:after="0" w:line="360" w:lineRule="auto"/>
        <w:jc w:val="both"/>
        <w:rPr>
          <w:rFonts w:ascii="Times New Roman" w:eastAsia="Times New Roman" w:hAnsi="Times New Roman" w:cs="Times New Roman"/>
          <w:color w:val="222222"/>
          <w:sz w:val="24"/>
          <w:szCs w:val="24"/>
          <w:highlight w:val="white"/>
        </w:rPr>
      </w:pPr>
    </w:p>
    <w:p w14:paraId="4469A61F"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Kaunisto, A. (2023) </w:t>
      </w:r>
      <w:r>
        <w:rPr>
          <w:rFonts w:ascii="Times New Roman" w:eastAsia="Times New Roman" w:hAnsi="Times New Roman" w:cs="Times New Roman"/>
          <w:i/>
          <w:color w:val="222222"/>
          <w:sz w:val="24"/>
          <w:szCs w:val="24"/>
          <w:highlight w:val="white"/>
        </w:rPr>
        <w:t>Introducing the event cycle – the core of event success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Lyyti</w:t>
      </w:r>
      <w:r>
        <w:rPr>
          <w:rFonts w:ascii="Times New Roman" w:eastAsia="Times New Roman" w:hAnsi="Times New Roman" w:cs="Times New Roman"/>
          <w:color w:val="222222"/>
          <w:sz w:val="24"/>
          <w:szCs w:val="24"/>
          <w:highlight w:val="white"/>
        </w:rPr>
        <w:t xml:space="preserve">. Available at: </w:t>
      </w:r>
      <w:hyperlink r:id="rId11">
        <w:r>
          <w:rPr>
            <w:rFonts w:ascii="Times New Roman" w:eastAsia="Times New Roman" w:hAnsi="Times New Roman" w:cs="Times New Roman"/>
            <w:color w:val="1155CC"/>
            <w:sz w:val="24"/>
            <w:szCs w:val="24"/>
            <w:highlight w:val="white"/>
            <w:u w:val="single"/>
          </w:rPr>
          <w:t>https://www.lyyti.com/en/blog/introducing-the-event-cycle-the-core-of-event-success-management</w:t>
        </w:r>
      </w:hyperlink>
      <w:r>
        <w:rPr>
          <w:rFonts w:ascii="Times New Roman" w:eastAsia="Times New Roman" w:hAnsi="Times New Roman" w:cs="Times New Roman"/>
          <w:color w:val="222222"/>
          <w:sz w:val="24"/>
          <w:szCs w:val="24"/>
          <w:highlight w:val="white"/>
        </w:rPr>
        <w:t xml:space="preserve"> (Accessed: 27 February 2025). </w:t>
      </w:r>
    </w:p>
    <w:p w14:paraId="4469A620" w14:textId="77777777" w:rsidR="0079000F" w:rsidRDefault="0079000F">
      <w:pPr>
        <w:spacing w:after="0" w:line="360" w:lineRule="auto"/>
        <w:jc w:val="both"/>
        <w:rPr>
          <w:rFonts w:ascii="Times New Roman" w:eastAsia="Times New Roman" w:hAnsi="Times New Roman" w:cs="Times New Roman"/>
          <w:sz w:val="24"/>
          <w:szCs w:val="24"/>
        </w:rPr>
      </w:pPr>
    </w:p>
    <w:p w14:paraId="4469A621"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Bowdin, G.A., Allen, J., Harris, R., Jago, L., O'toole, W. and McDonnell, I., 2023. </w:t>
      </w:r>
      <w:r>
        <w:rPr>
          <w:rFonts w:ascii="Times New Roman" w:eastAsia="Times New Roman" w:hAnsi="Times New Roman" w:cs="Times New Roman"/>
          <w:i/>
          <w:color w:val="222222"/>
          <w:sz w:val="24"/>
          <w:szCs w:val="24"/>
          <w:highlight w:val="white"/>
        </w:rPr>
        <w:t>Events management</w:t>
      </w:r>
      <w:r>
        <w:rPr>
          <w:rFonts w:ascii="Times New Roman" w:eastAsia="Times New Roman" w:hAnsi="Times New Roman" w:cs="Times New Roman"/>
          <w:color w:val="222222"/>
          <w:sz w:val="24"/>
          <w:szCs w:val="24"/>
          <w:highlight w:val="white"/>
        </w:rPr>
        <w:t xml:space="preserve">. Routledge. Available at:  </w:t>
      </w:r>
      <w:hyperlink r:id="rId12">
        <w:r>
          <w:rPr>
            <w:rFonts w:ascii="Times New Roman" w:eastAsia="Times New Roman" w:hAnsi="Times New Roman" w:cs="Times New Roman"/>
            <w:color w:val="1155CC"/>
            <w:sz w:val="24"/>
            <w:szCs w:val="24"/>
            <w:u w:val="single"/>
          </w:rPr>
          <w:t>https://thuvienso.hoasen.edu.vn/bitstream/handle/123456789/10547/Contents.pdf?sequence=1</w:t>
        </w:r>
      </w:hyperlink>
      <w:r>
        <w:rPr>
          <w:rFonts w:ascii="Times New Roman" w:eastAsia="Times New Roman" w:hAnsi="Times New Roman" w:cs="Times New Roman"/>
          <w:color w:val="222222"/>
          <w:sz w:val="24"/>
          <w:szCs w:val="24"/>
          <w:highlight w:val="white"/>
        </w:rPr>
        <w:t xml:space="preserve"> (Accessed: 30 January 2025)</w:t>
      </w:r>
    </w:p>
    <w:p w14:paraId="4469A622" w14:textId="77777777" w:rsidR="0079000F" w:rsidRDefault="0079000F">
      <w:pPr>
        <w:spacing w:after="0" w:line="360" w:lineRule="auto"/>
        <w:jc w:val="both"/>
        <w:rPr>
          <w:rFonts w:ascii="Times New Roman" w:eastAsia="Times New Roman" w:hAnsi="Times New Roman" w:cs="Times New Roman"/>
          <w:sz w:val="24"/>
          <w:szCs w:val="24"/>
        </w:rPr>
      </w:pPr>
    </w:p>
    <w:p w14:paraId="4469A623"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Calver, J., Dashper, K., Finkel, R., Fletcher, T., Lamond, I.R., May, E., Ormerod, N., Platt, L. and Sharp, B., 2023. The (in) visibility of equality, diversity, and inclusion research in events management journals. </w:t>
      </w:r>
      <w:r>
        <w:rPr>
          <w:rFonts w:ascii="Times New Roman" w:eastAsia="Times New Roman" w:hAnsi="Times New Roman" w:cs="Times New Roman"/>
          <w:i/>
          <w:color w:val="222222"/>
          <w:sz w:val="24"/>
          <w:szCs w:val="24"/>
          <w:highlight w:val="white"/>
        </w:rPr>
        <w:t>Journal of Policy Research in Tourism, Leisure and Events</w:t>
      </w:r>
      <w:r>
        <w:rPr>
          <w:rFonts w:ascii="Times New Roman" w:eastAsia="Times New Roman" w:hAnsi="Times New Roman" w:cs="Times New Roman"/>
          <w:color w:val="222222"/>
          <w:sz w:val="24"/>
          <w:szCs w:val="24"/>
          <w:highlight w:val="white"/>
        </w:rPr>
        <w:t xml:space="preserve">, pp.1-25. Available at:  </w:t>
      </w:r>
      <w:hyperlink r:id="rId13">
        <w:r>
          <w:rPr>
            <w:rFonts w:ascii="Times New Roman" w:eastAsia="Times New Roman" w:hAnsi="Times New Roman" w:cs="Times New Roman"/>
            <w:color w:val="1155CC"/>
            <w:sz w:val="24"/>
            <w:szCs w:val="24"/>
            <w:u w:val="single"/>
          </w:rPr>
          <w:t>https://www.tandfonline.com/doi/pdf/10.1080/19407963.2023.2228820</w:t>
        </w:r>
      </w:hyperlink>
      <w:r>
        <w:rPr>
          <w:rFonts w:ascii="Times New Roman" w:eastAsia="Times New Roman" w:hAnsi="Times New Roman" w:cs="Times New Roman"/>
          <w:color w:val="222222"/>
          <w:sz w:val="24"/>
          <w:szCs w:val="24"/>
          <w:highlight w:val="white"/>
        </w:rPr>
        <w:t xml:space="preserve"> (Accessed: 30 January 2025)</w:t>
      </w:r>
    </w:p>
    <w:p w14:paraId="4469A624" w14:textId="77777777" w:rsidR="0079000F" w:rsidRDefault="0079000F">
      <w:pPr>
        <w:spacing w:after="0" w:line="360" w:lineRule="auto"/>
        <w:jc w:val="both"/>
        <w:rPr>
          <w:rFonts w:ascii="Times New Roman" w:eastAsia="Times New Roman" w:hAnsi="Times New Roman" w:cs="Times New Roman"/>
          <w:sz w:val="24"/>
          <w:szCs w:val="24"/>
        </w:rPr>
      </w:pPr>
    </w:p>
    <w:p w14:paraId="4469A625"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Dewidar, O., Elmestekawy, N. and Welch, V., 2022. Improving equity, diversity, and inclusion in academia. </w:t>
      </w:r>
      <w:r>
        <w:rPr>
          <w:rFonts w:ascii="Times New Roman" w:eastAsia="Times New Roman" w:hAnsi="Times New Roman" w:cs="Times New Roman"/>
          <w:i/>
          <w:color w:val="222222"/>
          <w:sz w:val="24"/>
          <w:szCs w:val="24"/>
          <w:highlight w:val="white"/>
        </w:rPr>
        <w:t>Research Integrity and Peer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(1), p.4. Available at: </w:t>
      </w:r>
      <w:hyperlink r:id="rId14">
        <w:r>
          <w:rPr>
            <w:rFonts w:ascii="Times New Roman" w:eastAsia="Times New Roman" w:hAnsi="Times New Roman" w:cs="Times New Roman"/>
            <w:color w:val="1155CC"/>
            <w:sz w:val="24"/>
            <w:szCs w:val="24"/>
            <w:u w:val="single"/>
          </w:rPr>
          <w:t>https://link.springer.com/content/pdf/10.1186/s41073-022-00123-z.pdf</w:t>
        </w:r>
      </w:hyperlink>
      <w:r>
        <w:rPr>
          <w:rFonts w:ascii="Times New Roman" w:eastAsia="Times New Roman" w:hAnsi="Times New Roman" w:cs="Times New Roman"/>
          <w:color w:val="222222"/>
          <w:sz w:val="24"/>
          <w:szCs w:val="24"/>
          <w:highlight w:val="white"/>
        </w:rPr>
        <w:t xml:space="preserve"> (Accessed: 30 January 2025)</w:t>
      </w:r>
    </w:p>
    <w:p w14:paraId="4469A626" w14:textId="77777777" w:rsidR="0079000F" w:rsidRDefault="0079000F">
      <w:pPr>
        <w:spacing w:after="0" w:line="360" w:lineRule="auto"/>
        <w:jc w:val="both"/>
        <w:rPr>
          <w:rFonts w:ascii="Times New Roman" w:eastAsia="Times New Roman" w:hAnsi="Times New Roman" w:cs="Times New Roman"/>
          <w:sz w:val="24"/>
          <w:szCs w:val="24"/>
        </w:rPr>
      </w:pPr>
    </w:p>
    <w:p w14:paraId="4469A627"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Dobusch, L., 2021. The inclusivity of inclusion approaches: A relational perspective on inclusion and exclusion in organizations. </w:t>
      </w:r>
      <w:r>
        <w:rPr>
          <w:rFonts w:ascii="Times New Roman" w:eastAsia="Times New Roman" w:hAnsi="Times New Roman" w:cs="Times New Roman"/>
          <w:i/>
          <w:color w:val="222222"/>
          <w:sz w:val="24"/>
          <w:szCs w:val="24"/>
          <w:highlight w:val="white"/>
        </w:rPr>
        <w:t>Gender, Work &amp; Organization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 xml:space="preserve">(1), pp.379-396. Available at:  </w:t>
      </w:r>
      <w:hyperlink r:id="rId15">
        <w:r>
          <w:rPr>
            <w:rFonts w:ascii="Times New Roman" w:eastAsia="Times New Roman" w:hAnsi="Times New Roman" w:cs="Times New Roman"/>
            <w:color w:val="1155CC"/>
            <w:sz w:val="24"/>
            <w:szCs w:val="24"/>
            <w:u w:val="single"/>
          </w:rPr>
          <w:t>https://onlinelibrary.wiley.com/doi/pdfdirect/10.1111/gwao.12574</w:t>
        </w:r>
      </w:hyperlink>
      <w:r>
        <w:rPr>
          <w:rFonts w:ascii="Times New Roman" w:eastAsia="Times New Roman" w:hAnsi="Times New Roman" w:cs="Times New Roman"/>
          <w:color w:val="222222"/>
          <w:sz w:val="24"/>
          <w:szCs w:val="24"/>
          <w:highlight w:val="white"/>
        </w:rPr>
        <w:t xml:space="preserve"> (Accessed: 30 January 2025)</w:t>
      </w:r>
    </w:p>
    <w:p w14:paraId="4469A628" w14:textId="77777777" w:rsidR="0079000F" w:rsidRDefault="0079000F">
      <w:pPr>
        <w:spacing w:after="0" w:line="360" w:lineRule="auto"/>
        <w:jc w:val="both"/>
        <w:rPr>
          <w:rFonts w:ascii="Times New Roman" w:eastAsia="Times New Roman" w:hAnsi="Times New Roman" w:cs="Times New Roman"/>
          <w:sz w:val="24"/>
          <w:szCs w:val="24"/>
        </w:rPr>
      </w:pPr>
    </w:p>
    <w:p w14:paraId="4469A629"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Falchetta, G., Michoud, B., Hafner, M. and Rother, M., 2022. Harnessing finance for a new era of decentralised electricity access: A review of private investment patterns and emerging business models. </w:t>
      </w:r>
      <w:r>
        <w:rPr>
          <w:rFonts w:ascii="Times New Roman" w:eastAsia="Times New Roman" w:hAnsi="Times New Roman" w:cs="Times New Roman"/>
          <w:i/>
          <w:color w:val="222222"/>
          <w:sz w:val="24"/>
          <w:szCs w:val="24"/>
          <w:highlight w:val="white"/>
        </w:rPr>
        <w:t>Energy Research &amp; Social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90</w:t>
      </w:r>
      <w:r>
        <w:rPr>
          <w:rFonts w:ascii="Times New Roman" w:eastAsia="Times New Roman" w:hAnsi="Times New Roman" w:cs="Times New Roman"/>
          <w:color w:val="222222"/>
          <w:sz w:val="24"/>
          <w:szCs w:val="24"/>
          <w:highlight w:val="white"/>
        </w:rPr>
        <w:t xml:space="preserve">, p.102587. Available at:  </w:t>
      </w:r>
      <w:hyperlink r:id="rId16">
        <w:r>
          <w:rPr>
            <w:rFonts w:ascii="Times New Roman" w:eastAsia="Times New Roman" w:hAnsi="Times New Roman" w:cs="Times New Roman"/>
            <w:color w:val="1155CC"/>
            <w:sz w:val="24"/>
            <w:szCs w:val="24"/>
            <w:u w:val="single"/>
          </w:rPr>
          <w:t>https://www.sciencedirect.com/science/article/pii/S2214629622000925</w:t>
        </w:r>
      </w:hyperlink>
      <w:r>
        <w:rPr>
          <w:rFonts w:ascii="Times New Roman" w:eastAsia="Times New Roman" w:hAnsi="Times New Roman" w:cs="Times New Roman"/>
          <w:color w:val="222222"/>
          <w:sz w:val="24"/>
          <w:szCs w:val="24"/>
          <w:highlight w:val="white"/>
        </w:rPr>
        <w:t xml:space="preserve"> (Accessed: 30 January 2025)</w:t>
      </w:r>
    </w:p>
    <w:p w14:paraId="4469A62A" w14:textId="77777777" w:rsidR="0079000F" w:rsidRDefault="0079000F">
      <w:pPr>
        <w:spacing w:after="0" w:line="360" w:lineRule="auto"/>
        <w:jc w:val="both"/>
        <w:rPr>
          <w:rFonts w:ascii="Times New Roman" w:eastAsia="Times New Roman" w:hAnsi="Times New Roman" w:cs="Times New Roman"/>
          <w:sz w:val="24"/>
          <w:szCs w:val="24"/>
        </w:rPr>
      </w:pPr>
    </w:p>
    <w:p w14:paraId="4469A62B"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Fitzsimmons, S., Özbilgin, M.F., Thomas, D.C. and Nkomo, S., 2023. Equality, diversity, and inclusion in international business: A review and research agenda. </w:t>
      </w:r>
      <w:r>
        <w:rPr>
          <w:rFonts w:ascii="Times New Roman" w:eastAsia="Times New Roman" w:hAnsi="Times New Roman" w:cs="Times New Roman"/>
          <w:i/>
          <w:color w:val="222222"/>
          <w:sz w:val="24"/>
          <w:szCs w:val="24"/>
          <w:highlight w:val="white"/>
        </w:rPr>
        <w:t>Journal of International Business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54</w:t>
      </w:r>
      <w:r>
        <w:rPr>
          <w:rFonts w:ascii="Times New Roman" w:eastAsia="Times New Roman" w:hAnsi="Times New Roman" w:cs="Times New Roman"/>
          <w:color w:val="222222"/>
          <w:sz w:val="24"/>
          <w:szCs w:val="24"/>
          <w:highlight w:val="white"/>
        </w:rPr>
        <w:t xml:space="preserve">(8), pp.1402-1422. Available at:  </w:t>
      </w:r>
      <w:hyperlink r:id="rId17">
        <w:r>
          <w:rPr>
            <w:rFonts w:ascii="Times New Roman" w:eastAsia="Times New Roman" w:hAnsi="Times New Roman" w:cs="Times New Roman"/>
            <w:color w:val="1155CC"/>
            <w:sz w:val="24"/>
            <w:szCs w:val="24"/>
            <w:u w:val="single"/>
          </w:rPr>
          <w:t>https://bura.brunel.ac.uk/bitstream/2438/27086/1/FullText.pdf</w:t>
        </w:r>
      </w:hyperlink>
      <w:r>
        <w:rPr>
          <w:rFonts w:ascii="Times New Roman" w:eastAsia="Times New Roman" w:hAnsi="Times New Roman" w:cs="Times New Roman"/>
          <w:color w:val="222222"/>
          <w:sz w:val="24"/>
          <w:szCs w:val="24"/>
          <w:highlight w:val="white"/>
        </w:rPr>
        <w:t xml:space="preserve"> (Accessed: 30 January 2025)</w:t>
      </w:r>
    </w:p>
    <w:p w14:paraId="4469A62C" w14:textId="77777777" w:rsidR="0079000F" w:rsidRDefault="0079000F">
      <w:pPr>
        <w:spacing w:after="0" w:line="360" w:lineRule="auto"/>
        <w:jc w:val="both"/>
        <w:rPr>
          <w:rFonts w:ascii="Times New Roman" w:eastAsia="Times New Roman" w:hAnsi="Times New Roman" w:cs="Times New Roman"/>
          <w:sz w:val="24"/>
          <w:szCs w:val="24"/>
        </w:rPr>
      </w:pPr>
    </w:p>
    <w:p w14:paraId="4469A62D"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Hagen, D., 2021. Sustainable event management: new perspectives for the meeting industry through innovation and digitalisation?. </w:t>
      </w:r>
      <w:r>
        <w:rPr>
          <w:rFonts w:ascii="Times New Roman" w:eastAsia="Times New Roman" w:hAnsi="Times New Roman" w:cs="Times New Roman"/>
          <w:i/>
          <w:color w:val="222222"/>
          <w:sz w:val="24"/>
          <w:szCs w:val="24"/>
          <w:highlight w:val="white"/>
        </w:rPr>
        <w:t>Innovations and Traditions for Sustainable Development</w:t>
      </w:r>
      <w:r>
        <w:rPr>
          <w:rFonts w:ascii="Times New Roman" w:eastAsia="Times New Roman" w:hAnsi="Times New Roman" w:cs="Times New Roman"/>
          <w:color w:val="222222"/>
          <w:sz w:val="24"/>
          <w:szCs w:val="24"/>
          <w:highlight w:val="white"/>
        </w:rPr>
        <w:t xml:space="preserve">, pp.259-275. Available at:  </w:t>
      </w:r>
      <w:hyperlink r:id="rId18" w:anchor="page=263">
        <w:r>
          <w:rPr>
            <w:rFonts w:ascii="Times New Roman" w:eastAsia="Times New Roman" w:hAnsi="Times New Roman" w:cs="Times New Roman"/>
            <w:color w:val="1155CC"/>
            <w:sz w:val="24"/>
            <w:szCs w:val="24"/>
            <w:u w:val="single"/>
          </w:rPr>
          <w:t>https://www.researchgate.net/profile/Constantina_Skanavis/publication/355354526_SkyrosIsland_in_the_Front_Line_of_Sustainable_Development_Promotion/links/61c1c81952bd3c7e05816d83/SkyrosIsland-in-the-Front-Line-of-Sustainable-Development-Promotion.pdf#page=263</w:t>
        </w:r>
      </w:hyperlink>
      <w:r>
        <w:rPr>
          <w:rFonts w:ascii="Times New Roman" w:eastAsia="Times New Roman" w:hAnsi="Times New Roman" w:cs="Times New Roman"/>
          <w:color w:val="222222"/>
          <w:sz w:val="24"/>
          <w:szCs w:val="24"/>
          <w:highlight w:val="white"/>
        </w:rPr>
        <w:t xml:space="preserve"> (Accessed: 30 January 2025)</w:t>
      </w:r>
    </w:p>
    <w:p w14:paraId="4469A62E" w14:textId="77777777" w:rsidR="0079000F" w:rsidRDefault="0079000F">
      <w:pPr>
        <w:spacing w:after="0" w:line="360" w:lineRule="auto"/>
        <w:jc w:val="both"/>
        <w:rPr>
          <w:rFonts w:ascii="Times New Roman" w:eastAsia="Times New Roman" w:hAnsi="Times New Roman" w:cs="Times New Roman"/>
          <w:sz w:val="24"/>
          <w:szCs w:val="24"/>
        </w:rPr>
      </w:pPr>
    </w:p>
    <w:p w14:paraId="4469A62F"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Higgins-Desbiolles, F. and Monga, M., 2022. Transformative change through events business: A feminist ethic of care analysis of building the purpose economy. In </w:t>
      </w:r>
      <w:r>
        <w:rPr>
          <w:rFonts w:ascii="Times New Roman" w:eastAsia="Times New Roman" w:hAnsi="Times New Roman" w:cs="Times New Roman"/>
          <w:i/>
          <w:color w:val="222222"/>
          <w:sz w:val="24"/>
          <w:szCs w:val="24"/>
          <w:highlight w:val="white"/>
        </w:rPr>
        <w:t>Events and Sustainability</w:t>
      </w:r>
      <w:r>
        <w:rPr>
          <w:rFonts w:ascii="Times New Roman" w:eastAsia="Times New Roman" w:hAnsi="Times New Roman" w:cs="Times New Roman"/>
          <w:color w:val="222222"/>
          <w:sz w:val="24"/>
          <w:szCs w:val="24"/>
          <w:highlight w:val="white"/>
        </w:rPr>
        <w:t xml:space="preserve"> (pp. </w:t>
      </w:r>
      <w:r>
        <w:rPr>
          <w:rFonts w:ascii="Times New Roman" w:eastAsia="Times New Roman" w:hAnsi="Times New Roman" w:cs="Times New Roman"/>
          <w:color w:val="222222"/>
          <w:sz w:val="24"/>
          <w:szCs w:val="24"/>
          <w:highlight w:val="white"/>
        </w:rPr>
        <w:lastRenderedPageBreak/>
        <w:t xml:space="preserve">251-269). Routledge. Available at:  </w:t>
      </w:r>
      <w:hyperlink r:id="rId19">
        <w:r>
          <w:rPr>
            <w:rFonts w:ascii="Times New Roman" w:eastAsia="Times New Roman" w:hAnsi="Times New Roman" w:cs="Times New Roman"/>
            <w:color w:val="1155CC"/>
            <w:sz w:val="24"/>
            <w:szCs w:val="24"/>
            <w:u w:val="single"/>
          </w:rPr>
          <w:t>https://www.academia.edu/download/66823321/09669582.2020.pdf</w:t>
        </w:r>
      </w:hyperlink>
      <w:r>
        <w:rPr>
          <w:rFonts w:ascii="Times New Roman" w:eastAsia="Times New Roman" w:hAnsi="Times New Roman" w:cs="Times New Roman"/>
          <w:color w:val="222222"/>
          <w:sz w:val="24"/>
          <w:szCs w:val="24"/>
          <w:highlight w:val="white"/>
        </w:rPr>
        <w:t xml:space="preserve"> (Accessed: 30 January 2025)</w:t>
      </w:r>
    </w:p>
    <w:p w14:paraId="4469A630" w14:textId="77777777" w:rsidR="0079000F" w:rsidRDefault="0079000F">
      <w:pPr>
        <w:spacing w:after="0" w:line="360" w:lineRule="auto"/>
        <w:jc w:val="both"/>
        <w:rPr>
          <w:rFonts w:ascii="Times New Roman" w:eastAsia="Times New Roman" w:hAnsi="Times New Roman" w:cs="Times New Roman"/>
          <w:sz w:val="24"/>
          <w:szCs w:val="24"/>
        </w:rPr>
      </w:pPr>
    </w:p>
    <w:p w14:paraId="4469A631"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Hung, L., Wong, K.L.Y., Rasekaba, T., Ren, L.H., Douglass, D., Slatter, S., Berndt, A. and Blackberry, I., 2024. How can equity, diversity, and inclusion (EDI) principles be incorporated into research excellence with industry and community partners? Lessons learned from Canada and Australia on projects with a dementia focus. </w:t>
      </w:r>
      <w:r>
        <w:rPr>
          <w:rFonts w:ascii="Times New Roman" w:eastAsia="Times New Roman" w:hAnsi="Times New Roman" w:cs="Times New Roman"/>
          <w:i/>
          <w:color w:val="222222"/>
          <w:sz w:val="24"/>
          <w:szCs w:val="24"/>
          <w:highlight w:val="white"/>
        </w:rPr>
        <w:t>Research Involvement and Engagement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xml:space="preserve">(1), p.106. Available at:  </w:t>
      </w:r>
      <w:hyperlink r:id="rId20">
        <w:r>
          <w:rPr>
            <w:rFonts w:ascii="Times New Roman" w:eastAsia="Times New Roman" w:hAnsi="Times New Roman" w:cs="Times New Roman"/>
            <w:color w:val="1155CC"/>
            <w:sz w:val="24"/>
            <w:szCs w:val="24"/>
            <w:u w:val="single"/>
          </w:rPr>
          <w:t>https://link.springer.com/content/pdf/10.1186/s40900-024-00644-5.pdf</w:t>
        </w:r>
      </w:hyperlink>
      <w:r>
        <w:rPr>
          <w:rFonts w:ascii="Times New Roman" w:eastAsia="Times New Roman" w:hAnsi="Times New Roman" w:cs="Times New Roman"/>
          <w:color w:val="222222"/>
          <w:sz w:val="24"/>
          <w:szCs w:val="24"/>
          <w:highlight w:val="white"/>
        </w:rPr>
        <w:t xml:space="preserve"> (Accessed: 30 January 2025)</w:t>
      </w:r>
    </w:p>
    <w:p w14:paraId="4469A632" w14:textId="77777777" w:rsidR="0079000F" w:rsidRDefault="0079000F">
      <w:pPr>
        <w:spacing w:after="0" w:line="360" w:lineRule="auto"/>
        <w:jc w:val="both"/>
        <w:rPr>
          <w:rFonts w:ascii="Times New Roman" w:eastAsia="Times New Roman" w:hAnsi="Times New Roman" w:cs="Times New Roman"/>
          <w:sz w:val="24"/>
          <w:szCs w:val="24"/>
        </w:rPr>
      </w:pPr>
    </w:p>
    <w:p w14:paraId="4469A633"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Khan, M.A.H., Harrison, T.G., Wajrak, M., Grimshaw, M., Schofield, K.G., Trew, A.J., Johal, K., Morgan, J., Shallcross, K.L., Sewry, J.D. and Davies-Coleman, M.T., 2023. Flipping the thinking on equality, diversity, and inclusion. why EDI is essential for the development and progression of the chemical sciences: A case study approach. </w:t>
      </w:r>
      <w:r>
        <w:rPr>
          <w:rFonts w:ascii="Times New Roman" w:eastAsia="Times New Roman" w:hAnsi="Times New Roman" w:cs="Times New Roman"/>
          <w:i/>
          <w:color w:val="222222"/>
          <w:sz w:val="24"/>
          <w:szCs w:val="24"/>
          <w:highlight w:val="white"/>
        </w:rPr>
        <w:t>Journal of chemical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100</w:t>
      </w:r>
      <w:r>
        <w:rPr>
          <w:rFonts w:ascii="Times New Roman" w:eastAsia="Times New Roman" w:hAnsi="Times New Roman" w:cs="Times New Roman"/>
          <w:color w:val="222222"/>
          <w:sz w:val="24"/>
          <w:szCs w:val="24"/>
          <w:highlight w:val="white"/>
        </w:rPr>
        <w:t xml:space="preserve">(11), pp.4279-4286. Available at:  </w:t>
      </w:r>
      <w:hyperlink r:id="rId21">
        <w:r>
          <w:rPr>
            <w:rFonts w:ascii="Times New Roman" w:eastAsia="Times New Roman" w:hAnsi="Times New Roman" w:cs="Times New Roman"/>
            <w:color w:val="1155CC"/>
            <w:sz w:val="24"/>
            <w:szCs w:val="24"/>
            <w:u w:val="single"/>
          </w:rPr>
          <w:t>https://pubs.acs.org/doi/pdf/10.1021/acs.jchemed.3c00364</w:t>
        </w:r>
      </w:hyperlink>
      <w:r>
        <w:rPr>
          <w:rFonts w:ascii="Times New Roman" w:eastAsia="Times New Roman" w:hAnsi="Times New Roman" w:cs="Times New Roman"/>
          <w:color w:val="222222"/>
          <w:sz w:val="24"/>
          <w:szCs w:val="24"/>
          <w:highlight w:val="white"/>
        </w:rPr>
        <w:t xml:space="preserve"> (Accessed: 30 January 2025)</w:t>
      </w:r>
    </w:p>
    <w:p w14:paraId="4469A634" w14:textId="77777777" w:rsidR="0079000F" w:rsidRDefault="0079000F">
      <w:pPr>
        <w:spacing w:after="0" w:line="360" w:lineRule="auto"/>
        <w:jc w:val="both"/>
        <w:rPr>
          <w:rFonts w:ascii="Times New Roman" w:eastAsia="Times New Roman" w:hAnsi="Times New Roman" w:cs="Times New Roman"/>
          <w:sz w:val="24"/>
          <w:szCs w:val="24"/>
        </w:rPr>
      </w:pPr>
    </w:p>
    <w:p w14:paraId="4469A635"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Lekgau, R.J., 2022. </w:t>
      </w:r>
      <w:r>
        <w:rPr>
          <w:rFonts w:ascii="Times New Roman" w:eastAsia="Times New Roman" w:hAnsi="Times New Roman" w:cs="Times New Roman"/>
          <w:i/>
          <w:color w:val="222222"/>
          <w:sz w:val="24"/>
          <w:szCs w:val="24"/>
          <w:highlight w:val="white"/>
        </w:rPr>
        <w:t>Resilience and Recovery of the MICE Sector Post-COVID-19</w:t>
      </w:r>
      <w:r>
        <w:rPr>
          <w:rFonts w:ascii="Times New Roman" w:eastAsia="Times New Roman" w:hAnsi="Times New Roman" w:cs="Times New Roman"/>
          <w:color w:val="222222"/>
          <w:sz w:val="24"/>
          <w:szCs w:val="24"/>
          <w:highlight w:val="white"/>
        </w:rPr>
        <w:t xml:space="preserve"> (Doctoral dissertation, University of Johannesburg). Available at:  </w:t>
      </w:r>
      <w:hyperlink r:id="rId22">
        <w:r>
          <w:rPr>
            <w:rFonts w:ascii="Times New Roman" w:eastAsia="Times New Roman" w:hAnsi="Times New Roman" w:cs="Times New Roman"/>
            <w:color w:val="1155CC"/>
            <w:sz w:val="24"/>
            <w:szCs w:val="24"/>
            <w:u w:val="single"/>
          </w:rPr>
          <w:t>https://ujcontent.uj.ac.za/view/pdfCoverPage?instCode=27UOJ_INST&amp;filePid=138677860007691&amp;download=true</w:t>
        </w:r>
      </w:hyperlink>
      <w:r>
        <w:rPr>
          <w:rFonts w:ascii="Times New Roman" w:eastAsia="Times New Roman" w:hAnsi="Times New Roman" w:cs="Times New Roman"/>
          <w:color w:val="222222"/>
          <w:sz w:val="24"/>
          <w:szCs w:val="24"/>
          <w:highlight w:val="white"/>
        </w:rPr>
        <w:t xml:space="preserve"> (Accessed: 30 January 2025)</w:t>
      </w:r>
    </w:p>
    <w:p w14:paraId="4469A636" w14:textId="77777777" w:rsidR="0079000F" w:rsidRDefault="0079000F">
      <w:pPr>
        <w:spacing w:after="0" w:line="360" w:lineRule="auto"/>
        <w:jc w:val="both"/>
        <w:rPr>
          <w:rFonts w:ascii="Times New Roman" w:eastAsia="Times New Roman" w:hAnsi="Times New Roman" w:cs="Times New Roman"/>
          <w:sz w:val="24"/>
          <w:szCs w:val="24"/>
        </w:rPr>
      </w:pPr>
    </w:p>
    <w:p w14:paraId="4469A637"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Liddy, S., Kerrigan, P. and O’Brien, A., 2023. Exploring the dynamics of EDI leadership in the Irish screen industries: policy, practice and perspective. </w:t>
      </w:r>
      <w:r>
        <w:rPr>
          <w:rFonts w:ascii="Times New Roman" w:eastAsia="Times New Roman" w:hAnsi="Times New Roman" w:cs="Times New Roman"/>
          <w:i/>
          <w:color w:val="222222"/>
          <w:sz w:val="24"/>
          <w:szCs w:val="24"/>
          <w:highlight w:val="white"/>
        </w:rPr>
        <w:t>International Journal of Cultural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 xml:space="preserve">(6), pp.752-766. Available at:  </w:t>
      </w:r>
      <w:hyperlink r:id="rId23">
        <w:r>
          <w:rPr>
            <w:rFonts w:ascii="Times New Roman" w:eastAsia="Times New Roman" w:hAnsi="Times New Roman" w:cs="Times New Roman"/>
            <w:color w:val="1155CC"/>
            <w:sz w:val="24"/>
            <w:szCs w:val="24"/>
            <w:u w:val="single"/>
          </w:rPr>
          <w:t>https://www.tandfonline.com/doi/pdf/10.1080/10286632.2022.2100365</w:t>
        </w:r>
      </w:hyperlink>
      <w:r>
        <w:rPr>
          <w:rFonts w:ascii="Times New Roman" w:eastAsia="Times New Roman" w:hAnsi="Times New Roman" w:cs="Times New Roman"/>
          <w:color w:val="222222"/>
          <w:sz w:val="24"/>
          <w:szCs w:val="24"/>
          <w:highlight w:val="white"/>
        </w:rPr>
        <w:t xml:space="preserve"> (Accessed: 30 January 2025)</w:t>
      </w:r>
    </w:p>
    <w:p w14:paraId="4469A638" w14:textId="77777777" w:rsidR="0079000F" w:rsidRDefault="0079000F">
      <w:pPr>
        <w:spacing w:after="0" w:line="360" w:lineRule="auto"/>
        <w:jc w:val="both"/>
        <w:rPr>
          <w:rFonts w:ascii="Times New Roman" w:eastAsia="Times New Roman" w:hAnsi="Times New Roman" w:cs="Times New Roman"/>
          <w:sz w:val="24"/>
          <w:szCs w:val="24"/>
        </w:rPr>
      </w:pPr>
    </w:p>
    <w:p w14:paraId="4469A639"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Lou, K.R. and Huang, Y.F., 2023. Effect of exhibition facilities, professional competence, and green procurement on green meeting, incentive travel, convention, and exhibition industry </w:t>
      </w:r>
      <w:r>
        <w:rPr>
          <w:rFonts w:ascii="Times New Roman" w:eastAsia="Times New Roman" w:hAnsi="Times New Roman" w:cs="Times New Roman"/>
          <w:color w:val="222222"/>
          <w:sz w:val="24"/>
          <w:szCs w:val="24"/>
          <w:highlight w:val="white"/>
        </w:rPr>
        <w:lastRenderedPageBreak/>
        <w:t xml:space="preserve">performance measurement: A case study of the exhibition industry of Taiwan.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(16), p.12179. Available at:  </w:t>
      </w:r>
      <w:hyperlink r:id="rId24">
        <w:r>
          <w:rPr>
            <w:rFonts w:ascii="Times New Roman" w:eastAsia="Times New Roman" w:hAnsi="Times New Roman" w:cs="Times New Roman"/>
            <w:color w:val="1155CC"/>
            <w:sz w:val="24"/>
            <w:szCs w:val="24"/>
            <w:u w:val="single"/>
          </w:rPr>
          <w:t>https://www.mdpi.com/2071-1050/15/16/12179/pdf</w:t>
        </w:r>
      </w:hyperlink>
      <w:r>
        <w:rPr>
          <w:rFonts w:ascii="Times New Roman" w:eastAsia="Times New Roman" w:hAnsi="Times New Roman" w:cs="Times New Roman"/>
          <w:color w:val="222222"/>
          <w:sz w:val="24"/>
          <w:szCs w:val="24"/>
          <w:highlight w:val="white"/>
        </w:rPr>
        <w:t xml:space="preserve"> (Accessed: 30 January 2025)</w:t>
      </w:r>
    </w:p>
    <w:p w14:paraId="4469A63A" w14:textId="77777777" w:rsidR="0079000F" w:rsidRDefault="0079000F">
      <w:pPr>
        <w:spacing w:after="0" w:line="360" w:lineRule="auto"/>
        <w:jc w:val="both"/>
        <w:rPr>
          <w:rFonts w:ascii="Times New Roman" w:eastAsia="Times New Roman" w:hAnsi="Times New Roman" w:cs="Times New Roman"/>
          <w:sz w:val="24"/>
          <w:szCs w:val="24"/>
        </w:rPr>
      </w:pPr>
    </w:p>
    <w:p w14:paraId="4469A63B"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Lynberg, L. and Deif, A., 2023. Network effects in blockchain and supply chain: a theoretical research synthesis. </w:t>
      </w:r>
      <w:r>
        <w:rPr>
          <w:rFonts w:ascii="Times New Roman" w:eastAsia="Times New Roman" w:hAnsi="Times New Roman" w:cs="Times New Roman"/>
          <w:i/>
          <w:color w:val="222222"/>
          <w:sz w:val="24"/>
          <w:szCs w:val="24"/>
          <w:highlight w:val="white"/>
        </w:rPr>
        <w:t>Modern Supply Chain Research and Applications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(1), pp.2-27. Available at:  </w:t>
      </w:r>
      <w:hyperlink r:id="rId25">
        <w:r>
          <w:rPr>
            <w:rFonts w:ascii="Times New Roman" w:eastAsia="Times New Roman" w:hAnsi="Times New Roman" w:cs="Times New Roman"/>
            <w:color w:val="1155CC"/>
            <w:sz w:val="24"/>
            <w:szCs w:val="24"/>
            <w:u w:val="single"/>
          </w:rPr>
          <w:t>https://www.emerald.com/insight/content/doi/10.1108/MSCRA-07-2022-0016/full/pdf</w:t>
        </w:r>
      </w:hyperlink>
      <w:r>
        <w:rPr>
          <w:rFonts w:ascii="Times New Roman" w:eastAsia="Times New Roman" w:hAnsi="Times New Roman" w:cs="Times New Roman"/>
          <w:color w:val="222222"/>
          <w:sz w:val="24"/>
          <w:szCs w:val="24"/>
          <w:highlight w:val="white"/>
        </w:rPr>
        <w:t xml:space="preserve"> (Accessed: 30 January 2025)</w:t>
      </w:r>
    </w:p>
    <w:p w14:paraId="4469A63C" w14:textId="77777777" w:rsidR="0079000F" w:rsidRDefault="0079000F">
      <w:pPr>
        <w:spacing w:after="0" w:line="360" w:lineRule="auto"/>
        <w:jc w:val="both"/>
        <w:rPr>
          <w:rFonts w:ascii="Times New Roman" w:eastAsia="Times New Roman" w:hAnsi="Times New Roman" w:cs="Times New Roman"/>
          <w:sz w:val="24"/>
          <w:szCs w:val="24"/>
        </w:rPr>
      </w:pPr>
    </w:p>
    <w:p w14:paraId="4469A63D"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 A.M., 2023. </w:t>
      </w:r>
      <w:r>
        <w:rPr>
          <w:rFonts w:ascii="Times New Roman" w:eastAsia="Times New Roman" w:hAnsi="Times New Roman" w:cs="Times New Roman"/>
          <w:i/>
          <w:color w:val="222222"/>
          <w:sz w:val="24"/>
          <w:szCs w:val="24"/>
          <w:highlight w:val="white"/>
        </w:rPr>
        <w:t>Marketing and managing tourism destinations</w:t>
      </w:r>
      <w:r>
        <w:rPr>
          <w:rFonts w:ascii="Times New Roman" w:eastAsia="Times New Roman" w:hAnsi="Times New Roman" w:cs="Times New Roman"/>
          <w:color w:val="222222"/>
          <w:sz w:val="24"/>
          <w:szCs w:val="24"/>
          <w:highlight w:val="white"/>
        </w:rPr>
        <w:t xml:space="preserve">. Routledge. Available at:  </w:t>
      </w:r>
      <w:hyperlink r:id="rId26">
        <w:r>
          <w:rPr>
            <w:rFonts w:ascii="Times New Roman" w:eastAsia="Times New Roman" w:hAnsi="Times New Roman" w:cs="Times New Roman"/>
            <w:color w:val="1155CC"/>
            <w:sz w:val="24"/>
            <w:szCs w:val="24"/>
            <w:u w:val="single"/>
          </w:rPr>
          <w:t>https://www.academia.edu/download/35662370/STP_Bali_Marketing_and_Managing_Tourism_Destinations.pdf</w:t>
        </w:r>
      </w:hyperlink>
      <w:r>
        <w:rPr>
          <w:rFonts w:ascii="Times New Roman" w:eastAsia="Times New Roman" w:hAnsi="Times New Roman" w:cs="Times New Roman"/>
          <w:color w:val="222222"/>
          <w:sz w:val="24"/>
          <w:szCs w:val="24"/>
          <w:highlight w:val="white"/>
        </w:rPr>
        <w:t xml:space="preserve"> (Accessed: 30 January 2025)</w:t>
      </w:r>
    </w:p>
    <w:p w14:paraId="4469A63E" w14:textId="77777777" w:rsidR="0079000F" w:rsidRDefault="0079000F">
      <w:pPr>
        <w:spacing w:after="0" w:line="360" w:lineRule="auto"/>
        <w:jc w:val="both"/>
        <w:rPr>
          <w:rFonts w:ascii="Times New Roman" w:eastAsia="Times New Roman" w:hAnsi="Times New Roman" w:cs="Times New Roman"/>
          <w:sz w:val="24"/>
          <w:szCs w:val="24"/>
        </w:rPr>
      </w:pPr>
    </w:p>
    <w:p w14:paraId="4469A63F"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Purdy, E., Symon, B., Marks, R.E., Speirs, C. and Brazil, V., 2023. Exploring equity, diversity, and inclusion in a simulation program using the SIM-EDI tool: the impact of a reflexive tool for simulation educators. </w:t>
      </w:r>
      <w:r>
        <w:rPr>
          <w:rFonts w:ascii="Times New Roman" w:eastAsia="Times New Roman" w:hAnsi="Times New Roman" w:cs="Times New Roman"/>
          <w:i/>
          <w:color w:val="222222"/>
          <w:sz w:val="24"/>
          <w:szCs w:val="24"/>
          <w:highlight w:val="white"/>
        </w:rPr>
        <w:t>Advances in Simulation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(1), p.11. Available at:  </w:t>
      </w:r>
      <w:hyperlink r:id="rId27">
        <w:r>
          <w:rPr>
            <w:rFonts w:ascii="Times New Roman" w:eastAsia="Times New Roman" w:hAnsi="Times New Roman" w:cs="Times New Roman"/>
            <w:color w:val="1155CC"/>
            <w:sz w:val="24"/>
            <w:szCs w:val="24"/>
            <w:u w:val="single"/>
          </w:rPr>
          <w:t>https://link.springer.com/content/pdf/10.1186/s41077-023-00250-7.pdf</w:t>
        </w:r>
      </w:hyperlink>
      <w:r>
        <w:rPr>
          <w:rFonts w:ascii="Times New Roman" w:eastAsia="Times New Roman" w:hAnsi="Times New Roman" w:cs="Times New Roman"/>
          <w:color w:val="222222"/>
          <w:sz w:val="24"/>
          <w:szCs w:val="24"/>
          <w:highlight w:val="white"/>
        </w:rPr>
        <w:t xml:space="preserve"> (Accessed: 30 January 2025)</w:t>
      </w:r>
    </w:p>
    <w:p w14:paraId="4469A640" w14:textId="77777777" w:rsidR="0079000F" w:rsidRDefault="0079000F">
      <w:pPr>
        <w:spacing w:after="0" w:line="360" w:lineRule="auto"/>
        <w:jc w:val="both"/>
        <w:rPr>
          <w:rFonts w:ascii="Times New Roman" w:eastAsia="Times New Roman" w:hAnsi="Times New Roman" w:cs="Times New Roman"/>
          <w:sz w:val="24"/>
          <w:szCs w:val="24"/>
        </w:rPr>
      </w:pPr>
    </w:p>
    <w:p w14:paraId="4469A641"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Sobrany, S., Cox, G., Miller, J.Z.S., Gardner, E. and Higginbottom, G.M.A., 2021. Optimising the activities and the products of an academic and student collaborative network to achieve EDI goals in Higher Education. </w:t>
      </w:r>
      <w:r>
        <w:rPr>
          <w:rFonts w:ascii="Times New Roman" w:eastAsia="Times New Roman" w:hAnsi="Times New Roman" w:cs="Times New Roman"/>
          <w:i/>
          <w:color w:val="222222"/>
          <w:sz w:val="24"/>
          <w:szCs w:val="24"/>
          <w:highlight w:val="white"/>
        </w:rPr>
        <w:t>The Journal of Educational Innovation, Partnership and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(1). Available at:  </w:t>
      </w:r>
      <w:hyperlink r:id="rId28">
        <w:r>
          <w:rPr>
            <w:rFonts w:ascii="Times New Roman" w:eastAsia="Times New Roman" w:hAnsi="Times New Roman" w:cs="Times New Roman"/>
            <w:color w:val="1155CC"/>
            <w:sz w:val="24"/>
            <w:szCs w:val="24"/>
            <w:u w:val="single"/>
          </w:rPr>
          <w:t>https://www.journals.studentengagement.org.uk/index.php/studentchangeagents/article/view/1024/746</w:t>
        </w:r>
      </w:hyperlink>
      <w:r>
        <w:rPr>
          <w:rFonts w:ascii="Arial" w:eastAsia="Arial" w:hAnsi="Arial" w:cs="Arial"/>
          <w:color w:val="222222"/>
          <w:sz w:val="20"/>
          <w:szCs w:val="20"/>
          <w:highlight w:val="white"/>
        </w:rPr>
        <w:t xml:space="preserve"> </w:t>
      </w:r>
      <w:r>
        <w:rPr>
          <w:rFonts w:ascii="Times New Roman" w:eastAsia="Times New Roman" w:hAnsi="Times New Roman" w:cs="Times New Roman"/>
          <w:color w:val="222222"/>
          <w:sz w:val="24"/>
          <w:szCs w:val="24"/>
          <w:highlight w:val="white"/>
        </w:rPr>
        <w:t>(Accessed: 30 January 2025)</w:t>
      </w:r>
    </w:p>
    <w:p w14:paraId="4469A642" w14:textId="77777777" w:rsidR="0079000F" w:rsidRDefault="0079000F">
      <w:pPr>
        <w:spacing w:after="0" w:line="360" w:lineRule="auto"/>
        <w:jc w:val="both"/>
        <w:rPr>
          <w:rFonts w:ascii="Times New Roman" w:eastAsia="Times New Roman" w:hAnsi="Times New Roman" w:cs="Times New Roman"/>
          <w:sz w:val="24"/>
          <w:szCs w:val="24"/>
        </w:rPr>
      </w:pPr>
    </w:p>
    <w:p w14:paraId="4469A643"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Venske, E., 2022. </w:t>
      </w:r>
      <w:r>
        <w:rPr>
          <w:rFonts w:ascii="Times New Roman" w:eastAsia="Times New Roman" w:hAnsi="Times New Roman" w:cs="Times New Roman"/>
          <w:i/>
          <w:color w:val="222222"/>
          <w:sz w:val="24"/>
          <w:szCs w:val="24"/>
          <w:highlight w:val="white"/>
        </w:rPr>
        <w:t>Contemporary curricula for professional meeting and event management in South Africa: strategies and responses to industry requirements</w:t>
      </w:r>
      <w:r>
        <w:rPr>
          <w:rFonts w:ascii="Times New Roman" w:eastAsia="Times New Roman" w:hAnsi="Times New Roman" w:cs="Times New Roman"/>
          <w:color w:val="222222"/>
          <w:sz w:val="24"/>
          <w:szCs w:val="24"/>
          <w:highlight w:val="white"/>
        </w:rPr>
        <w:t xml:space="preserve"> (Doctoral dissertation, Cape Peninsula University of Technology). Available at:  </w:t>
      </w:r>
      <w:hyperlink r:id="rId29">
        <w:r>
          <w:rPr>
            <w:rFonts w:ascii="Times New Roman" w:eastAsia="Times New Roman" w:hAnsi="Times New Roman" w:cs="Times New Roman"/>
            <w:color w:val="1155CC"/>
            <w:sz w:val="24"/>
            <w:szCs w:val="24"/>
            <w:u w:val="single"/>
          </w:rPr>
          <w:t>https://etd.cput.ac.za/bitstream/20.500.11838/3802/1/Venske_Esti_211092908.pdf</w:t>
        </w:r>
      </w:hyperlink>
      <w:r>
        <w:rPr>
          <w:rFonts w:ascii="Times New Roman" w:eastAsia="Times New Roman" w:hAnsi="Times New Roman" w:cs="Times New Roman"/>
          <w:color w:val="222222"/>
          <w:sz w:val="24"/>
          <w:szCs w:val="24"/>
          <w:highlight w:val="white"/>
        </w:rPr>
        <w:t xml:space="preserve"> (Accessed: 30 January 2025)</w:t>
      </w:r>
    </w:p>
    <w:p w14:paraId="4469A644" w14:textId="77777777" w:rsidR="0079000F" w:rsidRDefault="0079000F">
      <w:pPr>
        <w:spacing w:after="0" w:line="360" w:lineRule="auto"/>
        <w:jc w:val="both"/>
        <w:rPr>
          <w:rFonts w:ascii="Times New Roman" w:eastAsia="Times New Roman" w:hAnsi="Times New Roman" w:cs="Times New Roman"/>
          <w:sz w:val="24"/>
          <w:szCs w:val="24"/>
        </w:rPr>
      </w:pPr>
    </w:p>
    <w:p w14:paraId="4469A645" w14:textId="77777777" w:rsidR="0079000F" w:rsidRDefault="009E1DE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Wolbring, G. and Lillywhite, A., 2021. Equity/equality, diversity, and inclusion (EDI) in universities: the case of disabled people. </w:t>
      </w:r>
      <w:r>
        <w:rPr>
          <w:rFonts w:ascii="Times New Roman" w:eastAsia="Times New Roman" w:hAnsi="Times New Roman" w:cs="Times New Roman"/>
          <w:i/>
          <w:color w:val="222222"/>
          <w:sz w:val="24"/>
          <w:szCs w:val="24"/>
          <w:highlight w:val="white"/>
        </w:rPr>
        <w:t>Societies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(2), p.49. Available at:  </w:t>
      </w:r>
      <w:hyperlink r:id="rId30">
        <w:r>
          <w:rPr>
            <w:rFonts w:ascii="Times New Roman" w:eastAsia="Times New Roman" w:hAnsi="Times New Roman" w:cs="Times New Roman"/>
            <w:color w:val="1155CC"/>
            <w:sz w:val="24"/>
            <w:szCs w:val="24"/>
            <w:u w:val="single"/>
          </w:rPr>
          <w:t>https://www.mdpi.com/2075-4698/11/2/49/pdf</w:t>
        </w:r>
      </w:hyperlink>
      <w:r>
        <w:rPr>
          <w:rFonts w:ascii="Times New Roman" w:eastAsia="Times New Roman" w:hAnsi="Times New Roman" w:cs="Times New Roman"/>
          <w:color w:val="222222"/>
          <w:sz w:val="24"/>
          <w:szCs w:val="24"/>
          <w:highlight w:val="white"/>
        </w:rPr>
        <w:t xml:space="preserve"> (Accessed: 30 January 2025)</w:t>
      </w:r>
    </w:p>
    <w:p w14:paraId="4469A646" w14:textId="77777777" w:rsidR="0079000F" w:rsidRDefault="0079000F">
      <w:pPr>
        <w:spacing w:after="0" w:line="360" w:lineRule="auto"/>
        <w:jc w:val="both"/>
        <w:rPr>
          <w:rFonts w:ascii="Times New Roman" w:eastAsia="Times New Roman" w:hAnsi="Times New Roman" w:cs="Times New Roman"/>
          <w:sz w:val="24"/>
          <w:szCs w:val="24"/>
        </w:rPr>
      </w:pPr>
    </w:p>
    <w:p w14:paraId="4469A647" w14:textId="77777777" w:rsidR="0079000F" w:rsidRDefault="009E1DE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Yessimova, S., Rakhymzhanov, Y., Spanova, B., Baizhanova, S., Seidakhmetov, M., Yessenova, A. and Altynbassov, B., 2023. The influence of University-Business Cooperation in the development of local tourism in Kazakhstan: documentary analysis. </w:t>
      </w:r>
      <w:r>
        <w:rPr>
          <w:rFonts w:ascii="Times New Roman" w:eastAsia="Times New Roman" w:hAnsi="Times New Roman" w:cs="Times New Roman"/>
          <w:i/>
          <w:color w:val="222222"/>
          <w:sz w:val="24"/>
          <w:szCs w:val="24"/>
          <w:highlight w:val="white"/>
        </w:rPr>
        <w:t>Journal of Environmental Management and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(6), pp.2626-2640. Available at:  </w:t>
      </w:r>
      <w:hyperlink r:id="rId31">
        <w:r>
          <w:rPr>
            <w:rFonts w:ascii="Times New Roman" w:eastAsia="Times New Roman" w:hAnsi="Times New Roman" w:cs="Times New Roman"/>
            <w:color w:val="1155CC"/>
            <w:sz w:val="24"/>
            <w:szCs w:val="24"/>
            <w:u w:val="single"/>
          </w:rPr>
          <w:t>https://journals.aserspublishing.eu/jemt/article/download/8084/3793</w:t>
        </w:r>
      </w:hyperlink>
      <w:r>
        <w:rPr>
          <w:rFonts w:ascii="Times New Roman" w:eastAsia="Times New Roman" w:hAnsi="Times New Roman" w:cs="Times New Roman"/>
          <w:color w:val="222222"/>
          <w:sz w:val="24"/>
          <w:szCs w:val="24"/>
          <w:highlight w:val="white"/>
        </w:rPr>
        <w:t xml:space="preserve"> (Accessed: 30 January 2025)</w:t>
      </w:r>
    </w:p>
    <w:p w14:paraId="4469A648" w14:textId="77777777" w:rsidR="0079000F" w:rsidRDefault="009E1DEF">
      <w:pPr>
        <w:spacing w:after="0" w:line="360" w:lineRule="auto"/>
      </w:pPr>
      <w:r>
        <w:rPr>
          <w:rFonts w:ascii="Times New Roman" w:eastAsia="Times New Roman" w:hAnsi="Times New Roman" w:cs="Times New Roman"/>
          <w:sz w:val="24"/>
          <w:szCs w:val="24"/>
        </w:rPr>
        <w:br/>
      </w:r>
    </w:p>
    <w:sectPr w:rsidR="0079000F">
      <w:footerReference w:type="default" r:id="rId32"/>
      <w:pgSz w:w="12240" w:h="15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9A64F" w14:textId="77777777" w:rsidR="006D673B" w:rsidRDefault="006D673B">
      <w:pPr>
        <w:spacing w:after="0" w:line="240" w:lineRule="auto"/>
      </w:pPr>
      <w:r>
        <w:separator/>
      </w:r>
    </w:p>
  </w:endnote>
  <w:endnote w:type="continuationSeparator" w:id="0">
    <w:p w14:paraId="4469A650" w14:textId="77777777" w:rsidR="006D673B" w:rsidRDefault="006D6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69A651" w14:textId="77777777" w:rsidR="0079000F" w:rsidRDefault="009E1DEF">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FF0A6F">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FF0A6F">
      <w:rPr>
        <w:b/>
        <w:noProof/>
        <w:color w:val="000000"/>
        <w:sz w:val="24"/>
        <w:szCs w:val="24"/>
      </w:rPr>
      <w:t>16</w:t>
    </w:r>
    <w:r>
      <w:rPr>
        <w:b/>
        <w:color w:val="000000"/>
        <w:sz w:val="24"/>
        <w:szCs w:val="24"/>
      </w:rPr>
      <w:fldChar w:fldCharType="end"/>
    </w:r>
  </w:p>
  <w:p w14:paraId="4469A652" w14:textId="77777777" w:rsidR="0079000F" w:rsidRDefault="0079000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9A64D" w14:textId="77777777" w:rsidR="006D673B" w:rsidRDefault="006D673B">
      <w:pPr>
        <w:spacing w:after="0" w:line="240" w:lineRule="auto"/>
      </w:pPr>
      <w:r>
        <w:separator/>
      </w:r>
    </w:p>
  </w:footnote>
  <w:footnote w:type="continuationSeparator" w:id="0">
    <w:p w14:paraId="4469A64E" w14:textId="77777777" w:rsidR="006D673B" w:rsidRDefault="006D67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BF1141"/>
    <w:multiLevelType w:val="multilevel"/>
    <w:tmpl w:val="411C43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B63DB1"/>
    <w:multiLevelType w:val="multilevel"/>
    <w:tmpl w:val="D42AF4C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023018118">
    <w:abstractNumId w:val="1"/>
  </w:num>
  <w:num w:numId="2" w16cid:durableId="1653021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9000F"/>
    <w:rsid w:val="000153AA"/>
    <w:rsid w:val="0051644F"/>
    <w:rsid w:val="006D673B"/>
    <w:rsid w:val="0079000F"/>
    <w:rsid w:val="009E1DEF"/>
    <w:rsid w:val="00AD4DE8"/>
    <w:rsid w:val="00FF0A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9A593"/>
  <w15:docId w15:val="{FC564856-7A4B-4F2E-9C49-D12456493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F5A"/>
  </w:style>
  <w:style w:type="paragraph" w:styleId="Heading1">
    <w:name w:val="heading 1"/>
    <w:basedOn w:val="Normal"/>
    <w:link w:val="Heading1Char"/>
    <w:uiPriority w:val="9"/>
    <w:qFormat/>
    <w:rsid w:val="00C0683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C06830"/>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C0683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C06830"/>
    <w:rPr>
      <w:color w:val="0000FF"/>
      <w:u w:val="single"/>
    </w:rPr>
  </w:style>
  <w:style w:type="paragraph" w:styleId="BalloonText">
    <w:name w:val="Balloon Text"/>
    <w:basedOn w:val="Normal"/>
    <w:link w:val="BalloonTextChar"/>
    <w:uiPriority w:val="99"/>
    <w:semiHidden/>
    <w:unhideWhenUsed/>
    <w:rsid w:val="00C068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830"/>
    <w:rPr>
      <w:rFonts w:ascii="Tahoma" w:hAnsi="Tahoma" w:cs="Tahoma"/>
      <w:sz w:val="16"/>
      <w:szCs w:val="16"/>
      <w:lang w:val="en-GB"/>
    </w:rPr>
  </w:style>
  <w:style w:type="paragraph" w:styleId="Header">
    <w:name w:val="header"/>
    <w:basedOn w:val="Normal"/>
    <w:link w:val="HeaderChar"/>
    <w:uiPriority w:val="99"/>
    <w:semiHidden/>
    <w:unhideWhenUsed/>
    <w:rsid w:val="00C0683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06830"/>
    <w:rPr>
      <w:lang w:val="en-GB"/>
    </w:rPr>
  </w:style>
  <w:style w:type="paragraph" w:styleId="Footer">
    <w:name w:val="footer"/>
    <w:basedOn w:val="Normal"/>
    <w:link w:val="FooterChar"/>
    <w:uiPriority w:val="99"/>
    <w:unhideWhenUsed/>
    <w:rsid w:val="00C068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6830"/>
    <w:rPr>
      <w:lang w:val="en-GB"/>
    </w:rPr>
  </w:style>
  <w:style w:type="paragraph" w:styleId="TOCHeading">
    <w:name w:val="TOC Heading"/>
    <w:basedOn w:val="Heading1"/>
    <w:next w:val="Normal"/>
    <w:uiPriority w:val="39"/>
    <w:unhideWhenUsed/>
    <w:qFormat/>
    <w:rsid w:val="00C0683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C06830"/>
    <w:pPr>
      <w:spacing w:after="100"/>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andfonline.com/doi/pdf/10.1080/19407963.2023.2228820" TargetMode="External"/><Relationship Id="rId18" Type="http://schemas.openxmlformats.org/officeDocument/2006/relationships/hyperlink" Target="https://www.researchgate.net/profile/Constantina_Skanavis/publication/355354526_SkyrosIsland_in_the_Front_Line_of_Sustainable_Development_Promotion/links/61c1c81952bd3c7e05816d83/SkyrosIsland-in-the-Front-Line-of-Sustainable-Development-Promotion.pdf" TargetMode="External"/><Relationship Id="rId26" Type="http://schemas.openxmlformats.org/officeDocument/2006/relationships/hyperlink" Target="https://www.academia.edu/download/35662370/STP_Bali_Marketing_and_Managing_Tourism_Destinations.pdf" TargetMode="External"/><Relationship Id="rId3" Type="http://schemas.openxmlformats.org/officeDocument/2006/relationships/styles" Target="styles.xml"/><Relationship Id="rId21" Type="http://schemas.openxmlformats.org/officeDocument/2006/relationships/hyperlink" Target="https://pubs.acs.org/doi/pdf/10.1021/acs.jchemed.3c00364"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thuvienso.hoasen.edu.vn/bitstream/handle/123456789/10547/Contents.pdf?sequence=1" TargetMode="External"/><Relationship Id="rId17" Type="http://schemas.openxmlformats.org/officeDocument/2006/relationships/hyperlink" Target="https://bura.brunel.ac.uk/bitstream/2438/27086/1/FullText.pdf" TargetMode="External"/><Relationship Id="rId25" Type="http://schemas.openxmlformats.org/officeDocument/2006/relationships/hyperlink" Target="https://www.emerald.com/insight/content/doi/10.1108/MSCRA-07-2022-0016/full/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pii/S2214629622000925" TargetMode="External"/><Relationship Id="rId20" Type="http://schemas.openxmlformats.org/officeDocument/2006/relationships/hyperlink" Target="https://link.springer.com/content/pdf/10.1186/s40900-024-00644-5.pdf" TargetMode="External"/><Relationship Id="rId29" Type="http://schemas.openxmlformats.org/officeDocument/2006/relationships/hyperlink" Target="https://etd.cput.ac.za/bitstream/20.500.11838/3802/1/Venske_Esti_21109290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yyti.com/en/blog/introducing-the-event-cycle-the-core-of-event-success-management" TargetMode="External"/><Relationship Id="rId24" Type="http://schemas.openxmlformats.org/officeDocument/2006/relationships/hyperlink" Target="https://www.mdpi.com/2071-1050/15/16/12179/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onlinelibrary.wiley.com/doi/pdfdirect/10.1111/gwao.12574" TargetMode="External"/><Relationship Id="rId23" Type="http://schemas.openxmlformats.org/officeDocument/2006/relationships/hyperlink" Target="https://www.tandfonline.com/doi/pdf/10.1080/10286632.2022.2100365" TargetMode="External"/><Relationship Id="rId28" Type="http://schemas.openxmlformats.org/officeDocument/2006/relationships/hyperlink" Target="https://www.journals.studentengagement.org.uk/index.php/studentchangeagents/article/view/1024/746" TargetMode="External"/><Relationship Id="rId10" Type="http://schemas.openxmlformats.org/officeDocument/2006/relationships/hyperlink" Target="http://eprints.bournemouth.ac.uk/35163/1/1-s2.0-S1447677021000127-main.pdf" TargetMode="External"/><Relationship Id="rId19" Type="http://schemas.openxmlformats.org/officeDocument/2006/relationships/hyperlink" Target="https://www.academia.edu/download/66823321/09669582.2020.pdf" TargetMode="External"/><Relationship Id="rId31" Type="http://schemas.openxmlformats.org/officeDocument/2006/relationships/hyperlink" Target="https://journals.aserspublishing.eu/jemt/article/download/8084/379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content/pdf/10.1186/s41073-022-00123-z.pdf" TargetMode="External"/><Relationship Id="rId22" Type="http://schemas.openxmlformats.org/officeDocument/2006/relationships/hyperlink" Target="https://ujcontent.uj.ac.za/view/pdfCoverPage?instCode=27UOJ_INST&amp;filePid=138677860007691&amp;download=true" TargetMode="External"/><Relationship Id="rId27" Type="http://schemas.openxmlformats.org/officeDocument/2006/relationships/hyperlink" Target="https://link.springer.com/content/pdf/10.1186/s41077-023-00250-7.pdf" TargetMode="External"/><Relationship Id="rId30" Type="http://schemas.openxmlformats.org/officeDocument/2006/relationships/hyperlink" Target="https://www.mdpi.com/2075-4698/11/2/49/pdf"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jCUkmt5cezGiyhy7C22nouK+Ow==">CgMxLjAyCGguZ2pkZ3hzMgloLjMwajB6bGwyCWguMWZvYjl0ZTIJaC4zem55c2g3MgloLjJldDkycDAyCGgudHlqY3d0MgloLjNkeTZ2a20yCWguMXQzaDVzZjIJaC40ZDM0b2c4MgloLjJzOGV5bzEyCWguMTdkcDh2dTgAciExMlVVdGw0OGo5elMtZXZneE5HWWt5NGU0MnRXOFVJZ3U=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4295</Words>
  <Characters>24487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Shamim Kabir Chowdhury (2234243)</cp:lastModifiedBy>
  <cp:revision>2</cp:revision>
  <dcterms:created xsi:type="dcterms:W3CDTF">2025-02-27T17:40:00Z</dcterms:created>
  <dcterms:modified xsi:type="dcterms:W3CDTF">2025-02-28T16:43:00Z</dcterms:modified>
</cp:coreProperties>
</file>