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983684" w14:textId="079542A4" w:rsidR="007E5E15" w:rsidRDefault="007E5E15" w:rsidP="007E5E15">
      <w:pPr>
        <w:spacing w:line="360" w:lineRule="auto"/>
        <w:rPr>
          <w:rFonts w:ascii="Arial" w:hAnsi="Arial" w:cs="Arial"/>
          <w:szCs w:val="24"/>
        </w:rPr>
      </w:pPr>
      <w:r>
        <w:rPr>
          <w:noProof/>
        </w:rPr>
        <w:drawing>
          <wp:anchor distT="0" distB="0" distL="114300" distR="114300" simplePos="0" relativeHeight="251659264" behindDoc="0" locked="0" layoutInCell="1" allowOverlap="1" wp14:anchorId="5F9FEEC7" wp14:editId="6F7F7415">
            <wp:simplePos x="0" y="0"/>
            <wp:positionH relativeFrom="column">
              <wp:posOffset>0</wp:posOffset>
            </wp:positionH>
            <wp:positionV relativeFrom="paragraph">
              <wp:posOffset>292100</wp:posOffset>
            </wp:positionV>
            <wp:extent cx="1809750" cy="723900"/>
            <wp:effectExtent l="0" t="0" r="0" b="0"/>
            <wp:wrapSquare wrapText="bothSides"/>
            <wp:docPr id="1883577330"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0B7020DA" w14:textId="77777777" w:rsidR="007E5E15" w:rsidRDefault="007E5E15" w:rsidP="007E5E15">
      <w:pPr>
        <w:spacing w:line="360" w:lineRule="auto"/>
        <w:rPr>
          <w:rFonts w:ascii="Arial" w:hAnsi="Arial" w:cs="Arial"/>
          <w:szCs w:val="24"/>
        </w:rPr>
      </w:pPr>
    </w:p>
    <w:p w14:paraId="67A8F5D4" w14:textId="77777777" w:rsidR="007E5E15" w:rsidRDefault="007E5E15" w:rsidP="007E5E15">
      <w:pPr>
        <w:spacing w:line="360" w:lineRule="auto"/>
        <w:rPr>
          <w:rFonts w:ascii="Arial" w:hAnsi="Arial" w:cs="Arial"/>
          <w:szCs w:val="24"/>
        </w:rPr>
      </w:pPr>
    </w:p>
    <w:p w14:paraId="57EBAD6A" w14:textId="77777777" w:rsidR="007E5E15" w:rsidRDefault="007E5E15" w:rsidP="007E5E15">
      <w:pPr>
        <w:spacing w:line="360" w:lineRule="auto"/>
        <w:rPr>
          <w:rFonts w:ascii="Arial" w:hAnsi="Arial" w:cs="Arial"/>
          <w:szCs w:val="24"/>
        </w:rPr>
      </w:pPr>
    </w:p>
    <w:p w14:paraId="0768AED4" w14:textId="77777777" w:rsidR="007E5E15" w:rsidRPr="005D7189" w:rsidRDefault="007E5E15" w:rsidP="007E5E15">
      <w:pPr>
        <w:tabs>
          <w:tab w:val="left" w:pos="6540"/>
        </w:tabs>
        <w:spacing w:line="360" w:lineRule="auto"/>
        <w:rPr>
          <w:rFonts w:ascii="Arial" w:hAnsi="Arial" w:cs="Arial"/>
          <w:szCs w:val="24"/>
        </w:rPr>
      </w:pPr>
    </w:p>
    <w:p w14:paraId="56079D08" w14:textId="2FC8141A" w:rsidR="007E5E15" w:rsidRPr="005D7189" w:rsidRDefault="007E5E15" w:rsidP="007E5E15">
      <w:pPr>
        <w:tabs>
          <w:tab w:val="left" w:pos="6540"/>
        </w:tabs>
        <w:spacing w:line="360" w:lineRule="auto"/>
        <w:rPr>
          <w:rFonts w:ascii="Arial" w:hAnsi="Arial" w:cs="Arial"/>
          <w:szCs w:val="24"/>
          <w:lang w:val="nl-NL"/>
        </w:rPr>
      </w:pPr>
      <w:r w:rsidRPr="005D7189">
        <w:rPr>
          <w:rFonts w:ascii="Arial" w:hAnsi="Arial" w:cs="Arial"/>
          <w:b/>
          <w:bCs/>
          <w:szCs w:val="24"/>
          <w:lang w:val="nl-NL"/>
        </w:rPr>
        <w:t>Student name</w:t>
      </w:r>
      <w:r w:rsidRPr="005D7189">
        <w:rPr>
          <w:rFonts w:ascii="Arial" w:hAnsi="Arial" w:cs="Arial"/>
          <w:szCs w:val="24"/>
          <w:lang w:val="nl-NL"/>
        </w:rPr>
        <w:t>:</w:t>
      </w:r>
      <w:r w:rsidR="006E3A7F" w:rsidRPr="005D7189">
        <w:rPr>
          <w:rFonts w:ascii="Arial" w:hAnsi="Arial" w:cs="Arial"/>
          <w:szCs w:val="24"/>
          <w:lang w:val="nl-NL"/>
        </w:rPr>
        <w:t xml:space="preserve"> Bahja Salah</w:t>
      </w:r>
    </w:p>
    <w:p w14:paraId="559B3347" w14:textId="6BED3C2C" w:rsidR="007E5E15" w:rsidRPr="005D7189" w:rsidRDefault="007E5E15" w:rsidP="007E5E15">
      <w:pPr>
        <w:tabs>
          <w:tab w:val="left" w:pos="6540"/>
        </w:tabs>
        <w:spacing w:line="360" w:lineRule="auto"/>
        <w:rPr>
          <w:rFonts w:ascii="Arial" w:hAnsi="Arial" w:cs="Arial"/>
          <w:szCs w:val="24"/>
          <w:lang w:val="nl-NL"/>
        </w:rPr>
      </w:pPr>
      <w:r w:rsidRPr="005D7189">
        <w:rPr>
          <w:rFonts w:ascii="Arial" w:hAnsi="Arial" w:cs="Arial"/>
          <w:b/>
          <w:bCs/>
          <w:szCs w:val="24"/>
          <w:lang w:val="nl-NL"/>
        </w:rPr>
        <w:t>Student ID</w:t>
      </w:r>
      <w:r w:rsidRPr="005D7189">
        <w:rPr>
          <w:rFonts w:ascii="Arial" w:hAnsi="Arial" w:cs="Arial"/>
          <w:szCs w:val="24"/>
          <w:lang w:val="nl-NL"/>
        </w:rPr>
        <w:t>:</w:t>
      </w:r>
      <w:r w:rsidR="006E3A7F" w:rsidRPr="005D7189">
        <w:rPr>
          <w:rFonts w:ascii="Arial" w:hAnsi="Arial" w:cs="Arial"/>
          <w:szCs w:val="24"/>
          <w:lang w:val="nl-NL"/>
        </w:rPr>
        <w:t xml:space="preserve"> </w:t>
      </w:r>
      <w:r w:rsidR="0022141A" w:rsidRPr="005D7189">
        <w:rPr>
          <w:rFonts w:ascii="Arial" w:hAnsi="Arial" w:cs="Arial"/>
          <w:szCs w:val="24"/>
          <w:lang w:val="nl-NL"/>
        </w:rPr>
        <w:t>2438654</w:t>
      </w:r>
    </w:p>
    <w:p w14:paraId="3E0B14D1" w14:textId="77777777" w:rsidR="007E5E15" w:rsidRPr="005D7189" w:rsidRDefault="007E5E15" w:rsidP="007E5E15">
      <w:pPr>
        <w:tabs>
          <w:tab w:val="left" w:pos="6540"/>
        </w:tabs>
        <w:spacing w:line="360" w:lineRule="auto"/>
        <w:rPr>
          <w:rFonts w:ascii="Arial" w:hAnsi="Arial" w:cs="Arial"/>
          <w:b/>
          <w:bCs/>
          <w:szCs w:val="24"/>
          <w:lang w:val="nl-NL"/>
        </w:rPr>
      </w:pPr>
      <w:r w:rsidRPr="005D7189">
        <w:rPr>
          <w:rFonts w:ascii="Arial" w:hAnsi="Arial" w:cs="Arial"/>
          <w:b/>
          <w:bCs/>
          <w:szCs w:val="24"/>
          <w:lang w:val="nl-NL"/>
        </w:rPr>
        <w:t>Module name</w:t>
      </w:r>
      <w:r w:rsidRPr="005D7189">
        <w:rPr>
          <w:rFonts w:ascii="Arial" w:hAnsi="Arial" w:cs="Arial"/>
          <w:szCs w:val="24"/>
          <w:lang w:val="nl-NL"/>
        </w:rPr>
        <w:t xml:space="preserve">: </w:t>
      </w:r>
      <w:r w:rsidRPr="005D7189">
        <w:rPr>
          <w:rFonts w:ascii="Arial" w:hAnsi="Arial" w:cs="Arial"/>
          <w:b/>
          <w:bCs/>
          <w:szCs w:val="24"/>
          <w:lang w:val="nl-NL"/>
        </w:rPr>
        <w:t>Principles of Health and Social Care Practice</w:t>
      </w:r>
    </w:p>
    <w:p w14:paraId="4A2A7097" w14:textId="77777777" w:rsidR="007E5E15" w:rsidRPr="005D7189" w:rsidRDefault="007E5E15" w:rsidP="007E5E15">
      <w:pPr>
        <w:tabs>
          <w:tab w:val="left" w:pos="6540"/>
        </w:tabs>
        <w:spacing w:line="360" w:lineRule="auto"/>
        <w:rPr>
          <w:rFonts w:ascii="Arial" w:hAnsi="Arial" w:cs="Arial"/>
          <w:szCs w:val="24"/>
          <w:lang w:val="nl-NL"/>
        </w:rPr>
      </w:pPr>
      <w:r w:rsidRPr="005D7189">
        <w:rPr>
          <w:rFonts w:ascii="Arial" w:hAnsi="Arial" w:cs="Arial"/>
          <w:b/>
          <w:bCs/>
          <w:szCs w:val="24"/>
          <w:lang w:val="nl-NL"/>
        </w:rPr>
        <w:t>Component: 1</w:t>
      </w:r>
    </w:p>
    <w:p w14:paraId="592E2273" w14:textId="77777777" w:rsidR="007E5E15" w:rsidRPr="005D7189" w:rsidRDefault="007E5E15" w:rsidP="007E5E15">
      <w:pPr>
        <w:tabs>
          <w:tab w:val="left" w:pos="6540"/>
        </w:tabs>
        <w:spacing w:line="360" w:lineRule="auto"/>
        <w:rPr>
          <w:rFonts w:ascii="Arial" w:hAnsi="Arial" w:cs="Arial"/>
          <w:szCs w:val="24"/>
        </w:rPr>
      </w:pPr>
      <w:r w:rsidRPr="005D7189">
        <w:rPr>
          <w:rFonts w:ascii="Arial" w:hAnsi="Arial" w:cs="Arial"/>
          <w:b/>
          <w:bCs/>
          <w:szCs w:val="24"/>
        </w:rPr>
        <w:t>Module code</w:t>
      </w:r>
      <w:r w:rsidRPr="005D7189">
        <w:rPr>
          <w:rFonts w:ascii="Arial" w:hAnsi="Arial" w:cs="Arial"/>
          <w:szCs w:val="24"/>
        </w:rPr>
        <w:t xml:space="preserve">: </w:t>
      </w:r>
      <w:r w:rsidRPr="005D7189">
        <w:rPr>
          <w:rFonts w:ascii="Arial" w:hAnsi="Arial" w:cs="Arial"/>
          <w:b/>
          <w:bCs/>
          <w:szCs w:val="24"/>
        </w:rPr>
        <w:t xml:space="preserve">BMHP5016 </w:t>
      </w:r>
    </w:p>
    <w:p w14:paraId="59EC8E8F" w14:textId="56C056BB" w:rsidR="007E5E15" w:rsidRPr="005D7189" w:rsidRDefault="007E5E15" w:rsidP="007E5E15">
      <w:pPr>
        <w:tabs>
          <w:tab w:val="left" w:pos="6540"/>
        </w:tabs>
        <w:spacing w:line="360" w:lineRule="auto"/>
        <w:rPr>
          <w:rFonts w:ascii="Arial" w:hAnsi="Arial" w:cs="Arial"/>
          <w:szCs w:val="24"/>
        </w:rPr>
      </w:pPr>
      <w:r w:rsidRPr="005D7189">
        <w:rPr>
          <w:rFonts w:ascii="Arial" w:hAnsi="Arial" w:cs="Arial"/>
          <w:b/>
          <w:bCs/>
          <w:szCs w:val="24"/>
        </w:rPr>
        <w:t>Lecturer name</w:t>
      </w:r>
      <w:r w:rsidRPr="005D7189">
        <w:rPr>
          <w:rFonts w:ascii="Arial" w:hAnsi="Arial" w:cs="Arial"/>
          <w:szCs w:val="24"/>
        </w:rPr>
        <w:t>:</w:t>
      </w:r>
      <w:r w:rsidR="0022141A" w:rsidRPr="005D7189">
        <w:rPr>
          <w:rFonts w:ascii="Arial" w:hAnsi="Arial" w:cs="Arial"/>
          <w:szCs w:val="24"/>
        </w:rPr>
        <w:t xml:space="preserve"> </w:t>
      </w:r>
      <w:r w:rsidR="0022141A" w:rsidRPr="00D343E0">
        <w:rPr>
          <w:rFonts w:ascii="Arial" w:hAnsi="Arial" w:cs="Arial"/>
          <w:b/>
          <w:bCs/>
          <w:szCs w:val="24"/>
        </w:rPr>
        <w:t>Lou</w:t>
      </w:r>
      <w:r w:rsidR="00294875" w:rsidRPr="00D343E0">
        <w:rPr>
          <w:rFonts w:ascii="Arial" w:hAnsi="Arial" w:cs="Arial"/>
          <w:b/>
          <w:bCs/>
          <w:szCs w:val="24"/>
        </w:rPr>
        <w:t xml:space="preserve"> wells</w:t>
      </w:r>
    </w:p>
    <w:p w14:paraId="02B70C38" w14:textId="77777777" w:rsidR="000D6D56" w:rsidRPr="005D7189" w:rsidRDefault="000D6D56">
      <w:pPr>
        <w:rPr>
          <w:rFonts w:ascii="Arial" w:hAnsi="Arial" w:cs="Arial"/>
          <w:szCs w:val="24"/>
        </w:rPr>
      </w:pPr>
    </w:p>
    <w:p w14:paraId="50A1E679" w14:textId="77777777" w:rsidR="00294875" w:rsidRPr="005D7189" w:rsidRDefault="00294875">
      <w:pPr>
        <w:rPr>
          <w:rFonts w:ascii="Arial" w:hAnsi="Arial" w:cs="Arial"/>
          <w:szCs w:val="24"/>
        </w:rPr>
      </w:pPr>
    </w:p>
    <w:p w14:paraId="7DEAD0AB" w14:textId="77777777" w:rsidR="00294875" w:rsidRPr="005D7189" w:rsidRDefault="00294875">
      <w:pPr>
        <w:rPr>
          <w:rFonts w:ascii="Arial" w:hAnsi="Arial" w:cs="Arial"/>
          <w:szCs w:val="24"/>
        </w:rPr>
      </w:pPr>
    </w:p>
    <w:p w14:paraId="1A2E102A" w14:textId="77777777" w:rsidR="00294875" w:rsidRPr="005D7189" w:rsidRDefault="00294875">
      <w:pPr>
        <w:rPr>
          <w:rFonts w:ascii="Arial" w:hAnsi="Arial" w:cs="Arial"/>
          <w:szCs w:val="24"/>
        </w:rPr>
      </w:pPr>
    </w:p>
    <w:p w14:paraId="44811FAA" w14:textId="77777777" w:rsidR="00294875" w:rsidRPr="005D7189" w:rsidRDefault="00294875">
      <w:pPr>
        <w:rPr>
          <w:rFonts w:ascii="Arial" w:hAnsi="Arial" w:cs="Arial"/>
          <w:szCs w:val="24"/>
        </w:rPr>
      </w:pPr>
    </w:p>
    <w:p w14:paraId="675E34FA" w14:textId="77777777" w:rsidR="00294875" w:rsidRPr="005D7189" w:rsidRDefault="00294875">
      <w:pPr>
        <w:rPr>
          <w:rFonts w:ascii="Arial" w:hAnsi="Arial" w:cs="Arial"/>
          <w:szCs w:val="24"/>
        </w:rPr>
      </w:pPr>
    </w:p>
    <w:p w14:paraId="764EC190" w14:textId="77777777" w:rsidR="00294875" w:rsidRPr="005D7189" w:rsidRDefault="00294875">
      <w:pPr>
        <w:rPr>
          <w:rFonts w:ascii="Arial" w:hAnsi="Arial" w:cs="Arial"/>
          <w:szCs w:val="24"/>
        </w:rPr>
      </w:pPr>
    </w:p>
    <w:p w14:paraId="1E9676BD" w14:textId="77777777" w:rsidR="00294875" w:rsidRPr="005D7189" w:rsidRDefault="00294875">
      <w:pPr>
        <w:rPr>
          <w:rFonts w:ascii="Arial" w:hAnsi="Arial" w:cs="Arial"/>
          <w:szCs w:val="24"/>
        </w:rPr>
      </w:pPr>
    </w:p>
    <w:p w14:paraId="35EF63ED" w14:textId="77777777" w:rsidR="00294875" w:rsidRPr="005D7189" w:rsidRDefault="00294875">
      <w:pPr>
        <w:rPr>
          <w:rFonts w:ascii="Arial" w:hAnsi="Arial" w:cs="Arial"/>
          <w:szCs w:val="24"/>
        </w:rPr>
      </w:pPr>
    </w:p>
    <w:p w14:paraId="1BC1AB2E" w14:textId="77777777" w:rsidR="00294875" w:rsidRPr="005D7189" w:rsidRDefault="00294875">
      <w:pPr>
        <w:rPr>
          <w:rFonts w:ascii="Arial" w:hAnsi="Arial" w:cs="Arial"/>
          <w:szCs w:val="24"/>
        </w:rPr>
      </w:pPr>
    </w:p>
    <w:p w14:paraId="387776ED" w14:textId="77777777" w:rsidR="00294875" w:rsidRPr="005D7189" w:rsidRDefault="00294875">
      <w:pPr>
        <w:rPr>
          <w:rFonts w:ascii="Arial" w:hAnsi="Arial" w:cs="Arial"/>
          <w:szCs w:val="24"/>
        </w:rPr>
      </w:pPr>
    </w:p>
    <w:p w14:paraId="38441CD9" w14:textId="77777777" w:rsidR="00294875" w:rsidRPr="005D7189" w:rsidRDefault="00294875">
      <w:pPr>
        <w:rPr>
          <w:rFonts w:ascii="Arial" w:hAnsi="Arial" w:cs="Arial"/>
          <w:szCs w:val="24"/>
        </w:rPr>
      </w:pPr>
    </w:p>
    <w:p w14:paraId="0F124D4D" w14:textId="77777777" w:rsidR="00294875" w:rsidRPr="005D7189" w:rsidRDefault="00294875">
      <w:pPr>
        <w:rPr>
          <w:rFonts w:ascii="Arial" w:hAnsi="Arial" w:cs="Arial"/>
          <w:szCs w:val="24"/>
        </w:rPr>
      </w:pPr>
    </w:p>
    <w:p w14:paraId="568AF2F3" w14:textId="77777777" w:rsidR="00294875" w:rsidRPr="005D7189" w:rsidRDefault="00294875">
      <w:pPr>
        <w:rPr>
          <w:rFonts w:ascii="Arial" w:hAnsi="Arial" w:cs="Arial"/>
          <w:szCs w:val="24"/>
        </w:rPr>
      </w:pPr>
    </w:p>
    <w:p w14:paraId="6312F815" w14:textId="77777777" w:rsidR="00294875" w:rsidRPr="005D7189" w:rsidRDefault="00294875">
      <w:pPr>
        <w:rPr>
          <w:rFonts w:ascii="Arial" w:hAnsi="Arial" w:cs="Arial"/>
          <w:szCs w:val="24"/>
        </w:rPr>
      </w:pPr>
    </w:p>
    <w:p w14:paraId="486DDF41" w14:textId="77777777" w:rsidR="00294875" w:rsidRDefault="00294875">
      <w:pPr>
        <w:rPr>
          <w:rFonts w:ascii="Arial" w:hAnsi="Arial" w:cs="Arial"/>
          <w:szCs w:val="24"/>
        </w:rPr>
      </w:pPr>
    </w:p>
    <w:p w14:paraId="70217B95" w14:textId="77777777" w:rsidR="003216F7" w:rsidRDefault="003216F7">
      <w:pPr>
        <w:rPr>
          <w:rFonts w:ascii="Arial" w:hAnsi="Arial" w:cs="Arial"/>
          <w:szCs w:val="24"/>
        </w:rPr>
      </w:pPr>
    </w:p>
    <w:p w14:paraId="37DF5AE9" w14:textId="77777777" w:rsidR="003216F7" w:rsidRDefault="003216F7">
      <w:pPr>
        <w:rPr>
          <w:rFonts w:ascii="Arial" w:hAnsi="Arial" w:cs="Arial"/>
          <w:szCs w:val="24"/>
        </w:rPr>
      </w:pPr>
    </w:p>
    <w:p w14:paraId="79170A9C" w14:textId="6067FCF6" w:rsidR="003216F7" w:rsidRDefault="00276E4B">
      <w:pPr>
        <w:rPr>
          <w:rFonts w:ascii="Arial" w:hAnsi="Arial" w:cs="Arial"/>
          <w:szCs w:val="24"/>
        </w:rPr>
      </w:pPr>
      <w:r>
        <w:rPr>
          <w:rFonts w:ascii="Arial" w:hAnsi="Arial" w:cs="Arial"/>
          <w:b/>
          <w:bCs/>
          <w:noProof/>
        </w:rPr>
        <w:drawing>
          <wp:inline distT="0" distB="0" distL="0" distR="0" wp14:anchorId="10605FD5" wp14:editId="44CEFDBC">
            <wp:extent cx="6135264" cy="3454400"/>
            <wp:effectExtent l="0" t="0" r="0" b="0"/>
            <wp:docPr id="1521844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56485" cy="3466348"/>
                    </a:xfrm>
                    <a:prstGeom prst="rect">
                      <a:avLst/>
                    </a:prstGeom>
                    <a:noFill/>
                  </pic:spPr>
                </pic:pic>
              </a:graphicData>
            </a:graphic>
          </wp:inline>
        </w:drawing>
      </w:r>
    </w:p>
    <w:p w14:paraId="6607A09C" w14:textId="77777777" w:rsidR="003216F7" w:rsidRDefault="003216F7">
      <w:pPr>
        <w:rPr>
          <w:rFonts w:ascii="Arial" w:hAnsi="Arial" w:cs="Arial"/>
          <w:szCs w:val="24"/>
        </w:rPr>
      </w:pPr>
    </w:p>
    <w:p w14:paraId="780D2236" w14:textId="77777777" w:rsidR="003216F7" w:rsidRDefault="003216F7">
      <w:pPr>
        <w:rPr>
          <w:rFonts w:ascii="Arial" w:hAnsi="Arial" w:cs="Arial"/>
          <w:szCs w:val="24"/>
        </w:rPr>
      </w:pPr>
    </w:p>
    <w:p w14:paraId="64F43F1B" w14:textId="77777777" w:rsidR="003216F7" w:rsidRDefault="003216F7">
      <w:pPr>
        <w:rPr>
          <w:rFonts w:ascii="Arial" w:hAnsi="Arial" w:cs="Arial"/>
          <w:szCs w:val="24"/>
        </w:rPr>
      </w:pPr>
    </w:p>
    <w:p w14:paraId="0DE7C7EE" w14:textId="77777777" w:rsidR="003216F7" w:rsidRDefault="003216F7">
      <w:pPr>
        <w:rPr>
          <w:rFonts w:ascii="Arial" w:hAnsi="Arial" w:cs="Arial"/>
          <w:szCs w:val="24"/>
        </w:rPr>
      </w:pPr>
    </w:p>
    <w:p w14:paraId="2DDB1550" w14:textId="77777777" w:rsidR="003216F7" w:rsidRDefault="003216F7">
      <w:pPr>
        <w:rPr>
          <w:rFonts w:ascii="Arial" w:hAnsi="Arial" w:cs="Arial"/>
          <w:szCs w:val="24"/>
        </w:rPr>
      </w:pPr>
    </w:p>
    <w:p w14:paraId="0E1BC37B" w14:textId="77777777" w:rsidR="003216F7" w:rsidRDefault="003216F7">
      <w:pPr>
        <w:rPr>
          <w:rFonts w:ascii="Arial" w:hAnsi="Arial" w:cs="Arial"/>
          <w:szCs w:val="24"/>
        </w:rPr>
      </w:pPr>
    </w:p>
    <w:p w14:paraId="24A74644" w14:textId="77777777" w:rsidR="003216F7" w:rsidRDefault="003216F7">
      <w:pPr>
        <w:rPr>
          <w:rFonts w:ascii="Arial" w:hAnsi="Arial" w:cs="Arial"/>
          <w:szCs w:val="24"/>
        </w:rPr>
      </w:pPr>
    </w:p>
    <w:p w14:paraId="5B9BF9B7" w14:textId="77777777" w:rsidR="003216F7" w:rsidRDefault="003216F7">
      <w:pPr>
        <w:rPr>
          <w:rFonts w:ascii="Arial" w:hAnsi="Arial" w:cs="Arial"/>
          <w:szCs w:val="24"/>
        </w:rPr>
      </w:pPr>
    </w:p>
    <w:p w14:paraId="4DA97320" w14:textId="77777777" w:rsidR="003216F7" w:rsidRDefault="003216F7">
      <w:pPr>
        <w:rPr>
          <w:rFonts w:ascii="Arial" w:hAnsi="Arial" w:cs="Arial"/>
          <w:szCs w:val="24"/>
        </w:rPr>
      </w:pPr>
    </w:p>
    <w:p w14:paraId="7108F69D" w14:textId="77777777" w:rsidR="003216F7" w:rsidRDefault="003216F7">
      <w:pPr>
        <w:rPr>
          <w:rFonts w:ascii="Arial" w:hAnsi="Arial" w:cs="Arial"/>
          <w:szCs w:val="24"/>
        </w:rPr>
      </w:pPr>
    </w:p>
    <w:p w14:paraId="49CFF522" w14:textId="77777777" w:rsidR="003216F7" w:rsidRDefault="003216F7">
      <w:pPr>
        <w:rPr>
          <w:rFonts w:ascii="Arial" w:hAnsi="Arial" w:cs="Arial"/>
          <w:szCs w:val="24"/>
        </w:rPr>
      </w:pPr>
    </w:p>
    <w:p w14:paraId="619C313F" w14:textId="77777777" w:rsidR="003216F7" w:rsidRDefault="003216F7">
      <w:pPr>
        <w:rPr>
          <w:rFonts w:ascii="Arial" w:hAnsi="Arial" w:cs="Arial"/>
          <w:szCs w:val="24"/>
        </w:rPr>
      </w:pPr>
    </w:p>
    <w:p w14:paraId="47B06257" w14:textId="77777777" w:rsidR="003216F7" w:rsidRDefault="003216F7">
      <w:pPr>
        <w:rPr>
          <w:rFonts w:ascii="Arial" w:hAnsi="Arial" w:cs="Arial"/>
          <w:szCs w:val="24"/>
        </w:rPr>
      </w:pPr>
    </w:p>
    <w:p w14:paraId="6C1C83ED" w14:textId="77777777" w:rsidR="003216F7" w:rsidRDefault="003216F7">
      <w:pPr>
        <w:rPr>
          <w:rFonts w:ascii="Arial" w:hAnsi="Arial" w:cs="Arial"/>
          <w:szCs w:val="24"/>
        </w:rPr>
      </w:pPr>
    </w:p>
    <w:p w14:paraId="5AC931F6" w14:textId="77777777" w:rsidR="003216F7" w:rsidRDefault="003216F7">
      <w:pPr>
        <w:rPr>
          <w:rFonts w:ascii="Arial" w:hAnsi="Arial" w:cs="Arial"/>
          <w:szCs w:val="24"/>
        </w:rPr>
      </w:pPr>
    </w:p>
    <w:p w14:paraId="3E83CAA4" w14:textId="77777777" w:rsidR="003216F7" w:rsidRDefault="003216F7">
      <w:pPr>
        <w:rPr>
          <w:rFonts w:ascii="Arial" w:hAnsi="Arial" w:cs="Arial"/>
          <w:szCs w:val="24"/>
        </w:rPr>
      </w:pPr>
    </w:p>
    <w:p w14:paraId="298A7FA9" w14:textId="77777777" w:rsidR="00227D31" w:rsidRDefault="00227D31" w:rsidP="00F07B20">
      <w:pPr>
        <w:rPr>
          <w:rFonts w:ascii="Arial" w:hAnsi="Arial" w:cs="Arial"/>
          <w:szCs w:val="24"/>
        </w:rPr>
      </w:pPr>
    </w:p>
    <w:p w14:paraId="53573628" w14:textId="44D13928" w:rsidR="00F07B20" w:rsidRPr="00A21EDA" w:rsidRDefault="00F07B20" w:rsidP="00F07B20">
      <w:pPr>
        <w:rPr>
          <w:rFonts w:ascii="Arial" w:hAnsi="Arial" w:cs="Arial"/>
          <w:b/>
          <w:bCs/>
          <w:szCs w:val="24"/>
        </w:rPr>
      </w:pPr>
      <w:r w:rsidRPr="00A21EDA">
        <w:rPr>
          <w:rFonts w:ascii="Arial" w:hAnsi="Arial" w:cs="Arial"/>
          <w:b/>
          <w:bCs/>
          <w:szCs w:val="24"/>
        </w:rPr>
        <w:lastRenderedPageBreak/>
        <w:t>Introduction to Principles of Health and Social Care Practice</w:t>
      </w:r>
    </w:p>
    <w:p w14:paraId="3DE4AE8D" w14:textId="1C75760B" w:rsidR="00BE3859" w:rsidRPr="005D7189" w:rsidRDefault="00F07B20" w:rsidP="00F07B20">
      <w:pPr>
        <w:rPr>
          <w:rFonts w:ascii="Arial" w:hAnsi="Arial" w:cs="Arial"/>
          <w:szCs w:val="24"/>
        </w:rPr>
      </w:pPr>
      <w:r w:rsidRPr="005D7189">
        <w:rPr>
          <w:rFonts w:ascii="Arial" w:hAnsi="Arial" w:cs="Arial"/>
          <w:szCs w:val="24"/>
        </w:rPr>
        <w:t xml:space="preserve">Health and social care practice refers to the professional delivery of support, treatment, and services to individuals who require assistance due to illness, disability, age, or social </w:t>
      </w:r>
      <w:r w:rsidR="00EF64C2" w:rsidRPr="005D7189">
        <w:rPr>
          <w:rFonts w:ascii="Arial" w:hAnsi="Arial" w:cs="Arial"/>
          <w:szCs w:val="24"/>
        </w:rPr>
        <w:t>circumstances. The</w:t>
      </w:r>
      <w:r w:rsidRPr="005D7189">
        <w:rPr>
          <w:rFonts w:ascii="Arial" w:hAnsi="Arial" w:cs="Arial"/>
          <w:szCs w:val="24"/>
        </w:rPr>
        <w:t xml:space="preserve"> principles are the fundamental values, standards, and ethical guidelines that underpin all effective, safe, and compassionate care. They ensure that care is not only clinically or practically sound but also respectful, inclusive, and empowering.</w:t>
      </w:r>
    </w:p>
    <w:p w14:paraId="1C56175B" w14:textId="77777777" w:rsidR="00FD1347" w:rsidRPr="00A21EDA" w:rsidRDefault="00FD1347" w:rsidP="00FD1347">
      <w:pPr>
        <w:rPr>
          <w:rFonts w:ascii="Arial" w:hAnsi="Arial" w:cs="Arial"/>
          <w:b/>
          <w:bCs/>
          <w:szCs w:val="24"/>
        </w:rPr>
      </w:pPr>
      <w:r w:rsidRPr="00A21EDA">
        <w:rPr>
          <w:rFonts w:ascii="Arial" w:hAnsi="Arial" w:cs="Arial"/>
          <w:b/>
          <w:bCs/>
          <w:szCs w:val="24"/>
        </w:rPr>
        <w:t>Why Principles Matter</w:t>
      </w:r>
    </w:p>
    <w:p w14:paraId="56C42704" w14:textId="20BFDC92" w:rsidR="00FD1347" w:rsidRPr="005D7189" w:rsidRDefault="00FD1347" w:rsidP="00FD1347">
      <w:pPr>
        <w:rPr>
          <w:rFonts w:ascii="Arial" w:hAnsi="Arial" w:cs="Arial"/>
          <w:szCs w:val="24"/>
        </w:rPr>
      </w:pPr>
      <w:r w:rsidRPr="005D7189">
        <w:rPr>
          <w:rFonts w:ascii="Arial" w:hAnsi="Arial" w:cs="Arial"/>
          <w:szCs w:val="24"/>
        </w:rPr>
        <w:t>Principles act as a moral and professional compass for practitioners (nurses, social workers, care assistants, support workers, etc.</w:t>
      </w:r>
    </w:p>
    <w:p w14:paraId="3E1999DF" w14:textId="77777777" w:rsidR="00FD1347" w:rsidRPr="005D7189" w:rsidRDefault="00FD1347" w:rsidP="00FD1347">
      <w:pPr>
        <w:pStyle w:val="ListParagraph"/>
        <w:numPr>
          <w:ilvl w:val="0"/>
          <w:numId w:val="1"/>
        </w:numPr>
        <w:rPr>
          <w:rFonts w:ascii="Arial" w:hAnsi="Arial" w:cs="Arial"/>
        </w:rPr>
      </w:pPr>
      <w:r w:rsidRPr="005D7189">
        <w:rPr>
          <w:rFonts w:ascii="Arial" w:hAnsi="Arial" w:cs="Arial"/>
        </w:rPr>
        <w:t>Protect the rights and dignity of service users.</w:t>
      </w:r>
    </w:p>
    <w:p w14:paraId="7730DC8C" w14:textId="77777777" w:rsidR="00FD1347" w:rsidRPr="005D7189" w:rsidRDefault="00FD1347" w:rsidP="00FD1347">
      <w:pPr>
        <w:pStyle w:val="ListParagraph"/>
        <w:numPr>
          <w:ilvl w:val="0"/>
          <w:numId w:val="1"/>
        </w:numPr>
        <w:rPr>
          <w:rFonts w:ascii="Arial" w:hAnsi="Arial" w:cs="Arial"/>
        </w:rPr>
      </w:pPr>
      <w:r w:rsidRPr="005D7189">
        <w:rPr>
          <w:rFonts w:ascii="Arial" w:hAnsi="Arial" w:cs="Arial"/>
        </w:rPr>
        <w:t>Promote high-quality, consistent care.</w:t>
      </w:r>
    </w:p>
    <w:p w14:paraId="2889CD37" w14:textId="77777777" w:rsidR="00FD1347" w:rsidRPr="005D7189" w:rsidRDefault="00FD1347" w:rsidP="00FD1347">
      <w:pPr>
        <w:rPr>
          <w:rFonts w:ascii="Arial" w:hAnsi="Arial" w:cs="Arial"/>
          <w:szCs w:val="24"/>
        </w:rPr>
      </w:pPr>
      <w:r w:rsidRPr="005D7189">
        <w:rPr>
          <w:rFonts w:ascii="Arial" w:hAnsi="Arial" w:cs="Arial"/>
          <w:szCs w:val="24"/>
        </w:rPr>
        <w:t>Reduce the risk of abuse, neglect, or poor practice.</w:t>
      </w:r>
    </w:p>
    <w:p w14:paraId="49926F40" w14:textId="77777777" w:rsidR="00FD1347" w:rsidRPr="005D7189" w:rsidRDefault="00FD1347" w:rsidP="00FD1347">
      <w:pPr>
        <w:rPr>
          <w:rFonts w:ascii="Arial" w:hAnsi="Arial" w:cs="Arial"/>
          <w:szCs w:val="24"/>
        </w:rPr>
      </w:pPr>
      <w:r w:rsidRPr="005D7189">
        <w:rPr>
          <w:rFonts w:ascii="Arial" w:hAnsi="Arial" w:cs="Arial"/>
          <w:szCs w:val="24"/>
        </w:rPr>
        <w:t>Meet legal and regulatory requirements (e.g., Care Quality Commission standards in the UK, or equivalent bodies elsewhere).</w:t>
      </w:r>
    </w:p>
    <w:p w14:paraId="3F05777F" w14:textId="11C2D3E7" w:rsidR="00BE3859" w:rsidRPr="005D7189" w:rsidRDefault="00FD1347" w:rsidP="00FD1347">
      <w:pPr>
        <w:rPr>
          <w:rFonts w:ascii="Arial" w:hAnsi="Arial" w:cs="Arial"/>
          <w:szCs w:val="24"/>
        </w:rPr>
      </w:pPr>
      <w:r w:rsidRPr="005D7189">
        <w:rPr>
          <w:rFonts w:ascii="Arial" w:hAnsi="Arial" w:cs="Arial"/>
          <w:szCs w:val="24"/>
        </w:rPr>
        <w:t>Build trust between professionals, service users, and their families.</w:t>
      </w:r>
    </w:p>
    <w:p w14:paraId="04158F54" w14:textId="77777777" w:rsidR="0050585B" w:rsidRPr="005D7189" w:rsidRDefault="0050585B" w:rsidP="00FD1347">
      <w:pPr>
        <w:rPr>
          <w:rFonts w:ascii="Arial" w:hAnsi="Arial" w:cs="Arial"/>
          <w:szCs w:val="24"/>
        </w:rPr>
      </w:pPr>
    </w:p>
    <w:p w14:paraId="757860EC" w14:textId="77777777" w:rsidR="009D4492" w:rsidRPr="005D7189" w:rsidRDefault="009D4492" w:rsidP="00FD1347">
      <w:pPr>
        <w:rPr>
          <w:rFonts w:ascii="Arial" w:hAnsi="Arial" w:cs="Arial"/>
          <w:szCs w:val="24"/>
        </w:rPr>
      </w:pPr>
    </w:p>
    <w:p w14:paraId="6A39AAEC" w14:textId="77777777" w:rsidR="00CC0D0B" w:rsidRPr="005D7189" w:rsidRDefault="00CC0D0B" w:rsidP="00FD1347">
      <w:pPr>
        <w:rPr>
          <w:rFonts w:ascii="Arial" w:hAnsi="Arial" w:cs="Arial"/>
          <w:szCs w:val="24"/>
        </w:rPr>
      </w:pPr>
    </w:p>
    <w:p w14:paraId="78EBD0C5" w14:textId="77777777" w:rsidR="00CC0D0B" w:rsidRPr="005D7189" w:rsidRDefault="00CC0D0B" w:rsidP="00FD1347">
      <w:pPr>
        <w:rPr>
          <w:rFonts w:ascii="Arial" w:hAnsi="Arial" w:cs="Arial"/>
          <w:szCs w:val="24"/>
        </w:rPr>
      </w:pPr>
    </w:p>
    <w:p w14:paraId="037873A9" w14:textId="77777777" w:rsidR="00CC0D0B" w:rsidRPr="005D7189" w:rsidRDefault="00CC0D0B" w:rsidP="00FD1347">
      <w:pPr>
        <w:rPr>
          <w:rFonts w:ascii="Arial" w:hAnsi="Arial" w:cs="Arial"/>
          <w:szCs w:val="24"/>
        </w:rPr>
      </w:pPr>
    </w:p>
    <w:p w14:paraId="121941A4" w14:textId="77777777" w:rsidR="00CC0D0B" w:rsidRPr="005D7189" w:rsidRDefault="00CC0D0B" w:rsidP="00FD1347">
      <w:pPr>
        <w:rPr>
          <w:rFonts w:ascii="Arial" w:hAnsi="Arial" w:cs="Arial"/>
          <w:szCs w:val="24"/>
        </w:rPr>
      </w:pPr>
    </w:p>
    <w:p w14:paraId="5BE60862" w14:textId="77777777" w:rsidR="00CC0D0B" w:rsidRPr="005D7189" w:rsidRDefault="00CC0D0B" w:rsidP="00FD1347">
      <w:pPr>
        <w:rPr>
          <w:rFonts w:ascii="Arial" w:hAnsi="Arial" w:cs="Arial"/>
          <w:szCs w:val="24"/>
        </w:rPr>
      </w:pPr>
    </w:p>
    <w:p w14:paraId="004EB2D4" w14:textId="77777777" w:rsidR="00CC0D0B" w:rsidRPr="005D7189" w:rsidRDefault="00CC0D0B" w:rsidP="00FD1347">
      <w:pPr>
        <w:rPr>
          <w:rFonts w:ascii="Arial" w:hAnsi="Arial" w:cs="Arial"/>
          <w:szCs w:val="24"/>
        </w:rPr>
      </w:pPr>
    </w:p>
    <w:p w14:paraId="373FE4FC" w14:textId="77777777" w:rsidR="00CC0D0B" w:rsidRPr="005D7189" w:rsidRDefault="00CC0D0B" w:rsidP="00FD1347">
      <w:pPr>
        <w:rPr>
          <w:rFonts w:ascii="Arial" w:hAnsi="Arial" w:cs="Arial"/>
          <w:szCs w:val="24"/>
        </w:rPr>
      </w:pPr>
    </w:p>
    <w:p w14:paraId="27CC3A54" w14:textId="77777777" w:rsidR="00CC0D0B" w:rsidRPr="005D7189" w:rsidRDefault="00CC0D0B" w:rsidP="00FD1347">
      <w:pPr>
        <w:rPr>
          <w:rFonts w:ascii="Arial" w:hAnsi="Arial" w:cs="Arial"/>
          <w:szCs w:val="24"/>
        </w:rPr>
      </w:pPr>
    </w:p>
    <w:p w14:paraId="0480019E" w14:textId="77777777" w:rsidR="00CC0D0B" w:rsidRPr="005D7189" w:rsidRDefault="00CC0D0B" w:rsidP="00FD1347">
      <w:pPr>
        <w:rPr>
          <w:rFonts w:ascii="Arial" w:hAnsi="Arial" w:cs="Arial"/>
          <w:szCs w:val="24"/>
        </w:rPr>
      </w:pPr>
    </w:p>
    <w:p w14:paraId="240021C7" w14:textId="77777777" w:rsidR="00CC0D0B" w:rsidRPr="005D7189" w:rsidRDefault="00CC0D0B" w:rsidP="00FD1347">
      <w:pPr>
        <w:rPr>
          <w:rFonts w:ascii="Arial" w:hAnsi="Arial" w:cs="Arial"/>
          <w:szCs w:val="24"/>
        </w:rPr>
      </w:pPr>
    </w:p>
    <w:p w14:paraId="45054EE9" w14:textId="77777777" w:rsidR="00CC0D0B" w:rsidRPr="005D7189" w:rsidRDefault="00CC0D0B" w:rsidP="00FD1347">
      <w:pPr>
        <w:rPr>
          <w:rFonts w:ascii="Arial" w:hAnsi="Arial" w:cs="Arial"/>
          <w:szCs w:val="24"/>
        </w:rPr>
      </w:pPr>
    </w:p>
    <w:p w14:paraId="60A25519" w14:textId="77777777" w:rsidR="00CC0D0B" w:rsidRPr="005D7189" w:rsidRDefault="00CC0D0B" w:rsidP="00FD1347">
      <w:pPr>
        <w:rPr>
          <w:rFonts w:ascii="Arial" w:hAnsi="Arial" w:cs="Arial"/>
          <w:szCs w:val="24"/>
        </w:rPr>
      </w:pPr>
    </w:p>
    <w:p w14:paraId="09E62572" w14:textId="77777777" w:rsidR="00CC0D0B" w:rsidRPr="005D7189" w:rsidRDefault="00CC0D0B" w:rsidP="00FD1347">
      <w:pPr>
        <w:rPr>
          <w:rFonts w:ascii="Arial" w:hAnsi="Arial" w:cs="Arial"/>
          <w:szCs w:val="24"/>
        </w:rPr>
      </w:pPr>
    </w:p>
    <w:p w14:paraId="29D47B97" w14:textId="77777777" w:rsidR="00CC0D0B" w:rsidRPr="005D7189" w:rsidRDefault="00CC0D0B" w:rsidP="00FD1347">
      <w:pPr>
        <w:rPr>
          <w:rFonts w:ascii="Arial" w:hAnsi="Arial" w:cs="Arial"/>
          <w:szCs w:val="24"/>
        </w:rPr>
      </w:pPr>
    </w:p>
    <w:p w14:paraId="0B056479" w14:textId="77777777" w:rsidR="00D9046F" w:rsidRDefault="00D9046F" w:rsidP="00FD1347">
      <w:pPr>
        <w:rPr>
          <w:rFonts w:ascii="Arial" w:hAnsi="Arial" w:cs="Arial"/>
          <w:szCs w:val="24"/>
        </w:rPr>
      </w:pPr>
    </w:p>
    <w:p w14:paraId="249FCF8F" w14:textId="46ECF1CF" w:rsidR="009D4492" w:rsidRPr="00A21EDA" w:rsidRDefault="00CC0D0B" w:rsidP="00FD1347">
      <w:pPr>
        <w:rPr>
          <w:rFonts w:ascii="Arial" w:hAnsi="Arial" w:cs="Arial"/>
          <w:b/>
          <w:bCs/>
          <w:szCs w:val="24"/>
        </w:rPr>
      </w:pPr>
      <w:r w:rsidRPr="00A21EDA">
        <w:rPr>
          <w:rFonts w:ascii="Arial" w:hAnsi="Arial" w:cs="Arial"/>
          <w:b/>
          <w:bCs/>
          <w:szCs w:val="24"/>
        </w:rPr>
        <w:lastRenderedPageBreak/>
        <w:t>Reflection on the Importance of Principles of Health and Social Care</w:t>
      </w:r>
    </w:p>
    <w:p w14:paraId="1D2B4F06" w14:textId="039CB449" w:rsidR="006355FB" w:rsidRPr="005D7189" w:rsidRDefault="006355FB" w:rsidP="006355FB">
      <w:pPr>
        <w:rPr>
          <w:rFonts w:ascii="Arial" w:hAnsi="Arial" w:cs="Arial"/>
          <w:szCs w:val="24"/>
        </w:rPr>
      </w:pPr>
      <w:r w:rsidRPr="005D7189">
        <w:rPr>
          <w:rFonts w:ascii="Arial" w:hAnsi="Arial" w:cs="Arial"/>
          <w:szCs w:val="24"/>
        </w:rPr>
        <w:t>The principles of health and social care</w:t>
      </w:r>
      <w:r w:rsidR="00842726" w:rsidRPr="005D7189">
        <w:rPr>
          <w:rFonts w:ascii="Arial" w:hAnsi="Arial" w:cs="Arial"/>
          <w:szCs w:val="24"/>
        </w:rPr>
        <w:t xml:space="preserve"> </w:t>
      </w:r>
      <w:r w:rsidRPr="005D7189">
        <w:rPr>
          <w:rFonts w:ascii="Arial" w:hAnsi="Arial" w:cs="Arial"/>
          <w:szCs w:val="24"/>
        </w:rPr>
        <w:t>particularly person-centred care, partnership working, and ethics</w:t>
      </w:r>
      <w:r w:rsidR="00842726" w:rsidRPr="005D7189">
        <w:rPr>
          <w:rFonts w:ascii="Arial" w:hAnsi="Arial" w:cs="Arial"/>
          <w:szCs w:val="24"/>
        </w:rPr>
        <w:t xml:space="preserve"> </w:t>
      </w:r>
      <w:r w:rsidRPr="005D7189">
        <w:rPr>
          <w:rFonts w:ascii="Arial" w:hAnsi="Arial" w:cs="Arial"/>
          <w:szCs w:val="24"/>
        </w:rPr>
        <w:t xml:space="preserve">form the foundation of high-quality, compassionate, and effective service delivery in the UK. These principles ensure that care is not merely transactional but holistic, respectful, and responsive to individual needs, aligning with regulatory frameworks like the Care Quality Commission (CQC) and the NHS </w:t>
      </w:r>
      <w:r w:rsidR="00CB4821" w:rsidRPr="005D7189">
        <w:rPr>
          <w:rFonts w:ascii="Arial" w:hAnsi="Arial" w:cs="Arial"/>
          <w:szCs w:val="24"/>
        </w:rPr>
        <w:t xml:space="preserve">Constitution. </w:t>
      </w:r>
      <w:r w:rsidR="00353AE0" w:rsidRPr="005D7189">
        <w:rPr>
          <w:rFonts w:ascii="Arial" w:hAnsi="Arial" w:cs="Arial"/>
          <w:szCs w:val="24"/>
        </w:rPr>
        <w:t>(Department</w:t>
      </w:r>
      <w:r w:rsidR="009877E9" w:rsidRPr="005D7189">
        <w:rPr>
          <w:rFonts w:ascii="Arial" w:hAnsi="Arial" w:cs="Arial"/>
          <w:szCs w:val="24"/>
        </w:rPr>
        <w:t xml:space="preserve"> of Health and Social Care</w:t>
      </w:r>
      <w:r w:rsidR="00726CC7">
        <w:rPr>
          <w:rFonts w:ascii="Arial" w:hAnsi="Arial" w:cs="Arial"/>
          <w:szCs w:val="24"/>
        </w:rPr>
        <w:t>,</w:t>
      </w:r>
      <w:r w:rsidR="009877E9" w:rsidRPr="005D7189">
        <w:rPr>
          <w:rFonts w:ascii="Arial" w:hAnsi="Arial" w:cs="Arial"/>
          <w:szCs w:val="24"/>
        </w:rPr>
        <w:t>2023)</w:t>
      </w:r>
    </w:p>
    <w:p w14:paraId="21835EF1" w14:textId="02E784E0" w:rsidR="006355FB" w:rsidRPr="005D7189" w:rsidRDefault="006355FB" w:rsidP="006355FB">
      <w:pPr>
        <w:rPr>
          <w:rFonts w:ascii="Arial" w:hAnsi="Arial" w:cs="Arial"/>
          <w:szCs w:val="24"/>
        </w:rPr>
      </w:pPr>
      <w:r w:rsidRPr="005D7189">
        <w:rPr>
          <w:rFonts w:ascii="Arial" w:hAnsi="Arial" w:cs="Arial"/>
          <w:szCs w:val="24"/>
        </w:rPr>
        <w:t xml:space="preserve">Person-centred care places the individual at the heart of decision-making, treating them as unique persons with preferences, values, and life stories rather than collections of symptoms. Drawing from Carl Rogers’ humanistic psychology and its adaptation by Tom Kitwood for dementia care (emphasising personhood through VIPS: Valuing people, Individuality, Perspective, and </w:t>
      </w:r>
      <w:r w:rsidR="00811BE0" w:rsidRPr="005D7189">
        <w:rPr>
          <w:rFonts w:ascii="Arial" w:hAnsi="Arial" w:cs="Arial"/>
          <w:szCs w:val="24"/>
        </w:rPr>
        <w:t>social</w:t>
      </w:r>
      <w:r w:rsidRPr="005D7189">
        <w:rPr>
          <w:rFonts w:ascii="Arial" w:hAnsi="Arial" w:cs="Arial"/>
          <w:szCs w:val="24"/>
        </w:rPr>
        <w:t xml:space="preserve"> environment), this approach promotes dignity, autonomy, and empowerment. The Health Foundation outlines four key principles: affording dignity, compassion, and respect; offering coordinated and personalised care; and supporting individuals to recognise their strengths for independent, fulfilling lives.</w:t>
      </w:r>
      <w:r w:rsidR="007E3640" w:rsidRPr="005D7189">
        <w:rPr>
          <w:rFonts w:ascii="Arial" w:hAnsi="Arial" w:cs="Arial"/>
          <w:szCs w:val="24"/>
        </w:rPr>
        <w:t xml:space="preserve"> </w:t>
      </w:r>
      <w:r w:rsidR="00353AE0" w:rsidRPr="005D7189">
        <w:rPr>
          <w:rFonts w:ascii="Arial" w:hAnsi="Arial" w:cs="Arial"/>
          <w:szCs w:val="24"/>
        </w:rPr>
        <w:t>(Health</w:t>
      </w:r>
      <w:r w:rsidR="007E3640" w:rsidRPr="005D7189">
        <w:rPr>
          <w:rFonts w:ascii="Arial" w:hAnsi="Arial" w:cs="Arial"/>
          <w:szCs w:val="24"/>
        </w:rPr>
        <w:t xml:space="preserve"> Foundation (2014)</w:t>
      </w:r>
    </w:p>
    <w:p w14:paraId="47DDFB26" w14:textId="286CC53F" w:rsidR="006355FB" w:rsidRPr="005D7189" w:rsidRDefault="006355FB" w:rsidP="006355FB">
      <w:pPr>
        <w:rPr>
          <w:rFonts w:ascii="Arial" w:hAnsi="Arial" w:cs="Arial"/>
          <w:szCs w:val="24"/>
        </w:rPr>
      </w:pPr>
      <w:r w:rsidRPr="005D7189">
        <w:rPr>
          <w:rFonts w:ascii="Arial" w:hAnsi="Arial" w:cs="Arial"/>
          <w:szCs w:val="24"/>
        </w:rPr>
        <w:t>In the UK, this is embedded in Regulation 9 of the Health and Social Care Act 2008, which mandates personalised care based on assessments of needs and preferences, with reasonable adjustments and informed consent. It enhances quality by improving health outcomes, patient safety, satisfaction, and adherence, while reducing inequalities. For instance, NHS England’s Comprehensive Model of Personalised Care has reached millions, fostering empowerment and better management of long-term conditions. Reflecting on practice, person-centred care shifts power dynamics from professional expertise to collaborative partnership, respecting the person’s narrative and promoting psychological wellbeing</w:t>
      </w:r>
      <w:r w:rsidR="00842726" w:rsidRPr="005D7189">
        <w:rPr>
          <w:rFonts w:ascii="Arial" w:hAnsi="Arial" w:cs="Arial"/>
          <w:szCs w:val="24"/>
        </w:rPr>
        <w:t xml:space="preserve"> </w:t>
      </w:r>
      <w:r w:rsidRPr="005D7189">
        <w:rPr>
          <w:rFonts w:ascii="Arial" w:hAnsi="Arial" w:cs="Arial"/>
          <w:szCs w:val="24"/>
        </w:rPr>
        <w:t>especially vital in vulnerable populations.</w:t>
      </w:r>
      <w:r w:rsidR="00111ABE" w:rsidRPr="005D7189">
        <w:rPr>
          <w:rFonts w:ascii="Arial" w:hAnsi="Arial" w:cs="Arial"/>
          <w:szCs w:val="24"/>
        </w:rPr>
        <w:t xml:space="preserve"> (</w:t>
      </w:r>
      <w:r w:rsidR="006C3511" w:rsidRPr="005D7189">
        <w:rPr>
          <w:rFonts w:ascii="Arial" w:hAnsi="Arial" w:cs="Arial"/>
          <w:szCs w:val="24"/>
        </w:rPr>
        <w:t xml:space="preserve">NHS England </w:t>
      </w:r>
      <w:r w:rsidR="00111ABE" w:rsidRPr="005D7189">
        <w:rPr>
          <w:rFonts w:ascii="Arial" w:hAnsi="Arial" w:cs="Arial"/>
          <w:szCs w:val="24"/>
        </w:rPr>
        <w:t>July 2026).</w:t>
      </w:r>
    </w:p>
    <w:p w14:paraId="29F8B21B" w14:textId="39897659" w:rsidR="006355FB" w:rsidRPr="005D7189" w:rsidRDefault="006355FB" w:rsidP="006355FB">
      <w:pPr>
        <w:rPr>
          <w:rFonts w:ascii="Arial" w:hAnsi="Arial" w:cs="Arial"/>
          <w:szCs w:val="24"/>
        </w:rPr>
      </w:pPr>
      <w:r w:rsidRPr="005D7189">
        <w:rPr>
          <w:rFonts w:ascii="Arial" w:hAnsi="Arial" w:cs="Arial"/>
          <w:szCs w:val="24"/>
        </w:rPr>
        <w:t>Partnership working complements this by emphasising collaboration across professionals, organisations, service users, families, and communities. It involves shared goals, clear communication, trust, and integrated service delivery between health, social care, voluntary sectors, and local authorities. UK policy, including the NHS Long Term Plan and statutory guidance, promotes this to address complex needs holistically, reduce silos, and tackle health inequalities. Effective partnerships centre community voices in decision-making and co-production, leading to more responsive services.</w:t>
      </w:r>
      <w:r w:rsidR="006C3511" w:rsidRPr="005D7189">
        <w:rPr>
          <w:rFonts w:ascii="Arial" w:hAnsi="Arial" w:cs="Arial"/>
          <w:szCs w:val="24"/>
        </w:rPr>
        <w:t xml:space="preserve"> </w:t>
      </w:r>
      <w:r w:rsidR="003D6564" w:rsidRPr="005D7189">
        <w:rPr>
          <w:rFonts w:ascii="Arial" w:hAnsi="Arial" w:cs="Arial"/>
          <w:szCs w:val="24"/>
        </w:rPr>
        <w:t>(Varkey</w:t>
      </w:r>
      <w:r w:rsidR="00497B08" w:rsidRPr="005D7189">
        <w:rPr>
          <w:rFonts w:ascii="Arial" w:hAnsi="Arial" w:cs="Arial"/>
          <w:szCs w:val="24"/>
        </w:rPr>
        <w:t>, 2021)</w:t>
      </w:r>
    </w:p>
    <w:p w14:paraId="5AEF9306" w14:textId="3DD7C7E2" w:rsidR="005D7189" w:rsidRDefault="006355FB" w:rsidP="00FD1347">
      <w:pPr>
        <w:rPr>
          <w:rFonts w:ascii="Arial" w:hAnsi="Arial" w:cs="Arial"/>
          <w:szCs w:val="24"/>
        </w:rPr>
      </w:pPr>
      <w:r w:rsidRPr="005D7189">
        <w:rPr>
          <w:rFonts w:ascii="Arial" w:hAnsi="Arial" w:cs="Arial"/>
          <w:szCs w:val="24"/>
        </w:rPr>
        <w:t>Ethics underpins both, providing a framework for moral decision-making. Beauchamp and Childress’s four principles</w:t>
      </w:r>
      <w:r w:rsidR="00842726" w:rsidRPr="005D7189">
        <w:rPr>
          <w:rFonts w:ascii="Arial" w:hAnsi="Arial" w:cs="Arial"/>
          <w:szCs w:val="24"/>
        </w:rPr>
        <w:t xml:space="preserve"> </w:t>
      </w:r>
      <w:r w:rsidRPr="005D7189">
        <w:rPr>
          <w:rFonts w:ascii="Arial" w:hAnsi="Arial" w:cs="Arial"/>
          <w:szCs w:val="24"/>
        </w:rPr>
        <w:t>autonomy (respecting choices), beneficence (doing good), non-maleficence (avoiding harm), and justice (fair distribution)</w:t>
      </w:r>
      <w:r w:rsidR="00842726" w:rsidRPr="005D7189">
        <w:rPr>
          <w:rFonts w:ascii="Arial" w:hAnsi="Arial" w:cs="Arial"/>
          <w:szCs w:val="24"/>
        </w:rPr>
        <w:t xml:space="preserve"> </w:t>
      </w:r>
      <w:r w:rsidRPr="005D7189">
        <w:rPr>
          <w:rFonts w:ascii="Arial" w:hAnsi="Arial" w:cs="Arial"/>
          <w:szCs w:val="24"/>
        </w:rPr>
        <w:t xml:space="preserve">guide practice in the UK. Codes of conduct for health and social care workers reinforce accountability, respect, and non-discrimination. Ethical practice ensures person-centred and partnership approaches remain rights-based, balancing individual autonomy with collective responsibilities, particularly in consent, confidentiality, and resource </w:t>
      </w:r>
      <w:r w:rsidR="00842726" w:rsidRPr="005D7189">
        <w:rPr>
          <w:rFonts w:ascii="Arial" w:hAnsi="Arial" w:cs="Arial"/>
          <w:szCs w:val="24"/>
        </w:rPr>
        <w:t>allocation. Collectively</w:t>
      </w:r>
      <w:r w:rsidRPr="005D7189">
        <w:rPr>
          <w:rFonts w:ascii="Arial" w:hAnsi="Arial" w:cs="Arial"/>
          <w:szCs w:val="24"/>
        </w:rPr>
        <w:t xml:space="preserve">, these principles elevate </w:t>
      </w:r>
      <w:r w:rsidR="0010114F" w:rsidRPr="005D7189">
        <w:rPr>
          <w:rFonts w:ascii="Arial" w:hAnsi="Arial" w:cs="Arial"/>
          <w:szCs w:val="24"/>
        </w:rPr>
        <w:t>care</w:t>
      </w:r>
      <w:r w:rsidR="0010114F">
        <w:rPr>
          <w:rFonts w:ascii="Arial" w:hAnsi="Arial" w:cs="Arial"/>
          <w:szCs w:val="24"/>
        </w:rPr>
        <w:t xml:space="preserve"> </w:t>
      </w:r>
      <w:r w:rsidR="0010114F" w:rsidRPr="005D7189">
        <w:rPr>
          <w:rFonts w:ascii="Arial" w:hAnsi="Arial" w:cs="Arial"/>
          <w:szCs w:val="24"/>
        </w:rPr>
        <w:t>quality</w:t>
      </w:r>
      <w:r w:rsidRPr="005D7189">
        <w:rPr>
          <w:rFonts w:ascii="Arial" w:hAnsi="Arial" w:cs="Arial"/>
          <w:szCs w:val="24"/>
        </w:rPr>
        <w:t xml:space="preserve"> by fostering individualised, collaborative, and morally sound services. They support the NHS and social care’s commitment to equity</w:t>
      </w:r>
      <w:r w:rsidR="00AE0DCE" w:rsidRPr="005D7189">
        <w:rPr>
          <w:rFonts w:ascii="Arial" w:hAnsi="Arial" w:cs="Arial"/>
          <w:szCs w:val="24"/>
        </w:rPr>
        <w:t xml:space="preserve"> (NHS </w:t>
      </w:r>
      <w:proofErr w:type="gramStart"/>
      <w:r w:rsidR="00AE0DCE" w:rsidRPr="005D7189">
        <w:rPr>
          <w:rFonts w:ascii="Arial" w:hAnsi="Arial" w:cs="Arial"/>
          <w:szCs w:val="24"/>
        </w:rPr>
        <w:t>England  2026</w:t>
      </w:r>
      <w:proofErr w:type="gramEnd"/>
      <w:r w:rsidR="00AE0DCE" w:rsidRPr="005D7189">
        <w:rPr>
          <w:rFonts w:ascii="Arial" w:hAnsi="Arial" w:cs="Arial"/>
          <w:szCs w:val="24"/>
        </w:rPr>
        <w:t>).</w:t>
      </w:r>
    </w:p>
    <w:p w14:paraId="10C36BEA" w14:textId="67FFC9DA" w:rsidR="00813CEA" w:rsidRPr="00A21EDA" w:rsidRDefault="00C52891" w:rsidP="00FD1347">
      <w:pPr>
        <w:rPr>
          <w:rFonts w:ascii="Arial" w:hAnsi="Arial" w:cs="Arial"/>
          <w:b/>
          <w:bCs/>
          <w:szCs w:val="24"/>
        </w:rPr>
      </w:pPr>
      <w:r w:rsidRPr="00A21EDA">
        <w:rPr>
          <w:rFonts w:ascii="Arial" w:hAnsi="Arial" w:cs="Arial"/>
          <w:b/>
          <w:bCs/>
          <w:szCs w:val="24"/>
        </w:rPr>
        <w:lastRenderedPageBreak/>
        <w:t>Practical Examples of Concepts in Practice</w:t>
      </w:r>
      <w:r w:rsidR="001341F0" w:rsidRPr="00A21EDA">
        <w:rPr>
          <w:rFonts w:ascii="Arial" w:hAnsi="Arial" w:cs="Arial"/>
          <w:b/>
          <w:bCs/>
          <w:szCs w:val="24"/>
        </w:rPr>
        <w:t>.</w:t>
      </w:r>
    </w:p>
    <w:p w14:paraId="3010AAA0" w14:textId="77777777" w:rsidR="001341F0" w:rsidRPr="005D7189" w:rsidRDefault="00813CEA" w:rsidP="00FD1347">
      <w:pPr>
        <w:rPr>
          <w:rFonts w:ascii="Arial" w:hAnsi="Arial" w:cs="Arial"/>
          <w:szCs w:val="24"/>
        </w:rPr>
      </w:pPr>
      <w:r w:rsidRPr="005D7189">
        <w:rPr>
          <w:rFonts w:ascii="Arial" w:hAnsi="Arial" w:cs="Arial"/>
          <w:szCs w:val="24"/>
        </w:rPr>
        <w:t>In UK health and social care, person-centred care, partnership working, and ethical practice form the foundation of high-quality, compassionate services. These concepts are effectively illustrated in community-based dementia care, such as home support for older adults, aligning with policies like the Care Act 2014, the NHS Constitution, and Regulation 9 of the Health and Social Care Act 2008</w:t>
      </w:r>
    </w:p>
    <w:p w14:paraId="68B508B8" w14:textId="08387881" w:rsidR="00B06F6C" w:rsidRPr="005D7189" w:rsidRDefault="00813CEA" w:rsidP="00FD1347">
      <w:pPr>
        <w:rPr>
          <w:rFonts w:ascii="Arial" w:hAnsi="Arial" w:cs="Arial"/>
          <w:szCs w:val="24"/>
        </w:rPr>
      </w:pPr>
      <w:r w:rsidRPr="005D7189">
        <w:rPr>
          <w:rFonts w:ascii="Arial" w:hAnsi="Arial" w:cs="Arial"/>
          <w:szCs w:val="24"/>
        </w:rPr>
        <w:t xml:space="preserve">Regulated Activities </w:t>
      </w:r>
      <w:r w:rsidR="00EC51EA">
        <w:rPr>
          <w:rFonts w:ascii="Arial" w:hAnsi="Arial" w:cs="Arial"/>
          <w:szCs w:val="24"/>
        </w:rPr>
        <w:t>(</w:t>
      </w:r>
      <w:r w:rsidRPr="005D7189">
        <w:rPr>
          <w:rFonts w:ascii="Arial" w:hAnsi="Arial" w:cs="Arial"/>
          <w:szCs w:val="24"/>
        </w:rPr>
        <w:t>Regulations 2014</w:t>
      </w:r>
      <w:r w:rsidR="00EC51EA">
        <w:rPr>
          <w:rFonts w:ascii="Arial" w:hAnsi="Arial" w:cs="Arial"/>
          <w:szCs w:val="24"/>
        </w:rPr>
        <w:t>)</w:t>
      </w:r>
    </w:p>
    <w:p w14:paraId="7A33F0AF" w14:textId="5CFC439B" w:rsidR="0025374A" w:rsidRPr="005D7189" w:rsidRDefault="00C10895" w:rsidP="00FD1347">
      <w:pPr>
        <w:rPr>
          <w:rFonts w:ascii="Arial" w:hAnsi="Arial" w:cs="Arial"/>
          <w:szCs w:val="24"/>
        </w:rPr>
      </w:pPr>
      <w:r w:rsidRPr="005D7189">
        <w:rPr>
          <w:rFonts w:ascii="Arial" w:hAnsi="Arial" w:cs="Arial"/>
          <w:szCs w:val="24"/>
        </w:rPr>
        <w:t>T</w:t>
      </w:r>
      <w:r w:rsidR="0025374A" w:rsidRPr="005D7189">
        <w:rPr>
          <w:rFonts w:ascii="Arial" w:hAnsi="Arial" w:cs="Arial"/>
          <w:szCs w:val="24"/>
        </w:rPr>
        <w:t>he case</w:t>
      </w:r>
      <w:r w:rsidRPr="005D7189">
        <w:rPr>
          <w:rFonts w:ascii="Arial" w:hAnsi="Arial" w:cs="Arial"/>
          <w:szCs w:val="24"/>
        </w:rPr>
        <w:t xml:space="preserve"> study </w:t>
      </w:r>
      <w:r w:rsidR="0025374A" w:rsidRPr="005D7189">
        <w:rPr>
          <w:rFonts w:ascii="Arial" w:hAnsi="Arial" w:cs="Arial"/>
          <w:szCs w:val="24"/>
        </w:rPr>
        <w:t>of Mary</w:t>
      </w:r>
    </w:p>
    <w:p w14:paraId="4D990C21" w14:textId="2845D8DA" w:rsidR="001341F0" w:rsidRPr="005D7189" w:rsidRDefault="002F2678" w:rsidP="00FD1347">
      <w:pPr>
        <w:rPr>
          <w:rFonts w:ascii="Arial" w:hAnsi="Arial" w:cs="Arial"/>
          <w:szCs w:val="24"/>
        </w:rPr>
      </w:pPr>
      <w:r w:rsidRPr="005D7189">
        <w:rPr>
          <w:rFonts w:ascii="Arial" w:hAnsi="Arial" w:cs="Arial"/>
          <w:szCs w:val="24"/>
        </w:rPr>
        <w:t>A</w:t>
      </w:r>
      <w:r w:rsidR="0025374A" w:rsidRPr="005D7189">
        <w:rPr>
          <w:rFonts w:ascii="Arial" w:hAnsi="Arial" w:cs="Arial"/>
          <w:szCs w:val="24"/>
        </w:rPr>
        <w:t>n 8</w:t>
      </w:r>
      <w:r w:rsidR="004775D1">
        <w:rPr>
          <w:rFonts w:ascii="Arial" w:hAnsi="Arial" w:cs="Arial"/>
          <w:szCs w:val="24"/>
        </w:rPr>
        <w:t>5</w:t>
      </w:r>
      <w:r w:rsidR="0025374A" w:rsidRPr="005D7189">
        <w:rPr>
          <w:rFonts w:ascii="Arial" w:hAnsi="Arial" w:cs="Arial"/>
          <w:szCs w:val="24"/>
        </w:rPr>
        <w:t>-year-old woman with mild dementia living at home. She began refusing meals, spitting out food, and losing weight, raising concerns about her ability to remain independent. Rather than immediately transferring her to a nursing home</w:t>
      </w:r>
      <w:r w:rsidRPr="005D7189">
        <w:rPr>
          <w:rFonts w:ascii="Arial" w:hAnsi="Arial" w:cs="Arial"/>
          <w:szCs w:val="24"/>
        </w:rPr>
        <w:t xml:space="preserve"> </w:t>
      </w:r>
      <w:r w:rsidR="0025374A" w:rsidRPr="005D7189">
        <w:rPr>
          <w:rFonts w:ascii="Arial" w:hAnsi="Arial" w:cs="Arial"/>
          <w:szCs w:val="24"/>
        </w:rPr>
        <w:t>a common institutional response</w:t>
      </w:r>
      <w:r w:rsidRPr="005D7189">
        <w:rPr>
          <w:rFonts w:ascii="Arial" w:hAnsi="Arial" w:cs="Arial"/>
          <w:szCs w:val="24"/>
        </w:rPr>
        <w:t xml:space="preserve"> </w:t>
      </w:r>
      <w:r w:rsidR="0025374A" w:rsidRPr="005D7189">
        <w:rPr>
          <w:rFonts w:ascii="Arial" w:hAnsi="Arial" w:cs="Arial"/>
          <w:szCs w:val="24"/>
        </w:rPr>
        <w:t>a multidisciplinary team (including community nurses, social workers, occupational therapists, and family carers) adopted a person-centred approach. They conducted thorough assessments focusing on Mary's preferences, life history, and values, discovering she disliked standard meals due to changes in taste perception and preferred familiar, culturally significant foods prepared in specific ways. Staff collaborated with her family to adapt meal options, introduced adaptive utensils, and incorporated meaningful routines like shared cooking sessions that evoked positive memories.</w:t>
      </w:r>
    </w:p>
    <w:p w14:paraId="755D6EF9" w14:textId="168F6917" w:rsidR="0010033E" w:rsidRPr="005D7189" w:rsidRDefault="005D28EF" w:rsidP="0010033E">
      <w:pPr>
        <w:rPr>
          <w:rFonts w:ascii="Arial" w:hAnsi="Arial" w:cs="Arial"/>
          <w:szCs w:val="24"/>
        </w:rPr>
      </w:pPr>
      <w:r>
        <w:rPr>
          <w:rFonts w:ascii="Arial" w:hAnsi="Arial" w:cs="Arial"/>
          <w:szCs w:val="24"/>
        </w:rPr>
        <w:t>P</w:t>
      </w:r>
      <w:r w:rsidR="0010033E" w:rsidRPr="005D7189">
        <w:rPr>
          <w:rFonts w:ascii="Arial" w:hAnsi="Arial" w:cs="Arial"/>
          <w:szCs w:val="24"/>
        </w:rPr>
        <w:t>artnership working was central: professionals, Mary (where capacity allowed), and her family co-produced a personalised care and support plan. This involved shared decision-making, regular reviews, and integration across health and social care sectors. Ethical principles guided the process respecting autonomy (via the Mental Capacity Act), promoting beneficence through dignity-preserving choices, ensuring non-maleficence by avoiding unnecessary institutionalisation, and upholding justice by allocating resources equitably. This aligns with the NHS Comprehensive Model of Personalised Care, which emphasises shared decision-making, personalised care planning, and supported self-management.</w:t>
      </w:r>
      <w:r w:rsidR="000C0362" w:rsidRPr="005D7189">
        <w:rPr>
          <w:rFonts w:ascii="Arial" w:hAnsi="Arial" w:cs="Arial"/>
          <w:szCs w:val="24"/>
        </w:rPr>
        <w:t xml:space="preserve"> NHS England (2024)</w:t>
      </w:r>
    </w:p>
    <w:p w14:paraId="0B7FB657" w14:textId="359DC1EF" w:rsidR="002F2678" w:rsidRPr="005D7189" w:rsidRDefault="0010033E" w:rsidP="0010033E">
      <w:pPr>
        <w:rPr>
          <w:rFonts w:ascii="Arial" w:hAnsi="Arial" w:cs="Arial"/>
          <w:szCs w:val="24"/>
        </w:rPr>
      </w:pPr>
      <w:r w:rsidRPr="005D7189">
        <w:rPr>
          <w:rFonts w:ascii="Arial" w:hAnsi="Arial" w:cs="Arial"/>
          <w:szCs w:val="24"/>
        </w:rPr>
        <w:t>Current policies reinforce these concepts. The Care Act 2014 mandates wellbeing-focused assessments that prioritise the individual's views, wishes, and participation, assuming they are best placed to judge their own outcomes. The NHS Long Term Plan and person-centred frameworks from Skills for Health and Skills for Care promote collaborative, empowering care across settings</w:t>
      </w:r>
      <w:r w:rsidR="000C0362" w:rsidRPr="005D7189">
        <w:rPr>
          <w:rFonts w:ascii="Arial" w:hAnsi="Arial" w:cs="Arial"/>
          <w:szCs w:val="24"/>
        </w:rPr>
        <w:t>. NHS England (2024)</w:t>
      </w:r>
    </w:p>
    <w:p w14:paraId="0478D67E" w14:textId="172FD7DB" w:rsidR="00EA7FE5" w:rsidRPr="005D7189" w:rsidRDefault="00EA7FE5" w:rsidP="0010033E">
      <w:pPr>
        <w:rPr>
          <w:rFonts w:ascii="Arial" w:hAnsi="Arial" w:cs="Arial"/>
          <w:szCs w:val="24"/>
        </w:rPr>
      </w:pPr>
      <w:r w:rsidRPr="005D7189">
        <w:rPr>
          <w:rFonts w:ascii="Arial" w:hAnsi="Arial" w:cs="Arial"/>
          <w:szCs w:val="24"/>
        </w:rPr>
        <w:t>These approaches demonstrably improve patient care. Research shows person-centred interventions in dementia care homes enhance quality of life, reduce agitation, and improve staff-resident interactions, potentially lowering costs. In Mary's case, she maintained independence longer, experienced better nutritional intake, and reported higher wellbeing, reducing hospital admissions and carer stress</w:t>
      </w:r>
    </w:p>
    <w:p w14:paraId="2FA1882B" w14:textId="77777777" w:rsidR="00071DA5" w:rsidRDefault="00FA5FDB" w:rsidP="004A3695">
      <w:pPr>
        <w:rPr>
          <w:rFonts w:ascii="Arial" w:hAnsi="Arial" w:cs="Arial"/>
          <w:szCs w:val="24"/>
        </w:rPr>
      </w:pPr>
      <w:r w:rsidRPr="005D7189">
        <w:rPr>
          <w:rFonts w:ascii="Arial" w:hAnsi="Arial" w:cs="Arial"/>
          <w:szCs w:val="24"/>
        </w:rPr>
        <w:t>Challenges in practice include resource constraints, staff workloads, organisational silos, and cultural resistance to shifting from task-oriented to relational care. Partnership working can be hindered by poor communication or differing priorities.</w:t>
      </w:r>
    </w:p>
    <w:p w14:paraId="0F586EC4" w14:textId="7596A76A" w:rsidR="00C50D4E" w:rsidRDefault="00FA5FDB" w:rsidP="004A3695">
      <w:pPr>
        <w:rPr>
          <w:rFonts w:ascii="Arial" w:hAnsi="Arial" w:cs="Arial"/>
          <w:szCs w:val="24"/>
        </w:rPr>
      </w:pPr>
      <w:r w:rsidRPr="005D7189">
        <w:rPr>
          <w:rFonts w:ascii="Arial" w:hAnsi="Arial" w:cs="Arial"/>
          <w:szCs w:val="24"/>
        </w:rPr>
        <w:lastRenderedPageBreak/>
        <w:t>Ethics may clash with systemic pressures, such as time-limited appointments or risk-averse commissioning</w:t>
      </w:r>
      <w:r w:rsidR="004A6EF7" w:rsidRPr="005D7189">
        <w:rPr>
          <w:rFonts w:ascii="Arial" w:hAnsi="Arial" w:cs="Arial"/>
          <w:szCs w:val="24"/>
        </w:rPr>
        <w:t xml:space="preserve"> t</w:t>
      </w:r>
      <w:r w:rsidR="00937938" w:rsidRPr="005D7189">
        <w:rPr>
          <w:rFonts w:ascii="Arial" w:hAnsi="Arial" w:cs="Arial"/>
          <w:szCs w:val="24"/>
        </w:rPr>
        <w:t>o address these, integrated care systems should invest in training (e.g., Values-Based Reflective Practice), technology for coordinated records, and leadership that embeds the NHS personalised care model. Regular co-production with service users, outcome measurement focused on what matters to individuals, and adequate funding for multidisciplinary teams are essential. By prioritising these concepts, UK services can tackle fragmentation, improve equity, enhance outcomes, and deliver sustainable, humane care amid demographic pressures</w:t>
      </w:r>
      <w:r w:rsidR="00F83777" w:rsidRPr="005D7189">
        <w:rPr>
          <w:rFonts w:ascii="Arial" w:hAnsi="Arial" w:cs="Arial"/>
          <w:szCs w:val="24"/>
        </w:rPr>
        <w:t xml:space="preserve"> </w:t>
      </w:r>
      <w:r w:rsidR="004A6EF7" w:rsidRPr="005D7189">
        <w:rPr>
          <w:rFonts w:ascii="Arial" w:hAnsi="Arial" w:cs="Arial"/>
          <w:szCs w:val="24"/>
        </w:rPr>
        <w:t>NHS England (2024)</w:t>
      </w:r>
    </w:p>
    <w:p w14:paraId="6EE5FE7A" w14:textId="3FFDF490" w:rsidR="00D103CE" w:rsidRPr="00687D73" w:rsidRDefault="00B66D3A" w:rsidP="00D103CE">
      <w:pPr>
        <w:rPr>
          <w:rFonts w:ascii="Arial" w:hAnsi="Arial" w:cs="Arial"/>
          <w:szCs w:val="24"/>
        </w:rPr>
      </w:pPr>
      <w:r w:rsidRPr="00A21EDA">
        <w:rPr>
          <w:rFonts w:ascii="Arial" w:hAnsi="Arial" w:cs="Arial"/>
          <w:b/>
          <w:bCs/>
          <w:szCs w:val="24"/>
        </w:rPr>
        <w:t xml:space="preserve">Self-Reflection as a Health and Social Care </w:t>
      </w:r>
      <w:r w:rsidR="00E83824" w:rsidRPr="00A21EDA">
        <w:rPr>
          <w:rFonts w:ascii="Arial" w:hAnsi="Arial" w:cs="Arial"/>
          <w:b/>
          <w:bCs/>
          <w:szCs w:val="24"/>
        </w:rPr>
        <w:t>Professional, A</w:t>
      </w:r>
      <w:r w:rsidR="00D103CE" w:rsidRPr="00A21EDA">
        <w:rPr>
          <w:rFonts w:ascii="Arial" w:hAnsi="Arial" w:cs="Arial"/>
          <w:b/>
          <w:bCs/>
          <w:szCs w:val="24"/>
        </w:rPr>
        <w:t xml:space="preserve"> Reflection Using Gibbs' Reflective Cycle</w:t>
      </w:r>
      <w:r w:rsidR="00D103CE" w:rsidRPr="00687D73">
        <w:rPr>
          <w:rFonts w:ascii="Arial" w:hAnsi="Arial" w:cs="Arial"/>
          <w:szCs w:val="24"/>
        </w:rPr>
        <w:t>.</w:t>
      </w:r>
    </w:p>
    <w:p w14:paraId="013FF73E" w14:textId="4FF1281E" w:rsidR="009D3849" w:rsidRDefault="005472D9" w:rsidP="00D103CE">
      <w:pPr>
        <w:rPr>
          <w:rFonts w:ascii="Arial" w:hAnsi="Arial" w:cs="Arial"/>
          <w:szCs w:val="24"/>
        </w:rPr>
      </w:pPr>
      <w:r w:rsidRPr="005472D9">
        <w:rPr>
          <w:rFonts w:ascii="Arial" w:hAnsi="Arial" w:cs="Arial"/>
          <w:szCs w:val="24"/>
        </w:rPr>
        <w:t>Working as a Health Care Assistant (HCA) in dementia care has highlighted the importance of continuous professional development. People living with dementia have complex physical, emotional, psychological, and social needs that require compassionate, person-centred, and evidence-based care. Reflective practice helps healthcare professionals evaluate their experiences and identify areas for improvement. Gibbs' Reflective Cycle (1988) provides a structured approach to reflection through six stages: description, feelings, evaluation, analysis, conclusion, and action plan. This reflection focuses on my future development plans and how they will improve my ability to provide high-quality dementia care.</w:t>
      </w:r>
    </w:p>
    <w:p w14:paraId="11B7B1C9" w14:textId="70E2C6AF" w:rsidR="00F62E66" w:rsidRPr="00F62E66" w:rsidRDefault="00F62E66" w:rsidP="00F62E66">
      <w:pPr>
        <w:rPr>
          <w:rFonts w:ascii="Arial" w:hAnsi="Arial" w:cs="Arial"/>
          <w:szCs w:val="24"/>
        </w:rPr>
      </w:pPr>
      <w:r w:rsidRPr="00F62E66">
        <w:rPr>
          <w:rFonts w:ascii="Arial" w:hAnsi="Arial" w:cs="Arial"/>
          <w:szCs w:val="24"/>
        </w:rPr>
        <w:t>In my role as a Health Care Assistant, I support people living with different types and stages of dementia. My daily responsibilities include assisting with personal care, supporting mobility, encouraging independence, helping with nutrition and hydration, monitoring changes in behaviour, communicating with families, and working alongside nurses and other healthcare professionals to deliver person-centred care.</w:t>
      </w:r>
    </w:p>
    <w:p w14:paraId="690DA066" w14:textId="58940F8F" w:rsidR="00F62E66" w:rsidRPr="00F62E66" w:rsidRDefault="00F62E66" w:rsidP="00F62E66">
      <w:pPr>
        <w:rPr>
          <w:rFonts w:ascii="Arial" w:hAnsi="Arial" w:cs="Arial"/>
          <w:szCs w:val="24"/>
        </w:rPr>
      </w:pPr>
      <w:r w:rsidRPr="00F62E66">
        <w:rPr>
          <w:rFonts w:ascii="Arial" w:hAnsi="Arial" w:cs="Arial"/>
          <w:szCs w:val="24"/>
        </w:rPr>
        <w:t>While I have developed practical skills and confidence, I have recognised that dementia care is constantly evolving. Some situations, such as supporting individuals who become distressed, responding to behaviours that challenge, or communicating with people who have advanced dementia, can be difficult. These experiences have shown me that I need to continue developing my knowledge and skills to provide the best possible care.</w:t>
      </w:r>
      <w:r w:rsidR="00B15916" w:rsidRPr="00B15916">
        <w:t xml:space="preserve"> </w:t>
      </w:r>
      <w:r w:rsidR="009B606D">
        <w:t>(</w:t>
      </w:r>
      <w:r w:rsidR="00B15916">
        <w:t>Gibbs, 1988</w:t>
      </w:r>
      <w:r w:rsidR="009B606D">
        <w:t>)</w:t>
      </w:r>
    </w:p>
    <w:p w14:paraId="39E7082B" w14:textId="2B775E8F" w:rsidR="00F62E66" w:rsidRDefault="00F62E66" w:rsidP="00F62E66">
      <w:pPr>
        <w:rPr>
          <w:rFonts w:ascii="Arial" w:hAnsi="Arial" w:cs="Arial"/>
          <w:szCs w:val="24"/>
        </w:rPr>
      </w:pPr>
      <w:r w:rsidRPr="00F62E66">
        <w:rPr>
          <w:rFonts w:ascii="Arial" w:hAnsi="Arial" w:cs="Arial"/>
          <w:szCs w:val="24"/>
        </w:rPr>
        <w:t>To support my professional development, I have created a structured plan. Over the next six months, I will complete advanced dementia care training, including education on the Care Act 2014, the Mental Capacity Act (MCA) 2005, safeguarding, and person-centred dementia care through my employer and recognised learning resources. I also plan to seek mentorship from experienced dementia nurses, complete a Level 5 or Level 6 Diploma in Health and Social Care with a focus on leadership and dementia care, maintain a reflective journal using Gibbs' model, attend workshops on equality and inclusion, and participate in dementia awareness events and family support groups.</w:t>
      </w:r>
      <w:r w:rsidR="007C4B1F" w:rsidRPr="007C4B1F">
        <w:t xml:space="preserve"> </w:t>
      </w:r>
      <w:r w:rsidR="00613895">
        <w:rPr>
          <w:rFonts w:ascii="Arial" w:hAnsi="Arial" w:cs="Arial"/>
          <w:szCs w:val="24"/>
        </w:rPr>
        <w:t>(</w:t>
      </w:r>
      <w:r w:rsidR="007C4B1F" w:rsidRPr="007C4B1F">
        <w:rPr>
          <w:rFonts w:ascii="Arial" w:hAnsi="Arial" w:cs="Arial"/>
          <w:szCs w:val="24"/>
        </w:rPr>
        <w:t>Care Act 2014</w:t>
      </w:r>
      <w:r w:rsidR="00613895">
        <w:rPr>
          <w:rFonts w:ascii="Arial" w:hAnsi="Arial" w:cs="Arial"/>
          <w:szCs w:val="24"/>
        </w:rPr>
        <w:t>)</w:t>
      </w:r>
    </w:p>
    <w:p w14:paraId="76F670F6" w14:textId="77777777" w:rsidR="002043A3" w:rsidRPr="002043A3" w:rsidRDefault="002043A3" w:rsidP="002043A3">
      <w:pPr>
        <w:rPr>
          <w:rFonts w:ascii="Arial" w:hAnsi="Arial" w:cs="Arial"/>
          <w:szCs w:val="24"/>
        </w:rPr>
      </w:pPr>
      <w:r w:rsidRPr="002043A3">
        <w:rPr>
          <w:rFonts w:ascii="Arial" w:hAnsi="Arial" w:cs="Arial"/>
          <w:szCs w:val="24"/>
        </w:rPr>
        <w:t>Feelings</w:t>
      </w:r>
    </w:p>
    <w:p w14:paraId="47E91211" w14:textId="598C3FA5" w:rsidR="002043A3" w:rsidRPr="002043A3" w:rsidRDefault="002043A3" w:rsidP="002043A3">
      <w:pPr>
        <w:rPr>
          <w:rFonts w:ascii="Arial" w:hAnsi="Arial" w:cs="Arial"/>
          <w:szCs w:val="24"/>
        </w:rPr>
      </w:pPr>
      <w:r w:rsidRPr="002043A3">
        <w:rPr>
          <w:rFonts w:ascii="Arial" w:hAnsi="Arial" w:cs="Arial"/>
          <w:szCs w:val="24"/>
        </w:rPr>
        <w:t>At the beginning of my role, I felt nervous when caring for people with advanced dementia because I was unsure how to respond when they became anxious,</w:t>
      </w:r>
      <w:r w:rsidR="001C249D">
        <w:rPr>
          <w:rFonts w:ascii="Arial" w:hAnsi="Arial" w:cs="Arial"/>
          <w:szCs w:val="24"/>
        </w:rPr>
        <w:t xml:space="preserve"> agitated and </w:t>
      </w:r>
      <w:r w:rsidRPr="002043A3">
        <w:rPr>
          <w:rFonts w:ascii="Arial" w:hAnsi="Arial" w:cs="Arial"/>
          <w:szCs w:val="24"/>
        </w:rPr>
        <w:t xml:space="preserve">confused, or unable to communicate their needs. I sometimes worried </w:t>
      </w:r>
      <w:r w:rsidRPr="002043A3">
        <w:rPr>
          <w:rFonts w:ascii="Arial" w:hAnsi="Arial" w:cs="Arial"/>
          <w:szCs w:val="24"/>
        </w:rPr>
        <w:lastRenderedPageBreak/>
        <w:t>that I might unintentionally increase their distress by using the wrong words or approach.</w:t>
      </w:r>
    </w:p>
    <w:p w14:paraId="2EE1BD53" w14:textId="60BD7627" w:rsidR="002043A3" w:rsidRPr="002043A3" w:rsidRDefault="002043A3" w:rsidP="002043A3">
      <w:pPr>
        <w:rPr>
          <w:rFonts w:ascii="Arial" w:hAnsi="Arial" w:cs="Arial"/>
          <w:szCs w:val="24"/>
        </w:rPr>
      </w:pPr>
      <w:r w:rsidRPr="002043A3">
        <w:rPr>
          <w:rFonts w:ascii="Arial" w:hAnsi="Arial" w:cs="Arial"/>
          <w:szCs w:val="24"/>
        </w:rPr>
        <w:t>As my experience has grown, I have become more confident in building trusting relationships with people living with dementia. However, I still recognise situations where I rely on senior staff for guidance, particularly when making decisions involving capacity, safeguarding, or managing complex behaviours.</w:t>
      </w:r>
    </w:p>
    <w:p w14:paraId="7765562F" w14:textId="2528EBE0" w:rsidR="002043A3" w:rsidRPr="00D103CE" w:rsidRDefault="002043A3" w:rsidP="002043A3">
      <w:pPr>
        <w:rPr>
          <w:rFonts w:ascii="Arial" w:hAnsi="Arial" w:cs="Arial"/>
          <w:szCs w:val="24"/>
        </w:rPr>
      </w:pPr>
      <w:r w:rsidRPr="002043A3">
        <w:rPr>
          <w:rFonts w:ascii="Arial" w:hAnsi="Arial" w:cs="Arial"/>
          <w:szCs w:val="24"/>
        </w:rPr>
        <w:t>Reflecting on my future development makes me feel motivated because I understand that improving my knowledge will help me deliver safer, more compassionate care. I also feel encouraged knowing that additional training and mentoring will strengthen both my confidence and professional competence.</w:t>
      </w:r>
    </w:p>
    <w:p w14:paraId="030AE704" w14:textId="77777777" w:rsidR="0076139D" w:rsidRPr="0076139D" w:rsidRDefault="0076139D" w:rsidP="0076139D">
      <w:pPr>
        <w:rPr>
          <w:rFonts w:ascii="Arial" w:hAnsi="Arial" w:cs="Arial"/>
          <w:szCs w:val="24"/>
        </w:rPr>
      </w:pPr>
      <w:r w:rsidRPr="0076139D">
        <w:rPr>
          <w:rFonts w:ascii="Arial" w:hAnsi="Arial" w:cs="Arial"/>
          <w:szCs w:val="24"/>
        </w:rPr>
        <w:t>Evaluation</w:t>
      </w:r>
    </w:p>
    <w:p w14:paraId="2ED254E2" w14:textId="2EC99F74" w:rsidR="0076139D" w:rsidRPr="0076139D" w:rsidRDefault="0076139D" w:rsidP="0076139D">
      <w:pPr>
        <w:rPr>
          <w:rFonts w:ascii="Arial" w:hAnsi="Arial" w:cs="Arial"/>
          <w:szCs w:val="24"/>
        </w:rPr>
      </w:pPr>
      <w:r w:rsidRPr="0076139D">
        <w:rPr>
          <w:rFonts w:ascii="Arial" w:hAnsi="Arial" w:cs="Arial"/>
          <w:szCs w:val="24"/>
        </w:rPr>
        <w:t>Reflecting on my practice, I believe I have several strengths. I treat people with dignity and respect, communicate patiently, and try to understand each person's preferences, routines, and life history. Building positive relationships with residents and their families has helped me provide more personalised care.</w:t>
      </w:r>
    </w:p>
    <w:p w14:paraId="1D6DACE9" w14:textId="7A7F4AB4" w:rsidR="0076139D" w:rsidRPr="0076139D" w:rsidRDefault="0076139D" w:rsidP="0076139D">
      <w:pPr>
        <w:rPr>
          <w:rFonts w:ascii="Arial" w:hAnsi="Arial" w:cs="Arial"/>
          <w:szCs w:val="24"/>
        </w:rPr>
      </w:pPr>
      <w:r w:rsidRPr="0076139D">
        <w:rPr>
          <w:rFonts w:ascii="Arial" w:hAnsi="Arial" w:cs="Arial"/>
          <w:szCs w:val="24"/>
        </w:rPr>
        <w:t>However, I recognise areas where I can improve. Although I understand the principles of dementia care, I would benefit from more advanced knowledge about the progression of dementia, communication techniques, non-pharmacological approaches to managing distress, and current best practice. I also want to improve my understanding of legislation such as the Care Act 2014 and the Mental Capacity Act so I can contribute more confidently to decision-making and care planning.</w:t>
      </w:r>
    </w:p>
    <w:p w14:paraId="16FF2DC2" w14:textId="138F3792" w:rsidR="00E60D04" w:rsidRDefault="0076139D" w:rsidP="0076139D">
      <w:pPr>
        <w:rPr>
          <w:rFonts w:ascii="Arial" w:hAnsi="Arial" w:cs="Arial"/>
          <w:szCs w:val="24"/>
        </w:rPr>
      </w:pPr>
      <w:r w:rsidRPr="0076139D">
        <w:rPr>
          <w:rFonts w:ascii="Arial" w:hAnsi="Arial" w:cs="Arial"/>
          <w:szCs w:val="24"/>
        </w:rPr>
        <w:t>I also recognise the need to strengthen my leadership and reflective practice skills. Developing these abilities will help me support colleagues, contribute to service improvement, and continue learning from my experiences</w:t>
      </w:r>
    </w:p>
    <w:p w14:paraId="5B47DAB2" w14:textId="77777777" w:rsidR="00CA36B3" w:rsidRPr="00CA36B3" w:rsidRDefault="00CA36B3" w:rsidP="00CA36B3">
      <w:pPr>
        <w:rPr>
          <w:rFonts w:ascii="Arial" w:hAnsi="Arial" w:cs="Arial"/>
          <w:szCs w:val="24"/>
        </w:rPr>
      </w:pPr>
      <w:r w:rsidRPr="00CA36B3">
        <w:rPr>
          <w:rFonts w:ascii="Arial" w:hAnsi="Arial" w:cs="Arial"/>
          <w:szCs w:val="24"/>
        </w:rPr>
        <w:t>Analysis</w:t>
      </w:r>
    </w:p>
    <w:p w14:paraId="36D83AB6" w14:textId="2EC7230F" w:rsidR="00CA36B3" w:rsidRPr="00CA36B3" w:rsidRDefault="00CA36B3" w:rsidP="00CA36B3">
      <w:pPr>
        <w:rPr>
          <w:rFonts w:ascii="Arial" w:hAnsi="Arial" w:cs="Arial"/>
          <w:szCs w:val="24"/>
        </w:rPr>
      </w:pPr>
      <w:r w:rsidRPr="00CA36B3">
        <w:rPr>
          <w:rFonts w:ascii="Arial" w:hAnsi="Arial" w:cs="Arial"/>
          <w:szCs w:val="24"/>
        </w:rPr>
        <w:t>People living with dementia require care that is individualised, respectful, and based on their unique life experiences. Effective dementia care extends beyond meeting physical needs; it involves promoting emotional wellbeing, maintaining identity, encouraging independence, and supporting families throughout the care journey.</w:t>
      </w:r>
    </w:p>
    <w:p w14:paraId="128ABAD9" w14:textId="20513AF3" w:rsidR="00471C4B" w:rsidRDefault="00CA36B3" w:rsidP="00CA36B3">
      <w:pPr>
        <w:rPr>
          <w:rFonts w:ascii="Arial" w:hAnsi="Arial" w:cs="Arial"/>
          <w:szCs w:val="24"/>
        </w:rPr>
      </w:pPr>
      <w:r w:rsidRPr="00CA36B3">
        <w:rPr>
          <w:rFonts w:ascii="Arial" w:hAnsi="Arial" w:cs="Arial"/>
          <w:szCs w:val="24"/>
        </w:rPr>
        <w:t>Completing advanced dementia care training will improve my understanding of the different types of dementia, communication strategies, behavioural changes, pain recognition, and evidence-based interventions. This knowledge will enable me to respond more effectively to challenging situations while reducing distress for the people I support.</w:t>
      </w:r>
    </w:p>
    <w:p w14:paraId="2AE037E7" w14:textId="77777777" w:rsidR="009F64CD" w:rsidRPr="009F64CD" w:rsidRDefault="009F64CD" w:rsidP="009F64CD">
      <w:pPr>
        <w:rPr>
          <w:rFonts w:ascii="Arial" w:hAnsi="Arial" w:cs="Arial"/>
          <w:szCs w:val="24"/>
        </w:rPr>
      </w:pPr>
      <w:r w:rsidRPr="009F64CD">
        <w:rPr>
          <w:rFonts w:ascii="Arial" w:hAnsi="Arial" w:cs="Arial"/>
          <w:szCs w:val="24"/>
        </w:rPr>
        <w:t>Learning more about the Mental Capacity Act (2005) will strengthen my ability to recognise when individuals can make their own decisions and when best-interest decisions are required. Understanding the principles of consent and least restrictive practice is particularly important in dementia care, where a person's capacity may change over time.</w:t>
      </w:r>
    </w:p>
    <w:p w14:paraId="496079B8" w14:textId="216113CF" w:rsidR="009F64CD" w:rsidRPr="009F64CD" w:rsidRDefault="009F64CD" w:rsidP="009F64CD">
      <w:pPr>
        <w:rPr>
          <w:rFonts w:ascii="Arial" w:hAnsi="Arial" w:cs="Arial"/>
          <w:szCs w:val="24"/>
        </w:rPr>
      </w:pPr>
      <w:r w:rsidRPr="009F64CD">
        <w:rPr>
          <w:rFonts w:ascii="Arial" w:hAnsi="Arial" w:cs="Arial"/>
          <w:szCs w:val="24"/>
        </w:rPr>
        <w:t xml:space="preserve">Seeking mentorship from experienced dementia nurses and senior carers will also support my professional growth. Their practical experience in managing complex </w:t>
      </w:r>
      <w:r w:rsidRPr="009F64CD">
        <w:rPr>
          <w:rFonts w:ascii="Arial" w:hAnsi="Arial" w:cs="Arial"/>
          <w:szCs w:val="24"/>
        </w:rPr>
        <w:lastRenderedPageBreak/>
        <w:t>situations, supporting families, and leading multidisciplinary care will provide valuable learning opportunities that complement formal education.</w:t>
      </w:r>
    </w:p>
    <w:p w14:paraId="21DB1632" w14:textId="765E545D" w:rsidR="00420865" w:rsidRDefault="009F64CD" w:rsidP="003E5BF7">
      <w:r w:rsidRPr="009F64CD">
        <w:rPr>
          <w:rFonts w:ascii="Arial" w:hAnsi="Arial" w:cs="Arial"/>
          <w:szCs w:val="24"/>
        </w:rPr>
        <w:t xml:space="preserve">Completing Level 5 </w:t>
      </w:r>
      <w:r w:rsidR="00427FFC">
        <w:rPr>
          <w:rFonts w:ascii="Arial" w:hAnsi="Arial" w:cs="Arial"/>
          <w:szCs w:val="24"/>
        </w:rPr>
        <w:t>and</w:t>
      </w:r>
      <w:r w:rsidRPr="009F64CD">
        <w:rPr>
          <w:rFonts w:ascii="Arial" w:hAnsi="Arial" w:cs="Arial"/>
          <w:szCs w:val="24"/>
        </w:rPr>
        <w:t xml:space="preserve"> Level 6 Diploma in Health and Social Care will further develop my leadership skills and prepare me for future career progression. The qualification will increase my understanding of dementia care management, quality improvement, safeguarding, and integrated working across health and social care services.</w:t>
      </w:r>
      <w:r w:rsidR="003E5BF7" w:rsidRPr="003E5BF7">
        <w:t xml:space="preserve"> </w:t>
      </w:r>
    </w:p>
    <w:p w14:paraId="0F942595" w14:textId="41C79CE7" w:rsidR="003E5BF7" w:rsidRPr="003E5BF7" w:rsidRDefault="003E5BF7" w:rsidP="003E5BF7">
      <w:pPr>
        <w:rPr>
          <w:rFonts w:ascii="Arial" w:hAnsi="Arial" w:cs="Arial"/>
          <w:szCs w:val="24"/>
        </w:rPr>
      </w:pPr>
      <w:r w:rsidRPr="003E5BF7">
        <w:rPr>
          <w:rFonts w:ascii="Arial" w:hAnsi="Arial" w:cs="Arial"/>
          <w:szCs w:val="24"/>
        </w:rPr>
        <w:t>Using Gibbs' Reflective Cycle regularly will help me evaluate my practice after challenging situations. By reflecting on what happened, how I responded, and what I could improve, I can continually enhance the quality of care I provide.</w:t>
      </w:r>
    </w:p>
    <w:p w14:paraId="2C94537C" w14:textId="41728472" w:rsidR="009F64CD" w:rsidRDefault="003E5BF7" w:rsidP="003E5BF7">
      <w:pPr>
        <w:rPr>
          <w:rFonts w:ascii="Arial" w:hAnsi="Arial" w:cs="Arial"/>
          <w:szCs w:val="24"/>
        </w:rPr>
      </w:pPr>
      <w:r w:rsidRPr="003E5BF7">
        <w:rPr>
          <w:rFonts w:ascii="Arial" w:hAnsi="Arial" w:cs="Arial"/>
          <w:szCs w:val="24"/>
        </w:rPr>
        <w:t>Attending equality, diversity, and inclusion training will also improve my dementia care practice. People experience dementia differently depending on their culture, language, religion, beliefs, and personal background. Understanding these differences will help me deliver culturally sensitive care while promoting equality and respecting each individual's identity.</w:t>
      </w:r>
    </w:p>
    <w:p w14:paraId="70CF0D79" w14:textId="578CD058" w:rsidR="00471C4B" w:rsidRDefault="00C21B43" w:rsidP="004A3695">
      <w:pPr>
        <w:rPr>
          <w:rFonts w:ascii="Arial" w:hAnsi="Arial" w:cs="Arial"/>
          <w:szCs w:val="24"/>
        </w:rPr>
      </w:pPr>
      <w:r w:rsidRPr="00C21B43">
        <w:rPr>
          <w:rFonts w:ascii="Arial" w:hAnsi="Arial" w:cs="Arial"/>
          <w:szCs w:val="24"/>
        </w:rPr>
        <w:t>Finally, participating in dementia awareness events and listening to carers' experiences will help me better understand the emotional impact dementia has on families. This insight will improve my communication with relatives and strengthen the person-centred approach that is essential in dementia care.</w:t>
      </w:r>
    </w:p>
    <w:p w14:paraId="146FBA45" w14:textId="77777777" w:rsidR="00A47A3C" w:rsidRPr="00A47A3C" w:rsidRDefault="00A47A3C" w:rsidP="00A47A3C">
      <w:pPr>
        <w:rPr>
          <w:rFonts w:ascii="Arial" w:hAnsi="Arial" w:cs="Arial"/>
          <w:szCs w:val="24"/>
        </w:rPr>
      </w:pPr>
      <w:r w:rsidRPr="00A47A3C">
        <w:rPr>
          <w:rFonts w:ascii="Arial" w:hAnsi="Arial" w:cs="Arial"/>
          <w:szCs w:val="24"/>
        </w:rPr>
        <w:t>Conclusion</w:t>
      </w:r>
    </w:p>
    <w:p w14:paraId="2D82C119" w14:textId="1BE06013" w:rsidR="00A47A3C" w:rsidRPr="00A47A3C" w:rsidRDefault="00A47A3C" w:rsidP="00A47A3C">
      <w:pPr>
        <w:rPr>
          <w:rFonts w:ascii="Arial" w:hAnsi="Arial" w:cs="Arial"/>
          <w:szCs w:val="24"/>
        </w:rPr>
      </w:pPr>
      <w:r w:rsidRPr="00A47A3C">
        <w:rPr>
          <w:rFonts w:ascii="Arial" w:hAnsi="Arial" w:cs="Arial"/>
          <w:szCs w:val="24"/>
        </w:rPr>
        <w:t>This reflection has highlighted the importance of lifelong learning within dementia care. Although I have developed valuable practical skills as a Health Care Assistant, I recognise that continuous professional development is essential to meet the complex needs of people living with dementia.</w:t>
      </w:r>
    </w:p>
    <w:p w14:paraId="0C36AE95" w14:textId="77777777" w:rsidR="00A47A3C" w:rsidRPr="00A47A3C" w:rsidRDefault="00A47A3C" w:rsidP="00A47A3C">
      <w:pPr>
        <w:rPr>
          <w:rFonts w:ascii="Arial" w:hAnsi="Arial" w:cs="Arial"/>
          <w:szCs w:val="24"/>
        </w:rPr>
      </w:pPr>
      <w:r w:rsidRPr="00A47A3C">
        <w:rPr>
          <w:rFonts w:ascii="Arial" w:hAnsi="Arial" w:cs="Arial"/>
          <w:szCs w:val="24"/>
        </w:rPr>
        <w:t>By completing advanced training, studying relevant legislation, seeking mentorship, undertaking a higher qualification, reflecting regularly on my practice, and engaging with families and the wider community, I will become a more knowledgeable and confident healthcare professional.</w:t>
      </w:r>
    </w:p>
    <w:p w14:paraId="0B04BC19" w14:textId="1EB432A2" w:rsidR="00247E60" w:rsidRDefault="00A47A3C" w:rsidP="00A47A3C">
      <w:pPr>
        <w:rPr>
          <w:rFonts w:ascii="Arial" w:hAnsi="Arial" w:cs="Arial"/>
          <w:szCs w:val="24"/>
        </w:rPr>
      </w:pPr>
      <w:r w:rsidRPr="00A47A3C">
        <w:rPr>
          <w:rFonts w:ascii="Arial" w:hAnsi="Arial" w:cs="Arial"/>
          <w:szCs w:val="24"/>
        </w:rPr>
        <w:t>These development activities will enhance my communication, clinical judgement, leadership, and ability to provide compassionate, person-centred dementia care that promotes dignity, independence, safety, and quality of life.</w:t>
      </w:r>
    </w:p>
    <w:p w14:paraId="34202218" w14:textId="77777777" w:rsidR="00471C4B" w:rsidRDefault="00471C4B" w:rsidP="004A3695">
      <w:pPr>
        <w:rPr>
          <w:rFonts w:ascii="Arial" w:hAnsi="Arial" w:cs="Arial"/>
          <w:szCs w:val="24"/>
        </w:rPr>
      </w:pPr>
    </w:p>
    <w:p w14:paraId="643A08AE" w14:textId="77777777" w:rsidR="00471C4B" w:rsidRDefault="00471C4B" w:rsidP="004A3695">
      <w:pPr>
        <w:rPr>
          <w:rFonts w:ascii="Arial" w:hAnsi="Arial" w:cs="Arial"/>
          <w:szCs w:val="24"/>
        </w:rPr>
      </w:pPr>
    </w:p>
    <w:p w14:paraId="45ABF291" w14:textId="77777777" w:rsidR="00227D31" w:rsidRDefault="00227D31" w:rsidP="004A3695">
      <w:pPr>
        <w:rPr>
          <w:rFonts w:ascii="Arial" w:hAnsi="Arial" w:cs="Arial"/>
          <w:szCs w:val="24"/>
        </w:rPr>
      </w:pPr>
    </w:p>
    <w:p w14:paraId="4E6FC750" w14:textId="77777777" w:rsidR="00227D31" w:rsidRDefault="00227D31" w:rsidP="004A3695">
      <w:pPr>
        <w:rPr>
          <w:rFonts w:ascii="Arial" w:hAnsi="Arial" w:cs="Arial"/>
          <w:szCs w:val="24"/>
        </w:rPr>
      </w:pPr>
    </w:p>
    <w:p w14:paraId="367C7A0A" w14:textId="77777777" w:rsidR="00227D31" w:rsidRDefault="00227D31" w:rsidP="004A3695">
      <w:pPr>
        <w:rPr>
          <w:rFonts w:ascii="Arial" w:hAnsi="Arial" w:cs="Arial"/>
          <w:szCs w:val="24"/>
        </w:rPr>
      </w:pPr>
    </w:p>
    <w:p w14:paraId="4544C806" w14:textId="77777777" w:rsidR="00227D31" w:rsidRDefault="00227D31" w:rsidP="004A3695">
      <w:pPr>
        <w:rPr>
          <w:rFonts w:ascii="Arial" w:hAnsi="Arial" w:cs="Arial"/>
          <w:szCs w:val="24"/>
        </w:rPr>
      </w:pPr>
    </w:p>
    <w:p w14:paraId="5D3DCD97" w14:textId="77777777" w:rsidR="00227D31" w:rsidRDefault="00227D31" w:rsidP="004A3695">
      <w:pPr>
        <w:rPr>
          <w:rFonts w:ascii="Arial" w:hAnsi="Arial" w:cs="Arial"/>
          <w:szCs w:val="24"/>
        </w:rPr>
      </w:pPr>
    </w:p>
    <w:p w14:paraId="6410996E" w14:textId="77777777" w:rsidR="00227D31" w:rsidRDefault="00227D31" w:rsidP="004A3695">
      <w:pPr>
        <w:rPr>
          <w:rFonts w:ascii="Arial" w:hAnsi="Arial" w:cs="Arial"/>
          <w:szCs w:val="24"/>
        </w:rPr>
      </w:pPr>
    </w:p>
    <w:p w14:paraId="7A1862B5" w14:textId="205381BA" w:rsidR="00747D39" w:rsidRPr="00747D39" w:rsidRDefault="00747D39" w:rsidP="00747D39">
      <w:pPr>
        <w:spacing w:before="100" w:beforeAutospacing="1" w:after="100" w:afterAutospacing="1" w:line="240" w:lineRule="auto"/>
        <w:outlineLvl w:val="2"/>
        <w:rPr>
          <w:rFonts w:eastAsia="Times New Roman" w:cs="Times New Roman"/>
          <w:b/>
          <w:bCs/>
          <w:sz w:val="27"/>
          <w:szCs w:val="27"/>
          <w:lang w:eastAsia="en-GB"/>
        </w:rPr>
      </w:pPr>
      <w:r w:rsidRPr="00747D39">
        <w:rPr>
          <w:rFonts w:eastAsia="Times New Roman" w:cs="Times New Roman"/>
          <w:b/>
          <w:bCs/>
          <w:sz w:val="27"/>
          <w:szCs w:val="27"/>
          <w:lang w:eastAsia="en-GB"/>
        </w:rPr>
        <w:lastRenderedPageBreak/>
        <w:t>Reference</w:t>
      </w:r>
    </w:p>
    <w:p w14:paraId="148FB730" w14:textId="77777777" w:rsidR="00747D39" w:rsidRPr="00747D39" w:rsidRDefault="00747D39" w:rsidP="00747D39">
      <w:pPr>
        <w:spacing w:before="100" w:beforeAutospacing="1" w:after="100" w:afterAutospacing="1" w:line="240" w:lineRule="auto"/>
        <w:rPr>
          <w:rFonts w:eastAsia="Times New Roman" w:cs="Times New Roman"/>
          <w:szCs w:val="24"/>
          <w:lang w:eastAsia="en-GB"/>
        </w:rPr>
      </w:pPr>
      <w:r w:rsidRPr="00747D39">
        <w:rPr>
          <w:rFonts w:eastAsia="Times New Roman" w:cs="Times New Roman"/>
          <w:szCs w:val="24"/>
          <w:lang w:eastAsia="en-GB"/>
        </w:rPr>
        <w:t xml:space="preserve">Care Quality Commission (CQC) (n.d.) </w:t>
      </w:r>
      <w:r w:rsidRPr="00747D39">
        <w:rPr>
          <w:rFonts w:eastAsia="Times New Roman" w:cs="Times New Roman"/>
          <w:i/>
          <w:iCs/>
          <w:szCs w:val="24"/>
          <w:lang w:eastAsia="en-GB"/>
        </w:rPr>
        <w:t>Regulation 9: Person-centred care</w:t>
      </w:r>
      <w:r w:rsidRPr="00747D39">
        <w:rPr>
          <w:rFonts w:eastAsia="Times New Roman" w:cs="Times New Roman"/>
          <w:szCs w:val="24"/>
          <w:lang w:eastAsia="en-GB"/>
        </w:rPr>
        <w:t xml:space="preserve">. Available at: </w:t>
      </w:r>
      <w:hyperlink r:id="rId10" w:tgtFrame="_new" w:history="1">
        <w:r w:rsidRPr="00747D39">
          <w:rPr>
            <w:rFonts w:eastAsia="Times New Roman" w:cs="Times New Roman"/>
            <w:color w:val="0000FF"/>
            <w:szCs w:val="24"/>
            <w:u w:val="single"/>
            <w:lang w:eastAsia="en-GB"/>
          </w:rPr>
          <w:t>https://www.cqc.org.uk/guidance-regulation/providers/regulations-service-providers-and-managers/health-social-care-act/regulation-9</w:t>
        </w:r>
      </w:hyperlink>
      <w:r w:rsidRPr="00747D39">
        <w:rPr>
          <w:rFonts w:eastAsia="Times New Roman" w:cs="Times New Roman"/>
          <w:szCs w:val="24"/>
          <w:lang w:eastAsia="en-GB"/>
        </w:rPr>
        <w:t xml:space="preserve"> (Accessed: 3 July 2026).</w:t>
      </w:r>
    </w:p>
    <w:p w14:paraId="6873629C" w14:textId="77777777" w:rsidR="00747D39" w:rsidRPr="00747D39" w:rsidRDefault="00747D39" w:rsidP="00747D39">
      <w:pPr>
        <w:spacing w:before="100" w:beforeAutospacing="1" w:after="100" w:afterAutospacing="1" w:line="240" w:lineRule="auto"/>
        <w:rPr>
          <w:rFonts w:eastAsia="Times New Roman" w:cs="Times New Roman"/>
          <w:szCs w:val="24"/>
          <w:lang w:eastAsia="en-GB"/>
        </w:rPr>
      </w:pPr>
      <w:r w:rsidRPr="00747D39">
        <w:rPr>
          <w:rFonts w:eastAsia="Times New Roman" w:cs="Times New Roman"/>
          <w:szCs w:val="24"/>
          <w:lang w:eastAsia="en-GB"/>
        </w:rPr>
        <w:t xml:space="preserve">Coulter, A. and Oldham, J. (2016) ‘Person-centred care: what is it and how do we get there?’, </w:t>
      </w:r>
      <w:r w:rsidRPr="00747D39">
        <w:rPr>
          <w:rFonts w:eastAsia="Times New Roman" w:cs="Times New Roman"/>
          <w:i/>
          <w:iCs/>
          <w:szCs w:val="24"/>
          <w:lang w:eastAsia="en-GB"/>
        </w:rPr>
        <w:t>Future Hospital Journal</w:t>
      </w:r>
      <w:r w:rsidRPr="00747D39">
        <w:rPr>
          <w:rFonts w:eastAsia="Times New Roman" w:cs="Times New Roman"/>
          <w:szCs w:val="24"/>
          <w:lang w:eastAsia="en-GB"/>
        </w:rPr>
        <w:t xml:space="preserve">, 3(2), pp. 114–116. Available at: </w:t>
      </w:r>
      <w:hyperlink r:id="rId11" w:tgtFrame="_new" w:history="1">
        <w:r w:rsidRPr="00747D39">
          <w:rPr>
            <w:rFonts w:eastAsia="Times New Roman" w:cs="Times New Roman"/>
            <w:color w:val="0000FF"/>
            <w:szCs w:val="24"/>
            <w:u w:val="single"/>
            <w:lang w:eastAsia="en-GB"/>
          </w:rPr>
          <w:t>https://pmc.ncbi.nlm.nih.gov/articles/PMC6465833/</w:t>
        </w:r>
      </w:hyperlink>
      <w:r w:rsidRPr="00747D39">
        <w:rPr>
          <w:rFonts w:eastAsia="Times New Roman" w:cs="Times New Roman"/>
          <w:szCs w:val="24"/>
          <w:lang w:eastAsia="en-GB"/>
        </w:rPr>
        <w:t xml:space="preserve"> (Accessed: 3 July 2026).</w:t>
      </w:r>
    </w:p>
    <w:p w14:paraId="2D9AE106" w14:textId="77777777" w:rsidR="00747D39" w:rsidRPr="00747D39" w:rsidRDefault="00747D39" w:rsidP="00747D39">
      <w:pPr>
        <w:spacing w:before="100" w:beforeAutospacing="1" w:after="100" w:afterAutospacing="1" w:line="240" w:lineRule="auto"/>
        <w:rPr>
          <w:rFonts w:eastAsia="Times New Roman" w:cs="Times New Roman"/>
          <w:szCs w:val="24"/>
          <w:lang w:eastAsia="en-GB"/>
        </w:rPr>
      </w:pPr>
      <w:r w:rsidRPr="00747D39">
        <w:rPr>
          <w:rFonts w:eastAsia="Times New Roman" w:cs="Times New Roman"/>
          <w:szCs w:val="24"/>
          <w:lang w:eastAsia="en-GB"/>
        </w:rPr>
        <w:t xml:space="preserve">Department of Health and Social Care (2023) </w:t>
      </w:r>
      <w:r w:rsidRPr="00747D39">
        <w:rPr>
          <w:rFonts w:eastAsia="Times New Roman" w:cs="Times New Roman"/>
          <w:i/>
          <w:iCs/>
          <w:szCs w:val="24"/>
          <w:lang w:eastAsia="en-GB"/>
        </w:rPr>
        <w:t>The NHS Constitution for England</w:t>
      </w:r>
      <w:r w:rsidRPr="00747D39">
        <w:rPr>
          <w:rFonts w:eastAsia="Times New Roman" w:cs="Times New Roman"/>
          <w:szCs w:val="24"/>
          <w:lang w:eastAsia="en-GB"/>
        </w:rPr>
        <w:t xml:space="preserve">. Available at: </w:t>
      </w:r>
      <w:hyperlink r:id="rId12" w:tgtFrame="_new" w:history="1">
        <w:r w:rsidRPr="00747D39">
          <w:rPr>
            <w:rFonts w:eastAsia="Times New Roman" w:cs="Times New Roman"/>
            <w:color w:val="0000FF"/>
            <w:szCs w:val="24"/>
            <w:u w:val="single"/>
            <w:lang w:eastAsia="en-GB"/>
          </w:rPr>
          <w:t>https://www.gov.uk/government/publications/the-nhs-constitution-for-england/the-nhs-constitution-for-england</w:t>
        </w:r>
      </w:hyperlink>
      <w:r w:rsidRPr="00747D39">
        <w:rPr>
          <w:rFonts w:eastAsia="Times New Roman" w:cs="Times New Roman"/>
          <w:szCs w:val="24"/>
          <w:lang w:eastAsia="en-GB"/>
        </w:rPr>
        <w:t xml:space="preserve"> (Accessed: 3 July 2026).</w:t>
      </w:r>
    </w:p>
    <w:p w14:paraId="29B781AA" w14:textId="77777777" w:rsidR="00747D39" w:rsidRPr="00747D39" w:rsidRDefault="00747D39" w:rsidP="00747D39">
      <w:pPr>
        <w:spacing w:before="100" w:beforeAutospacing="1" w:after="100" w:afterAutospacing="1" w:line="240" w:lineRule="auto"/>
        <w:rPr>
          <w:rFonts w:eastAsia="Times New Roman" w:cs="Times New Roman"/>
          <w:szCs w:val="24"/>
          <w:lang w:eastAsia="en-GB"/>
        </w:rPr>
      </w:pPr>
      <w:r w:rsidRPr="00747D39">
        <w:rPr>
          <w:rFonts w:eastAsia="Times New Roman" w:cs="Times New Roman"/>
          <w:szCs w:val="24"/>
          <w:lang w:eastAsia="en-GB"/>
        </w:rPr>
        <w:t xml:space="preserve">Gibbs, G. (1988) </w:t>
      </w:r>
      <w:r w:rsidRPr="00747D39">
        <w:rPr>
          <w:rFonts w:eastAsia="Times New Roman" w:cs="Times New Roman"/>
          <w:i/>
          <w:iCs/>
          <w:szCs w:val="24"/>
          <w:lang w:eastAsia="en-GB"/>
        </w:rPr>
        <w:t>Learning by Doing: A Guide to Teaching and Learning Methods</w:t>
      </w:r>
      <w:r w:rsidRPr="00747D39">
        <w:rPr>
          <w:rFonts w:eastAsia="Times New Roman" w:cs="Times New Roman"/>
          <w:szCs w:val="24"/>
          <w:lang w:eastAsia="en-GB"/>
        </w:rPr>
        <w:t>. Oxford: Oxford Polytechnic.</w:t>
      </w:r>
    </w:p>
    <w:p w14:paraId="7FF63277" w14:textId="77777777" w:rsidR="00747D39" w:rsidRPr="00747D39" w:rsidRDefault="00747D39" w:rsidP="00747D39">
      <w:pPr>
        <w:spacing w:before="100" w:beforeAutospacing="1" w:after="100" w:afterAutospacing="1" w:line="240" w:lineRule="auto"/>
        <w:rPr>
          <w:rFonts w:eastAsia="Times New Roman" w:cs="Times New Roman"/>
          <w:szCs w:val="24"/>
          <w:lang w:eastAsia="en-GB"/>
        </w:rPr>
      </w:pPr>
      <w:r w:rsidRPr="00747D39">
        <w:rPr>
          <w:rFonts w:eastAsia="Times New Roman" w:cs="Times New Roman"/>
          <w:szCs w:val="24"/>
          <w:lang w:eastAsia="en-GB"/>
        </w:rPr>
        <w:t xml:space="preserve">Health Education England (HEE) (n.d.) </w:t>
      </w:r>
      <w:r w:rsidRPr="00747D39">
        <w:rPr>
          <w:rFonts w:eastAsia="Times New Roman" w:cs="Times New Roman"/>
          <w:i/>
          <w:iCs/>
          <w:szCs w:val="24"/>
          <w:lang w:eastAsia="en-GB"/>
        </w:rPr>
        <w:t>Person-centred care</w:t>
      </w:r>
      <w:r w:rsidRPr="00747D39">
        <w:rPr>
          <w:rFonts w:eastAsia="Times New Roman" w:cs="Times New Roman"/>
          <w:szCs w:val="24"/>
          <w:lang w:eastAsia="en-GB"/>
        </w:rPr>
        <w:t xml:space="preserve">. Available at: </w:t>
      </w:r>
      <w:hyperlink r:id="rId13" w:tgtFrame="_new" w:history="1">
        <w:r w:rsidRPr="00747D39">
          <w:rPr>
            <w:rFonts w:eastAsia="Times New Roman" w:cs="Times New Roman"/>
            <w:color w:val="0000FF"/>
            <w:szCs w:val="24"/>
            <w:u w:val="single"/>
            <w:lang w:eastAsia="en-GB"/>
          </w:rPr>
          <w:t>https://www.hee.nhs.uk/our-work/person-centred-care</w:t>
        </w:r>
      </w:hyperlink>
      <w:r w:rsidRPr="00747D39">
        <w:rPr>
          <w:rFonts w:eastAsia="Times New Roman" w:cs="Times New Roman"/>
          <w:szCs w:val="24"/>
          <w:lang w:eastAsia="en-GB"/>
        </w:rPr>
        <w:t xml:space="preserve"> (Accessed: 3 July 2026).</w:t>
      </w:r>
    </w:p>
    <w:p w14:paraId="22FB0C06" w14:textId="77777777" w:rsidR="00747D39" w:rsidRPr="00747D39" w:rsidRDefault="00747D39" w:rsidP="00747D39">
      <w:pPr>
        <w:spacing w:before="100" w:beforeAutospacing="1" w:after="100" w:afterAutospacing="1" w:line="240" w:lineRule="auto"/>
        <w:rPr>
          <w:rFonts w:eastAsia="Times New Roman" w:cs="Times New Roman"/>
          <w:szCs w:val="24"/>
          <w:lang w:eastAsia="en-GB"/>
        </w:rPr>
      </w:pPr>
      <w:r w:rsidRPr="00747D39">
        <w:rPr>
          <w:rFonts w:eastAsia="Times New Roman" w:cs="Times New Roman"/>
          <w:szCs w:val="24"/>
          <w:lang w:eastAsia="en-GB"/>
        </w:rPr>
        <w:t xml:space="preserve">Health Foundation (2014) </w:t>
      </w:r>
      <w:r w:rsidRPr="00747D39">
        <w:rPr>
          <w:rFonts w:eastAsia="Times New Roman" w:cs="Times New Roman"/>
          <w:i/>
          <w:iCs/>
          <w:szCs w:val="24"/>
          <w:lang w:eastAsia="en-GB"/>
        </w:rPr>
        <w:t>Person-centred care made simple</w:t>
      </w:r>
      <w:r w:rsidRPr="00747D39">
        <w:rPr>
          <w:rFonts w:eastAsia="Times New Roman" w:cs="Times New Roman"/>
          <w:szCs w:val="24"/>
          <w:lang w:eastAsia="en-GB"/>
        </w:rPr>
        <w:t xml:space="preserve">. Available at: </w:t>
      </w:r>
      <w:hyperlink r:id="rId14" w:tgtFrame="_new" w:history="1">
        <w:r w:rsidRPr="00747D39">
          <w:rPr>
            <w:rFonts w:eastAsia="Times New Roman" w:cs="Times New Roman"/>
            <w:color w:val="0000FF"/>
            <w:szCs w:val="24"/>
            <w:u w:val="single"/>
            <w:lang w:eastAsia="en-GB"/>
          </w:rPr>
          <w:t>https://www.health.org.uk/sites/default/files/PersonCentredCareMadeSimple.pdf</w:t>
        </w:r>
      </w:hyperlink>
      <w:r w:rsidRPr="00747D39">
        <w:rPr>
          <w:rFonts w:eastAsia="Times New Roman" w:cs="Times New Roman"/>
          <w:szCs w:val="24"/>
          <w:lang w:eastAsia="en-GB"/>
        </w:rPr>
        <w:t xml:space="preserve"> (Accessed: 3 July 2026).</w:t>
      </w:r>
    </w:p>
    <w:p w14:paraId="14090159" w14:textId="77777777" w:rsidR="00747D39" w:rsidRPr="00747D39" w:rsidRDefault="00747D39" w:rsidP="00747D39">
      <w:pPr>
        <w:spacing w:before="100" w:beforeAutospacing="1" w:after="100" w:afterAutospacing="1" w:line="240" w:lineRule="auto"/>
        <w:rPr>
          <w:rFonts w:eastAsia="Times New Roman" w:cs="Times New Roman"/>
          <w:szCs w:val="24"/>
          <w:lang w:eastAsia="en-GB"/>
        </w:rPr>
      </w:pPr>
      <w:r w:rsidRPr="00747D39">
        <w:rPr>
          <w:rFonts w:eastAsia="Times New Roman" w:cs="Times New Roman"/>
          <w:szCs w:val="24"/>
          <w:lang w:eastAsia="en-GB"/>
        </w:rPr>
        <w:t xml:space="preserve">HM Government (2005) </w:t>
      </w:r>
      <w:r w:rsidRPr="00747D39">
        <w:rPr>
          <w:rFonts w:eastAsia="Times New Roman" w:cs="Times New Roman"/>
          <w:i/>
          <w:iCs/>
          <w:szCs w:val="24"/>
          <w:lang w:eastAsia="en-GB"/>
        </w:rPr>
        <w:t>Mental Capacity Act 2005</w:t>
      </w:r>
      <w:r w:rsidRPr="00747D39">
        <w:rPr>
          <w:rFonts w:eastAsia="Times New Roman" w:cs="Times New Roman"/>
          <w:szCs w:val="24"/>
          <w:lang w:eastAsia="en-GB"/>
        </w:rPr>
        <w:t>. London: The Stationery Office.</w:t>
      </w:r>
    </w:p>
    <w:p w14:paraId="38856B87" w14:textId="77777777" w:rsidR="00747D39" w:rsidRPr="00747D39" w:rsidRDefault="00747D39" w:rsidP="00747D39">
      <w:pPr>
        <w:spacing w:before="100" w:beforeAutospacing="1" w:after="100" w:afterAutospacing="1" w:line="240" w:lineRule="auto"/>
        <w:rPr>
          <w:rFonts w:eastAsia="Times New Roman" w:cs="Times New Roman"/>
          <w:szCs w:val="24"/>
          <w:lang w:eastAsia="en-GB"/>
        </w:rPr>
      </w:pPr>
      <w:r w:rsidRPr="00747D39">
        <w:rPr>
          <w:rFonts w:eastAsia="Times New Roman" w:cs="Times New Roman"/>
          <w:szCs w:val="24"/>
          <w:lang w:eastAsia="en-GB"/>
        </w:rPr>
        <w:t xml:space="preserve">HM Government (2014) </w:t>
      </w:r>
      <w:r w:rsidRPr="00747D39">
        <w:rPr>
          <w:rFonts w:eastAsia="Times New Roman" w:cs="Times New Roman"/>
          <w:i/>
          <w:iCs/>
          <w:szCs w:val="24"/>
          <w:lang w:eastAsia="en-GB"/>
        </w:rPr>
        <w:t>Care Act 2014</w:t>
      </w:r>
      <w:r w:rsidRPr="00747D39">
        <w:rPr>
          <w:rFonts w:eastAsia="Times New Roman" w:cs="Times New Roman"/>
          <w:szCs w:val="24"/>
          <w:lang w:eastAsia="en-GB"/>
        </w:rPr>
        <w:t>. London: The Stationery Office.</w:t>
      </w:r>
    </w:p>
    <w:p w14:paraId="717AFCB9" w14:textId="77777777" w:rsidR="00747D39" w:rsidRPr="00747D39" w:rsidRDefault="00747D39" w:rsidP="00747D39">
      <w:pPr>
        <w:spacing w:before="100" w:beforeAutospacing="1" w:after="100" w:afterAutospacing="1" w:line="240" w:lineRule="auto"/>
        <w:rPr>
          <w:rFonts w:eastAsia="Times New Roman" w:cs="Times New Roman"/>
          <w:szCs w:val="24"/>
          <w:lang w:eastAsia="en-GB"/>
        </w:rPr>
      </w:pPr>
      <w:r w:rsidRPr="00747D39">
        <w:rPr>
          <w:rFonts w:eastAsia="Times New Roman" w:cs="Times New Roman"/>
          <w:szCs w:val="24"/>
          <w:lang w:eastAsia="en-GB"/>
        </w:rPr>
        <w:t xml:space="preserve">NHS England (2024) </w:t>
      </w:r>
      <w:r w:rsidRPr="00747D39">
        <w:rPr>
          <w:rFonts w:eastAsia="Times New Roman" w:cs="Times New Roman"/>
          <w:i/>
          <w:iCs/>
          <w:szCs w:val="24"/>
          <w:lang w:eastAsia="en-GB"/>
        </w:rPr>
        <w:t>Case study: How partnership working in Sefton is creating a person-centred approach to hospital discharge</w:t>
      </w:r>
      <w:r w:rsidRPr="00747D39">
        <w:rPr>
          <w:rFonts w:eastAsia="Times New Roman" w:cs="Times New Roman"/>
          <w:szCs w:val="24"/>
          <w:lang w:eastAsia="en-GB"/>
        </w:rPr>
        <w:t xml:space="preserve">. Available at: </w:t>
      </w:r>
      <w:hyperlink r:id="rId15" w:tgtFrame="_new" w:history="1">
        <w:r w:rsidRPr="00747D39">
          <w:rPr>
            <w:rFonts w:eastAsia="Times New Roman" w:cs="Times New Roman"/>
            <w:color w:val="0000FF"/>
            <w:szCs w:val="24"/>
            <w:u w:val="single"/>
            <w:lang w:eastAsia="en-GB"/>
          </w:rPr>
          <w:t>https://www.england.nhs.uk/publication/case-study-how-partnership-working-in-sefton-is-creating-a-person-centred-approach-to-hospital-discharge/</w:t>
        </w:r>
      </w:hyperlink>
      <w:r w:rsidRPr="00747D39">
        <w:rPr>
          <w:rFonts w:eastAsia="Times New Roman" w:cs="Times New Roman"/>
          <w:szCs w:val="24"/>
          <w:lang w:eastAsia="en-GB"/>
        </w:rPr>
        <w:t xml:space="preserve"> (Accessed: 3 July 2026).</w:t>
      </w:r>
    </w:p>
    <w:p w14:paraId="163E2784" w14:textId="77777777" w:rsidR="00747D39" w:rsidRPr="00747D39" w:rsidRDefault="00747D39" w:rsidP="00747D39">
      <w:pPr>
        <w:spacing w:before="100" w:beforeAutospacing="1" w:after="100" w:afterAutospacing="1" w:line="240" w:lineRule="auto"/>
        <w:rPr>
          <w:rFonts w:eastAsia="Times New Roman" w:cs="Times New Roman"/>
          <w:szCs w:val="24"/>
          <w:lang w:eastAsia="en-GB"/>
        </w:rPr>
      </w:pPr>
      <w:r w:rsidRPr="00747D39">
        <w:rPr>
          <w:rFonts w:eastAsia="Times New Roman" w:cs="Times New Roman"/>
          <w:szCs w:val="24"/>
          <w:lang w:eastAsia="en-GB"/>
        </w:rPr>
        <w:t xml:space="preserve">NHS England (n.d.) </w:t>
      </w:r>
      <w:r w:rsidRPr="00747D39">
        <w:rPr>
          <w:rFonts w:eastAsia="Times New Roman" w:cs="Times New Roman"/>
          <w:i/>
          <w:iCs/>
          <w:szCs w:val="24"/>
          <w:lang w:eastAsia="en-GB"/>
        </w:rPr>
        <w:t>Personalised care</w:t>
      </w:r>
      <w:r w:rsidRPr="00747D39">
        <w:rPr>
          <w:rFonts w:eastAsia="Times New Roman" w:cs="Times New Roman"/>
          <w:szCs w:val="24"/>
          <w:lang w:eastAsia="en-GB"/>
        </w:rPr>
        <w:t xml:space="preserve">. Available at: </w:t>
      </w:r>
      <w:hyperlink r:id="rId16" w:tgtFrame="_new" w:history="1">
        <w:r w:rsidRPr="00747D39">
          <w:rPr>
            <w:rFonts w:eastAsia="Times New Roman" w:cs="Times New Roman"/>
            <w:color w:val="0000FF"/>
            <w:szCs w:val="24"/>
            <w:u w:val="single"/>
            <w:lang w:eastAsia="en-GB"/>
          </w:rPr>
          <w:t>https://www.england.nhs.uk/personalisedcare/</w:t>
        </w:r>
      </w:hyperlink>
      <w:r w:rsidRPr="00747D39">
        <w:rPr>
          <w:rFonts w:eastAsia="Times New Roman" w:cs="Times New Roman"/>
          <w:szCs w:val="24"/>
          <w:lang w:eastAsia="en-GB"/>
        </w:rPr>
        <w:t xml:space="preserve"> (Accessed: 3 July 2026).</w:t>
      </w:r>
    </w:p>
    <w:p w14:paraId="697EB26A" w14:textId="77777777" w:rsidR="00747D39" w:rsidRPr="00747D39" w:rsidRDefault="00747D39" w:rsidP="00747D39">
      <w:pPr>
        <w:spacing w:before="100" w:beforeAutospacing="1" w:after="100" w:afterAutospacing="1" w:line="240" w:lineRule="auto"/>
        <w:rPr>
          <w:rFonts w:eastAsia="Times New Roman" w:cs="Times New Roman"/>
          <w:szCs w:val="24"/>
          <w:lang w:eastAsia="en-GB"/>
        </w:rPr>
      </w:pPr>
      <w:r w:rsidRPr="00747D39">
        <w:rPr>
          <w:rFonts w:eastAsia="Times New Roman" w:cs="Times New Roman"/>
          <w:szCs w:val="24"/>
          <w:lang w:eastAsia="en-GB"/>
        </w:rPr>
        <w:t xml:space="preserve">Skills for Health (n.d.) </w:t>
      </w:r>
      <w:r w:rsidRPr="00747D39">
        <w:rPr>
          <w:rFonts w:eastAsia="Times New Roman" w:cs="Times New Roman"/>
          <w:i/>
          <w:iCs/>
          <w:szCs w:val="24"/>
          <w:lang w:eastAsia="en-GB"/>
        </w:rPr>
        <w:t>Person-Centred Care: What it means and why it matters</w:t>
      </w:r>
      <w:r w:rsidRPr="00747D39">
        <w:rPr>
          <w:rFonts w:eastAsia="Times New Roman" w:cs="Times New Roman"/>
          <w:szCs w:val="24"/>
          <w:lang w:eastAsia="en-GB"/>
        </w:rPr>
        <w:t xml:space="preserve">. Available at: </w:t>
      </w:r>
      <w:hyperlink r:id="rId17" w:tgtFrame="_new" w:history="1">
        <w:r w:rsidRPr="00747D39">
          <w:rPr>
            <w:rFonts w:eastAsia="Times New Roman" w:cs="Times New Roman"/>
            <w:color w:val="0000FF"/>
            <w:szCs w:val="24"/>
            <w:u w:val="single"/>
            <w:lang w:eastAsia="en-GB"/>
          </w:rPr>
          <w:t>https://www.skillsforhealth.org.uk/article/person-centred-care-meaning-implications/</w:t>
        </w:r>
      </w:hyperlink>
      <w:r w:rsidRPr="00747D39">
        <w:rPr>
          <w:rFonts w:eastAsia="Times New Roman" w:cs="Times New Roman"/>
          <w:szCs w:val="24"/>
          <w:lang w:eastAsia="en-GB"/>
        </w:rPr>
        <w:t xml:space="preserve"> (Accessed: 3 July 2026).</w:t>
      </w:r>
    </w:p>
    <w:p w14:paraId="3C8F86F1" w14:textId="77777777" w:rsidR="00747D39" w:rsidRPr="00747D39" w:rsidRDefault="00747D39" w:rsidP="00747D39">
      <w:pPr>
        <w:spacing w:before="100" w:beforeAutospacing="1" w:after="100" w:afterAutospacing="1" w:line="240" w:lineRule="auto"/>
        <w:rPr>
          <w:rFonts w:eastAsia="Times New Roman" w:cs="Times New Roman"/>
          <w:szCs w:val="24"/>
          <w:lang w:eastAsia="en-GB"/>
        </w:rPr>
      </w:pPr>
      <w:r w:rsidRPr="00747D39">
        <w:rPr>
          <w:rFonts w:eastAsia="Times New Roman" w:cs="Times New Roman"/>
          <w:szCs w:val="24"/>
          <w:lang w:eastAsia="en-GB"/>
        </w:rPr>
        <w:t xml:space="preserve">Varkey, B. (2021) ‘Principles of Clinical Ethics and Their Application to Practice’, </w:t>
      </w:r>
      <w:r w:rsidRPr="00747D39">
        <w:rPr>
          <w:rFonts w:eastAsia="Times New Roman" w:cs="Times New Roman"/>
          <w:i/>
          <w:iCs/>
          <w:szCs w:val="24"/>
          <w:lang w:eastAsia="en-GB"/>
        </w:rPr>
        <w:t>Medical Principles and Practice</w:t>
      </w:r>
      <w:r w:rsidRPr="00747D39">
        <w:rPr>
          <w:rFonts w:eastAsia="Times New Roman" w:cs="Times New Roman"/>
          <w:szCs w:val="24"/>
          <w:lang w:eastAsia="en-GB"/>
        </w:rPr>
        <w:t xml:space="preserve">, 30(1), pp. 17–28. Available at: </w:t>
      </w:r>
      <w:hyperlink r:id="rId18" w:tgtFrame="_new" w:history="1">
        <w:r w:rsidRPr="00747D39">
          <w:rPr>
            <w:rFonts w:eastAsia="Times New Roman" w:cs="Times New Roman"/>
            <w:color w:val="0000FF"/>
            <w:szCs w:val="24"/>
            <w:u w:val="single"/>
            <w:lang w:eastAsia="en-GB"/>
          </w:rPr>
          <w:t>https://pmc.ncbi.nlm.nih.gov/articles/PMC7923912/</w:t>
        </w:r>
      </w:hyperlink>
      <w:r w:rsidRPr="00747D39">
        <w:rPr>
          <w:rFonts w:eastAsia="Times New Roman" w:cs="Times New Roman"/>
          <w:szCs w:val="24"/>
          <w:lang w:eastAsia="en-GB"/>
        </w:rPr>
        <w:t xml:space="preserve"> (Accessed: 3 July 2026).</w:t>
      </w:r>
    </w:p>
    <w:p w14:paraId="4DE63E5E" w14:textId="77777777" w:rsidR="001E2C4F" w:rsidRDefault="001E2C4F" w:rsidP="004A3695">
      <w:pPr>
        <w:rPr>
          <w:rFonts w:ascii="Arial" w:hAnsi="Arial" w:cs="Arial"/>
          <w:szCs w:val="24"/>
        </w:rPr>
      </w:pPr>
    </w:p>
    <w:p w14:paraId="4B42EB8E" w14:textId="77777777" w:rsidR="00227D31" w:rsidRDefault="00227D31" w:rsidP="004A3695">
      <w:pPr>
        <w:rPr>
          <w:rFonts w:ascii="Arial" w:hAnsi="Arial" w:cs="Arial"/>
          <w:szCs w:val="24"/>
        </w:rPr>
      </w:pPr>
    </w:p>
    <w:p w14:paraId="5AFFAC71" w14:textId="77777777" w:rsidR="00227D31" w:rsidRDefault="00227D31" w:rsidP="004A3695">
      <w:pPr>
        <w:rPr>
          <w:rFonts w:ascii="Arial" w:hAnsi="Arial" w:cs="Arial"/>
          <w:szCs w:val="24"/>
        </w:rPr>
      </w:pPr>
    </w:p>
    <w:p w14:paraId="5D4D0323" w14:textId="77777777" w:rsidR="00227D31" w:rsidRPr="00227D31" w:rsidRDefault="00227D31" w:rsidP="004A3695">
      <w:pPr>
        <w:rPr>
          <w:rFonts w:ascii="Arial" w:hAnsi="Arial" w:cs="Arial"/>
          <w:b/>
          <w:bCs/>
          <w:szCs w:val="24"/>
        </w:rPr>
      </w:pPr>
    </w:p>
    <w:sectPr w:rsidR="00227D31" w:rsidRPr="00227D31">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7FE76D" w14:textId="77777777" w:rsidR="00677535" w:rsidRDefault="00677535" w:rsidP="00C3603E">
      <w:pPr>
        <w:spacing w:after="0" w:line="240" w:lineRule="auto"/>
      </w:pPr>
      <w:r>
        <w:separator/>
      </w:r>
    </w:p>
  </w:endnote>
  <w:endnote w:type="continuationSeparator" w:id="0">
    <w:p w14:paraId="7B578AFE" w14:textId="77777777" w:rsidR="00677535" w:rsidRDefault="00677535" w:rsidP="00C36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993015" w14:textId="77777777" w:rsidR="003451D5" w:rsidRPr="003451D5" w:rsidRDefault="003451D5" w:rsidP="003451D5">
    <w:pPr>
      <w:pStyle w:val="Footer"/>
      <w:rPr>
        <w:rFonts w:ascii="Arial" w:hAnsi="Arial" w:cs="Arial"/>
      </w:rPr>
    </w:pPr>
    <w:r w:rsidRPr="003451D5">
      <w:rPr>
        <w:rFonts w:ascii="Arial" w:hAnsi="Arial" w:cs="Arial"/>
      </w:rPr>
      <w:t>Bahja Salah</w:t>
    </w:r>
  </w:p>
  <w:p w14:paraId="4DF88155" w14:textId="01D645BD" w:rsidR="003451D5" w:rsidRPr="003451D5" w:rsidRDefault="003451D5" w:rsidP="003451D5">
    <w:pPr>
      <w:pStyle w:val="Footer"/>
      <w:rPr>
        <w:rFonts w:ascii="Arial" w:hAnsi="Arial" w:cs="Arial"/>
      </w:rPr>
    </w:pPr>
    <w:r w:rsidRPr="003451D5">
      <w:rPr>
        <w:rFonts w:ascii="Arial" w:hAnsi="Arial" w:cs="Arial"/>
      </w:rPr>
      <w:t>ID: 2438654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B70FAE" w14:textId="77777777" w:rsidR="00677535" w:rsidRDefault="00677535" w:rsidP="00C3603E">
      <w:pPr>
        <w:spacing w:after="0" w:line="240" w:lineRule="auto"/>
      </w:pPr>
      <w:r>
        <w:separator/>
      </w:r>
    </w:p>
  </w:footnote>
  <w:footnote w:type="continuationSeparator" w:id="0">
    <w:p w14:paraId="19D60AF0" w14:textId="77777777" w:rsidR="00677535" w:rsidRDefault="00677535" w:rsidP="00C360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9A502F"/>
    <w:multiLevelType w:val="hybridMultilevel"/>
    <w:tmpl w:val="A0EE5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3362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D56"/>
    <w:rsid w:val="00001DE2"/>
    <w:rsid w:val="0003623F"/>
    <w:rsid w:val="00045EA9"/>
    <w:rsid w:val="00071DA5"/>
    <w:rsid w:val="000843D2"/>
    <w:rsid w:val="000942D0"/>
    <w:rsid w:val="000C0362"/>
    <w:rsid w:val="000D6D56"/>
    <w:rsid w:val="0010033E"/>
    <w:rsid w:val="0010114F"/>
    <w:rsid w:val="00111ABE"/>
    <w:rsid w:val="001341F0"/>
    <w:rsid w:val="00165F28"/>
    <w:rsid w:val="00192577"/>
    <w:rsid w:val="001C249D"/>
    <w:rsid w:val="001E2C4F"/>
    <w:rsid w:val="001E7996"/>
    <w:rsid w:val="001F3B7A"/>
    <w:rsid w:val="002043A3"/>
    <w:rsid w:val="002075BE"/>
    <w:rsid w:val="0022141A"/>
    <w:rsid w:val="00227D31"/>
    <w:rsid w:val="00247E60"/>
    <w:rsid w:val="0025374A"/>
    <w:rsid w:val="0026220A"/>
    <w:rsid w:val="00276E4B"/>
    <w:rsid w:val="00294875"/>
    <w:rsid w:val="002E304D"/>
    <w:rsid w:val="002E38F7"/>
    <w:rsid w:val="002F2678"/>
    <w:rsid w:val="003216F7"/>
    <w:rsid w:val="00335D32"/>
    <w:rsid w:val="003451D5"/>
    <w:rsid w:val="00350050"/>
    <w:rsid w:val="00353AE0"/>
    <w:rsid w:val="003D6564"/>
    <w:rsid w:val="003E5BF7"/>
    <w:rsid w:val="003E6AA3"/>
    <w:rsid w:val="003F5EBB"/>
    <w:rsid w:val="00420865"/>
    <w:rsid w:val="00422E52"/>
    <w:rsid w:val="00427FFC"/>
    <w:rsid w:val="00441810"/>
    <w:rsid w:val="00471C4B"/>
    <w:rsid w:val="004765C4"/>
    <w:rsid w:val="004775D1"/>
    <w:rsid w:val="00491DD7"/>
    <w:rsid w:val="00497B08"/>
    <w:rsid w:val="004A3695"/>
    <w:rsid w:val="004A6EF7"/>
    <w:rsid w:val="004F2EBB"/>
    <w:rsid w:val="00500738"/>
    <w:rsid w:val="0050585B"/>
    <w:rsid w:val="005472D9"/>
    <w:rsid w:val="00593B47"/>
    <w:rsid w:val="005B1179"/>
    <w:rsid w:val="005D28EF"/>
    <w:rsid w:val="005D6D0D"/>
    <w:rsid w:val="005D7189"/>
    <w:rsid w:val="005F6F8A"/>
    <w:rsid w:val="0060757D"/>
    <w:rsid w:val="00611CE2"/>
    <w:rsid w:val="00613895"/>
    <w:rsid w:val="00615E63"/>
    <w:rsid w:val="00631B30"/>
    <w:rsid w:val="006355FB"/>
    <w:rsid w:val="00677535"/>
    <w:rsid w:val="006777F8"/>
    <w:rsid w:val="00687D73"/>
    <w:rsid w:val="006C3511"/>
    <w:rsid w:val="006E3A7F"/>
    <w:rsid w:val="007010B8"/>
    <w:rsid w:val="00726CC7"/>
    <w:rsid w:val="0074229A"/>
    <w:rsid w:val="00747D39"/>
    <w:rsid w:val="0076139D"/>
    <w:rsid w:val="00780F20"/>
    <w:rsid w:val="007A425E"/>
    <w:rsid w:val="007A72D0"/>
    <w:rsid w:val="007B6CD3"/>
    <w:rsid w:val="007C4B1F"/>
    <w:rsid w:val="007C6F5F"/>
    <w:rsid w:val="007E3640"/>
    <w:rsid w:val="007E5E15"/>
    <w:rsid w:val="007E5F7A"/>
    <w:rsid w:val="007F0138"/>
    <w:rsid w:val="007F4D6E"/>
    <w:rsid w:val="00807F01"/>
    <w:rsid w:val="00811BE0"/>
    <w:rsid w:val="00813CEA"/>
    <w:rsid w:val="00842726"/>
    <w:rsid w:val="00856592"/>
    <w:rsid w:val="008848F3"/>
    <w:rsid w:val="00891690"/>
    <w:rsid w:val="009003B8"/>
    <w:rsid w:val="00921CBA"/>
    <w:rsid w:val="00937938"/>
    <w:rsid w:val="009768D3"/>
    <w:rsid w:val="009877E9"/>
    <w:rsid w:val="009B606D"/>
    <w:rsid w:val="009B6715"/>
    <w:rsid w:val="009B6E0F"/>
    <w:rsid w:val="009C30EC"/>
    <w:rsid w:val="009C6844"/>
    <w:rsid w:val="009D3849"/>
    <w:rsid w:val="009D4492"/>
    <w:rsid w:val="009E38F7"/>
    <w:rsid w:val="009F64CD"/>
    <w:rsid w:val="00A10D01"/>
    <w:rsid w:val="00A21EDA"/>
    <w:rsid w:val="00A472C5"/>
    <w:rsid w:val="00A47A3C"/>
    <w:rsid w:val="00A9791A"/>
    <w:rsid w:val="00AB47B2"/>
    <w:rsid w:val="00AD0840"/>
    <w:rsid w:val="00AD6DF3"/>
    <w:rsid w:val="00AE0DCE"/>
    <w:rsid w:val="00B06F6C"/>
    <w:rsid w:val="00B15916"/>
    <w:rsid w:val="00B3075F"/>
    <w:rsid w:val="00B52914"/>
    <w:rsid w:val="00B66D3A"/>
    <w:rsid w:val="00BD5D5B"/>
    <w:rsid w:val="00BE3859"/>
    <w:rsid w:val="00BF071F"/>
    <w:rsid w:val="00C10895"/>
    <w:rsid w:val="00C21B43"/>
    <w:rsid w:val="00C2393C"/>
    <w:rsid w:val="00C30555"/>
    <w:rsid w:val="00C3603E"/>
    <w:rsid w:val="00C50D4E"/>
    <w:rsid w:val="00C52891"/>
    <w:rsid w:val="00C75792"/>
    <w:rsid w:val="00C91C62"/>
    <w:rsid w:val="00C953DC"/>
    <w:rsid w:val="00CA36B3"/>
    <w:rsid w:val="00CB4821"/>
    <w:rsid w:val="00CC04A7"/>
    <w:rsid w:val="00CC0D0B"/>
    <w:rsid w:val="00CD4539"/>
    <w:rsid w:val="00D02D3F"/>
    <w:rsid w:val="00D103CE"/>
    <w:rsid w:val="00D26FD4"/>
    <w:rsid w:val="00D343E0"/>
    <w:rsid w:val="00D9046F"/>
    <w:rsid w:val="00DC6D58"/>
    <w:rsid w:val="00DF61BE"/>
    <w:rsid w:val="00E1580E"/>
    <w:rsid w:val="00E60D04"/>
    <w:rsid w:val="00E73DE7"/>
    <w:rsid w:val="00E81310"/>
    <w:rsid w:val="00E83824"/>
    <w:rsid w:val="00EA21B3"/>
    <w:rsid w:val="00EA7FE5"/>
    <w:rsid w:val="00EC51EA"/>
    <w:rsid w:val="00EE490C"/>
    <w:rsid w:val="00EF3281"/>
    <w:rsid w:val="00EF64C2"/>
    <w:rsid w:val="00F07B20"/>
    <w:rsid w:val="00F61C22"/>
    <w:rsid w:val="00F62E66"/>
    <w:rsid w:val="00F83777"/>
    <w:rsid w:val="00FA5FDB"/>
    <w:rsid w:val="00FC2BBF"/>
    <w:rsid w:val="00FD13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72AAF"/>
  <w15:chartTrackingRefBased/>
  <w15:docId w15:val="{8F8EB491-30AC-4251-A13B-62AECA78A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E15"/>
    <w:pPr>
      <w:spacing w:line="254"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0D6D56"/>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0D6D56"/>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0D6D56"/>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0D6D56"/>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0D6D56"/>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0D6D56"/>
    <w:pPr>
      <w:keepNext/>
      <w:keepLines/>
      <w:spacing w:before="40" w:after="0" w:line="278" w:lineRule="auto"/>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0D6D56"/>
    <w:pPr>
      <w:keepNext/>
      <w:keepLines/>
      <w:spacing w:before="40" w:after="0" w:line="278" w:lineRule="auto"/>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0D6D56"/>
    <w:pPr>
      <w:keepNext/>
      <w:keepLines/>
      <w:spacing w:after="0" w:line="278" w:lineRule="auto"/>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0D6D56"/>
    <w:pPr>
      <w:keepNext/>
      <w:keepLines/>
      <w:spacing w:after="0" w:line="278" w:lineRule="auto"/>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6D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6D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6D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6D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6D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6D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6D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6D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6D56"/>
    <w:rPr>
      <w:rFonts w:eastAsiaTheme="majorEastAsia" w:cstheme="majorBidi"/>
      <w:color w:val="272727" w:themeColor="text1" w:themeTint="D8"/>
    </w:rPr>
  </w:style>
  <w:style w:type="paragraph" w:styleId="Title">
    <w:name w:val="Title"/>
    <w:basedOn w:val="Normal"/>
    <w:next w:val="Normal"/>
    <w:link w:val="TitleChar"/>
    <w:uiPriority w:val="10"/>
    <w:qFormat/>
    <w:rsid w:val="000D6D56"/>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0D6D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6D56"/>
    <w:pPr>
      <w:numPr>
        <w:ilvl w:val="1"/>
      </w:numPr>
      <w:spacing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0D6D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6D56"/>
    <w:pPr>
      <w:spacing w:before="160" w:line="278" w:lineRule="auto"/>
      <w:jc w:val="center"/>
    </w:pPr>
    <w:rPr>
      <w:rFonts w:asciiTheme="minorHAnsi" w:hAnsiTheme="minorHAns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0D6D56"/>
    <w:rPr>
      <w:i/>
      <w:iCs/>
      <w:color w:val="404040" w:themeColor="text1" w:themeTint="BF"/>
    </w:rPr>
  </w:style>
  <w:style w:type="paragraph" w:styleId="ListParagraph">
    <w:name w:val="List Paragraph"/>
    <w:basedOn w:val="Normal"/>
    <w:uiPriority w:val="34"/>
    <w:qFormat/>
    <w:rsid w:val="000D6D56"/>
    <w:pPr>
      <w:spacing w:line="278" w:lineRule="auto"/>
      <w:ind w:left="720"/>
      <w:contextualSpacing/>
    </w:pPr>
    <w:rPr>
      <w:rFonts w:asciiTheme="minorHAnsi" w:hAnsiTheme="minorHAnsi"/>
      <w:kern w:val="2"/>
      <w:szCs w:val="24"/>
      <w14:ligatures w14:val="standardContextual"/>
    </w:rPr>
  </w:style>
  <w:style w:type="character" w:styleId="IntenseEmphasis">
    <w:name w:val="Intense Emphasis"/>
    <w:basedOn w:val="DefaultParagraphFont"/>
    <w:uiPriority w:val="21"/>
    <w:qFormat/>
    <w:rsid w:val="000D6D56"/>
    <w:rPr>
      <w:i/>
      <w:iCs/>
      <w:color w:val="0F4761" w:themeColor="accent1" w:themeShade="BF"/>
    </w:rPr>
  </w:style>
  <w:style w:type="paragraph" w:styleId="IntenseQuote">
    <w:name w:val="Intense Quote"/>
    <w:basedOn w:val="Normal"/>
    <w:next w:val="Normal"/>
    <w:link w:val="IntenseQuoteChar"/>
    <w:uiPriority w:val="30"/>
    <w:qFormat/>
    <w:rsid w:val="000D6D56"/>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0D6D56"/>
    <w:rPr>
      <w:i/>
      <w:iCs/>
      <w:color w:val="0F4761" w:themeColor="accent1" w:themeShade="BF"/>
    </w:rPr>
  </w:style>
  <w:style w:type="character" w:styleId="IntenseReference">
    <w:name w:val="Intense Reference"/>
    <w:basedOn w:val="DefaultParagraphFont"/>
    <w:uiPriority w:val="32"/>
    <w:qFormat/>
    <w:rsid w:val="000D6D56"/>
    <w:rPr>
      <w:b/>
      <w:bCs/>
      <w:smallCaps/>
      <w:color w:val="0F4761" w:themeColor="accent1" w:themeShade="BF"/>
      <w:spacing w:val="5"/>
    </w:rPr>
  </w:style>
  <w:style w:type="paragraph" w:styleId="NormalWeb">
    <w:name w:val="Normal (Web)"/>
    <w:basedOn w:val="Normal"/>
    <w:uiPriority w:val="99"/>
    <w:semiHidden/>
    <w:unhideWhenUsed/>
    <w:rsid w:val="009768D3"/>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9768D3"/>
    <w:rPr>
      <w:b/>
      <w:bCs/>
    </w:rPr>
  </w:style>
  <w:style w:type="paragraph" w:styleId="Header">
    <w:name w:val="header"/>
    <w:basedOn w:val="Normal"/>
    <w:link w:val="HeaderChar"/>
    <w:uiPriority w:val="99"/>
    <w:unhideWhenUsed/>
    <w:rsid w:val="00C360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03E"/>
    <w:rPr>
      <w:rFonts w:ascii="Times New Roman" w:hAnsi="Times New Roman"/>
      <w:kern w:val="0"/>
      <w:szCs w:val="22"/>
      <w14:ligatures w14:val="none"/>
    </w:rPr>
  </w:style>
  <w:style w:type="paragraph" w:styleId="Footer">
    <w:name w:val="footer"/>
    <w:basedOn w:val="Normal"/>
    <w:link w:val="FooterChar"/>
    <w:uiPriority w:val="99"/>
    <w:unhideWhenUsed/>
    <w:rsid w:val="00C360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03E"/>
    <w:rPr>
      <w:rFonts w:ascii="Times New Roman" w:hAnsi="Times New Roman"/>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hee.nhs.uk/our-work/person-centred-care" TargetMode="External"/><Relationship Id="rId18" Type="http://schemas.openxmlformats.org/officeDocument/2006/relationships/hyperlink" Target="https://pmc.ncbi.nlm.nih.gov/articles/PMC7923912/"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gov.uk/government/publications/the-nhs-constitution-for-england/the-nhs-constitution-for-england" TargetMode="External"/><Relationship Id="rId17" Type="http://schemas.openxmlformats.org/officeDocument/2006/relationships/hyperlink" Target="https://www.skillsforhealth.org.uk/article/person-centred-care-meaning-implications/" TargetMode="External"/><Relationship Id="rId2" Type="http://schemas.openxmlformats.org/officeDocument/2006/relationships/styles" Target="styles.xml"/><Relationship Id="rId16" Type="http://schemas.openxmlformats.org/officeDocument/2006/relationships/hyperlink" Target="https://www.england.nhs.uk/personalisedcar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mc.ncbi.nlm.nih.gov/articles/PMC6465833/" TargetMode="External"/><Relationship Id="rId5" Type="http://schemas.openxmlformats.org/officeDocument/2006/relationships/footnotes" Target="footnotes.xml"/><Relationship Id="rId15" Type="http://schemas.openxmlformats.org/officeDocument/2006/relationships/hyperlink" Target="https://www.england.nhs.uk/publication/case-study-how-partnership-working-in-sefton-is-creating-a-person-centred-approach-to-hospital-discharge/" TargetMode="External"/><Relationship Id="rId10" Type="http://schemas.openxmlformats.org/officeDocument/2006/relationships/hyperlink" Target="https://www.cqc.org.uk/guidance-regulation/providers/regulations-service-providers-and-managers/health-social-care-act/regulation-9"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health.org.uk/sites/default/files/PersonCentredCareMadeSimp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2872</Words>
  <Characters>16372</Characters>
  <Application>Microsoft Office Word</Application>
  <DocSecurity>0</DocSecurity>
  <Lines>136</Lines>
  <Paragraphs>38</Paragraphs>
  <ScaleCrop>false</ScaleCrop>
  <Company/>
  <LinksUpToDate>false</LinksUpToDate>
  <CharactersWithSpaces>19206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Bahja Salah</dc:creator>
  <cp:keywords/>
  <dc:description/>
  <cp:lastModifiedBy>Bahja Salah</cp:lastModifiedBy>
  <cp:revision>5</cp:revision>
  <dcterms:created xsi:type="dcterms:W3CDTF">2026-07-25T10:13:00Z</dcterms:created>
  <dcterms:modified xsi:type="dcterms:W3CDTF">2026-07-25T10:17:00Z</dcterms:modified>
</cp:coreProperties>
</file>