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5A35F6BC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67404449" w14:textId="77777777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7888C86" w14:textId="60435CBA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F34909">
        <w:rPr>
          <w:rFonts w:ascii="Arial" w:hAnsi="Arial" w:cs="Arial"/>
          <w:sz w:val="28"/>
          <w:szCs w:val="28"/>
          <w:lang w:val="nl-NL"/>
        </w:rPr>
        <w:t xml:space="preserve"> </w:t>
      </w:r>
      <w:r w:rsidR="00C35578">
        <w:rPr>
          <w:rFonts w:ascii="Arial" w:hAnsi="Arial" w:cs="Arial"/>
          <w:sz w:val="28"/>
          <w:szCs w:val="28"/>
          <w:lang w:val="nl-NL"/>
        </w:rPr>
        <w:t>Zumira</w:t>
      </w:r>
      <w:r w:rsidR="00F34909">
        <w:rPr>
          <w:rFonts w:ascii="Arial" w:hAnsi="Arial" w:cs="Arial"/>
          <w:sz w:val="28"/>
          <w:szCs w:val="28"/>
          <w:lang w:val="nl-NL"/>
        </w:rPr>
        <w:t xml:space="preserve"> Fernando Franco</w:t>
      </w:r>
    </w:p>
    <w:p w14:paraId="21E9DC72" w14:textId="40BD2248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281C30">
        <w:rPr>
          <w:rFonts w:ascii="Arial" w:hAnsi="Arial" w:cs="Arial"/>
          <w:sz w:val="28"/>
          <w:szCs w:val="28"/>
          <w:lang w:val="nl-NL"/>
        </w:rPr>
        <w:t xml:space="preserve"> 2424773</w:t>
      </w:r>
    </w:p>
    <w:p w14:paraId="23BAC9B9" w14:textId="77C6A690" w:rsidR="00EB12BC" w:rsidRPr="0086654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076AC0">
        <w:rPr>
          <w:rFonts w:ascii="Arial" w:hAnsi="Arial" w:cs="Arial"/>
          <w:sz w:val="28"/>
          <w:szCs w:val="28"/>
          <w:lang w:val="nl-NL"/>
        </w:rPr>
        <w:t xml:space="preserve">: </w:t>
      </w:r>
      <w:r w:rsidR="00413871" w:rsidRPr="00866541">
        <w:rPr>
          <w:rFonts w:ascii="Arial" w:eastAsia="Times New Roman" w:hAnsi="Arial" w:cs="Arial"/>
          <w:sz w:val="28"/>
          <w:szCs w:val="28"/>
        </w:rPr>
        <w:t>Protecting and Supporting Families in Health and Care</w:t>
      </w:r>
    </w:p>
    <w:p w14:paraId="4FD97C8C" w14:textId="576861E4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Module code</w:t>
      </w:r>
      <w:r w:rsidRPr="00C03A91">
        <w:rPr>
          <w:rFonts w:ascii="Arial" w:hAnsi="Arial" w:cs="Arial"/>
          <w:sz w:val="28"/>
          <w:szCs w:val="28"/>
        </w:rPr>
        <w:t>:</w:t>
      </w:r>
      <w:r w:rsidR="00AE3D09">
        <w:rPr>
          <w:rFonts w:ascii="Arial" w:hAnsi="Arial" w:cs="Arial"/>
          <w:sz w:val="28"/>
          <w:szCs w:val="28"/>
        </w:rPr>
        <w:t xml:space="preserve"> BMHP5021</w:t>
      </w:r>
    </w:p>
    <w:p w14:paraId="658BE57E" w14:textId="3FDF57FA" w:rsidR="00EB12BC" w:rsidRPr="0086654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Pr="00C03A91">
        <w:rPr>
          <w:rFonts w:ascii="Arial" w:hAnsi="Arial" w:cs="Arial"/>
          <w:sz w:val="28"/>
          <w:szCs w:val="28"/>
        </w:rPr>
        <w:t>:</w:t>
      </w:r>
      <w:r w:rsidR="00AE3D09">
        <w:rPr>
          <w:rFonts w:ascii="Arial" w:hAnsi="Arial" w:cs="Arial"/>
          <w:sz w:val="28"/>
          <w:szCs w:val="28"/>
        </w:rPr>
        <w:t xml:space="preserve"> </w:t>
      </w:r>
      <w:r w:rsidR="00794779" w:rsidRPr="00866541">
        <w:rPr>
          <w:rFonts w:ascii="Arial" w:eastAsia="Times New Roman" w:hAnsi="Arial" w:cs="Arial"/>
          <w:sz w:val="28"/>
          <w:szCs w:val="28"/>
        </w:rPr>
        <w:t>Amanda Jones</w:t>
      </w:r>
    </w:p>
    <w:p w14:paraId="53B923F4" w14:textId="331A035F" w:rsidR="001B7A40" w:rsidRPr="00C03A91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6E012A0" w14:textId="4D376276" w:rsidR="000C4EDA" w:rsidRPr="00C03A91" w:rsidRDefault="000C4EDA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442A8432" w14:textId="6468A356" w:rsidR="009E3589" w:rsidRPr="009E3589" w:rsidRDefault="009E3589" w:rsidP="009E3589">
      <w:pPr>
        <w:spacing w:line="360" w:lineRule="auto"/>
        <w:rPr>
          <w:rFonts w:ascii="Arial" w:hAnsi="Arial" w:cs="Arial"/>
          <w:sz w:val="28"/>
          <w:szCs w:val="28"/>
        </w:rPr>
      </w:pPr>
    </w:p>
    <w:p w14:paraId="0F898CE6" w14:textId="0AC060B3" w:rsidR="002F2C0A" w:rsidRDefault="002F2C0A" w:rsidP="00C03A91">
      <w:pPr>
        <w:spacing w:line="360" w:lineRule="auto"/>
        <w:rPr>
          <w:rFonts w:ascii="Arial" w:hAnsi="Arial" w:cs="Arial"/>
        </w:rPr>
      </w:pPr>
    </w:p>
    <w:p w14:paraId="54B6014C" w14:textId="210FB3AC" w:rsidR="003E03CB" w:rsidRDefault="003E03CB" w:rsidP="00C03A91">
      <w:pPr>
        <w:spacing w:line="360" w:lineRule="auto"/>
        <w:rPr>
          <w:rFonts w:ascii="Arial" w:hAnsi="Arial" w:cs="Arial"/>
        </w:rPr>
      </w:pPr>
    </w:p>
    <w:p w14:paraId="2C1405A9" w14:textId="77777777" w:rsidR="003E03CB" w:rsidRDefault="003E03CB" w:rsidP="00C03A91">
      <w:pPr>
        <w:spacing w:line="360" w:lineRule="auto"/>
        <w:rPr>
          <w:rFonts w:ascii="Arial" w:hAnsi="Arial" w:cs="Arial"/>
        </w:rPr>
      </w:pPr>
    </w:p>
    <w:p w14:paraId="5D28D874" w14:textId="77777777" w:rsidR="003E03CB" w:rsidRDefault="003E03CB" w:rsidP="00C03A91">
      <w:pPr>
        <w:spacing w:line="360" w:lineRule="auto"/>
        <w:rPr>
          <w:rFonts w:ascii="Arial" w:hAnsi="Arial" w:cs="Arial"/>
        </w:rPr>
      </w:pPr>
    </w:p>
    <w:p w14:paraId="65E11CB5" w14:textId="77777777" w:rsidR="003E03CB" w:rsidRDefault="003E03CB" w:rsidP="00C03A91">
      <w:pPr>
        <w:spacing w:line="360" w:lineRule="auto"/>
        <w:rPr>
          <w:rFonts w:ascii="Arial" w:hAnsi="Arial" w:cs="Arial"/>
        </w:rPr>
      </w:pPr>
    </w:p>
    <w:p w14:paraId="16CF793D" w14:textId="3A052AB9" w:rsidR="008E6DC5" w:rsidRDefault="008E6DC5" w:rsidP="008E6DC5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</w:p>
    <w:p w14:paraId="7B1959E8" w14:textId="0A24F830" w:rsidR="0031328E" w:rsidRDefault="0031328E" w:rsidP="00C03A91">
      <w:pPr>
        <w:spacing w:line="360" w:lineRule="auto"/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</w:p>
    <w:p w14:paraId="49BD46F3" w14:textId="51D993EA" w:rsidR="005C3EAF" w:rsidRDefault="005C3EAF" w:rsidP="00C03A91">
      <w:pPr>
        <w:spacing w:line="360" w:lineRule="auto"/>
        <w:rPr>
          <w:rFonts w:ascii="Arial" w:hAnsi="Arial" w:cs="Arial"/>
        </w:rPr>
      </w:pPr>
    </w:p>
    <w:p w14:paraId="1083C060" w14:textId="0C0F086A" w:rsidR="007D055B" w:rsidRDefault="007D055B" w:rsidP="00C03A91">
      <w:pPr>
        <w:spacing w:line="360" w:lineRule="auto"/>
        <w:rPr>
          <w:rFonts w:ascii="Arial" w:hAnsi="Arial" w:cs="Arial"/>
        </w:rPr>
      </w:pPr>
    </w:p>
    <w:p w14:paraId="2977DC7F" w14:textId="77777777" w:rsidR="007D055B" w:rsidRDefault="007D055B" w:rsidP="00C03A91">
      <w:pPr>
        <w:spacing w:line="360" w:lineRule="auto"/>
        <w:rPr>
          <w:rFonts w:ascii="Arial" w:hAnsi="Arial" w:cs="Arial"/>
        </w:rPr>
      </w:pPr>
    </w:p>
    <w:p w14:paraId="619972B8" w14:textId="06624F8D" w:rsidR="007D055B" w:rsidRPr="00402533" w:rsidRDefault="007D055B" w:rsidP="0040253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B4E08">
        <w:rPr>
          <w:rFonts w:ascii="Arial" w:hAnsi="Arial" w:cs="Arial"/>
          <w:b/>
          <w:bCs/>
          <w:sz w:val="28"/>
          <w:szCs w:val="28"/>
        </w:rPr>
        <w:lastRenderedPageBreak/>
        <w:t>Reference</w:t>
      </w:r>
    </w:p>
    <w:p w14:paraId="16165EA3" w14:textId="77777777" w:rsidR="00402533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Betts, L., Holland, D., </w:t>
      </w:r>
      <w:proofErr w:type="spellStart"/>
      <w:r>
        <w:rPr>
          <w:rFonts w:ascii="Arial" w:hAnsi="Arial" w:cs="Arial"/>
        </w:rPr>
        <w:t>Abell</w:t>
      </w:r>
      <w:proofErr w:type="spellEnd"/>
      <w:r>
        <w:rPr>
          <w:rFonts w:ascii="Arial" w:hAnsi="Arial" w:cs="Arial"/>
        </w:rPr>
        <w:t xml:space="preserve">, L., </w:t>
      </w:r>
      <w:proofErr w:type="spellStart"/>
      <w:r>
        <w:rPr>
          <w:rFonts w:ascii="Arial" w:hAnsi="Arial" w:cs="Arial"/>
        </w:rPr>
        <w:t>Buglass</w:t>
      </w:r>
      <w:proofErr w:type="spellEnd"/>
      <w:r>
        <w:rPr>
          <w:rFonts w:ascii="Arial" w:hAnsi="Arial" w:cs="Arial"/>
        </w:rPr>
        <w:t xml:space="preserve">, S., Dillon, G. And </w:t>
      </w:r>
      <w:proofErr w:type="spellStart"/>
      <w:r>
        <w:rPr>
          <w:rFonts w:ascii="Arial" w:hAnsi="Arial" w:cs="Arial"/>
        </w:rPr>
        <w:t>Heym</w:t>
      </w:r>
      <w:proofErr w:type="spellEnd"/>
      <w:r>
        <w:rPr>
          <w:rFonts w:ascii="Arial" w:hAnsi="Arial" w:cs="Arial"/>
        </w:rPr>
        <w:t xml:space="preserve">, N. (2020) Country report for England. Available at: </w:t>
      </w:r>
      <w:hyperlink r:id="rId9" w:history="1">
        <w:r w:rsidRPr="007B3780">
          <w:rPr>
            <w:rStyle w:val="Hyperlink"/>
            <w:rFonts w:ascii="Arial" w:hAnsi="Arial" w:cs="Arial"/>
          </w:rPr>
          <w:t>https://www.nice.org.uk/guidance/ng76</w:t>
        </w:r>
      </w:hyperlink>
      <w:r>
        <w:rPr>
          <w:rFonts w:ascii="Arial" w:hAnsi="Arial" w:cs="Arial"/>
        </w:rPr>
        <w:t xml:space="preserve"> (Accessed: 13 July 2026).</w:t>
      </w:r>
    </w:p>
    <w:p w14:paraId="3FC299D0" w14:textId="373562A6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Birmingham Safeguarding Children Partnership (2023a) BSCP2020-21/02: Local Child Safeguarding Practice Review – Child A. Birmingham: Birmingham Safeguarding Children Partnership. Available at: </w:t>
      </w:r>
      <w:hyperlink r:id="rId10" w:history="1">
        <w:r w:rsidRPr="007B3780">
          <w:rPr>
            <w:rStyle w:val="Hyperlink"/>
            <w:rFonts w:ascii="Arial" w:hAnsi="Arial" w:cs="Arial"/>
          </w:rPr>
          <w:t>https://lscpbirmingham.org.uk/wp-content/uploads/2023/10/BSCP-2020-21-02-Child-A-CSPR.pdf</w:t>
        </w:r>
      </w:hyperlink>
      <w:r>
        <w:rPr>
          <w:rFonts w:ascii="Arial" w:hAnsi="Arial" w:cs="Arial"/>
        </w:rPr>
        <w:t xml:space="preserve"> (Accessed: 13 July 2026).</w:t>
      </w:r>
    </w:p>
    <w:p w14:paraId="64499694" w14:textId="7BCB47D3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Birmingham Safeguarding Children Partnership (2023b) Learning from Reviews. Birmingham: Birmingham Safeguarding Children Partnership. Available at: </w:t>
      </w:r>
      <w:hyperlink r:id="rId11" w:history="1">
        <w:r w:rsidRPr="007B3780">
          <w:rPr>
            <w:rStyle w:val="Hyperlink"/>
            <w:rFonts w:ascii="Arial" w:hAnsi="Arial" w:cs="Arial"/>
          </w:rPr>
          <w:t>https://lscpbirmingham.org.uk/case-reviews-and-audits/learning-from-reviews/</w:t>
        </w:r>
      </w:hyperlink>
      <w:r>
        <w:rPr>
          <w:rFonts w:ascii="Arial" w:hAnsi="Arial" w:cs="Arial"/>
        </w:rPr>
        <w:t xml:space="preserve"> (Accessed: 13 July 2026).</w:t>
      </w:r>
    </w:p>
    <w:p w14:paraId="2A884224" w14:textId="6E18EA4D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Bowlby, J. (1988) A Secure Base: Parent-Child Attachment and Healthy Human Development. London: Routledge.</w:t>
      </w:r>
    </w:p>
    <w:p w14:paraId="5CA15BC1" w14:textId="4FC93772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Bronfenbrenner, U. (1979) The Ecology of Human Development: Experiments by Nature and Design. Cambridge, MA: Harvard University Press.</w:t>
      </w:r>
    </w:p>
    <w:p w14:paraId="70D6B422" w14:textId="67A92E1F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Brown, J. And Clarke, S. (2023) ‘Safeguarding to protect children, young people, and their families’, in Care Planning in Children and Young People’s Nursing. 2</w:t>
      </w:r>
      <w:r w:rsidRPr="007D055B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edn</w:t>
      </w:r>
      <w:proofErr w:type="spellEnd"/>
      <w:r>
        <w:rPr>
          <w:rFonts w:ascii="Arial" w:hAnsi="Arial" w:cs="Arial"/>
        </w:rPr>
        <w:t xml:space="preserve">. Available at: </w:t>
      </w:r>
      <w:hyperlink r:id="rId12" w:history="1">
        <w:r w:rsidRPr="007B3780">
          <w:rPr>
            <w:rStyle w:val="Hyperlink"/>
            <w:rFonts w:ascii="Arial" w:hAnsi="Arial" w:cs="Arial"/>
          </w:rPr>
          <w:t>https://doi.org/</w:t>
        </w:r>
      </w:hyperlink>
      <w:r>
        <w:rPr>
          <w:rFonts w:ascii="Arial" w:hAnsi="Arial" w:cs="Arial"/>
        </w:rPr>
        <w:t xml:space="preserve"> (Accessed: 5 July 2026).</w:t>
      </w:r>
    </w:p>
    <w:p w14:paraId="03C2931E" w14:textId="1DAA24A5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Department for Education (2023) Working Together to Safeguard Children: A Guide to Multi-agency Working to Help, Protect and Promote the Welfare of Children. London: Department for Education. Available at: </w:t>
      </w:r>
      <w:hyperlink r:id="rId13" w:history="1">
        <w:r w:rsidRPr="007B3780">
          <w:rPr>
            <w:rStyle w:val="Hyperlink"/>
            <w:rFonts w:ascii="Arial" w:hAnsi="Arial" w:cs="Arial"/>
          </w:rPr>
          <w:t>https://www.gov.uk/government/publications/working-together-to-safeguard-children</w:t>
        </w:r>
      </w:hyperlink>
      <w:r>
        <w:rPr>
          <w:rFonts w:ascii="Arial" w:hAnsi="Arial" w:cs="Arial"/>
        </w:rPr>
        <w:t xml:space="preserve"> (Accessed: </w:t>
      </w:r>
      <w:r w:rsidR="00976C36">
        <w:rPr>
          <w:rFonts w:ascii="Arial" w:hAnsi="Arial" w:cs="Arial"/>
        </w:rPr>
        <w:t>7</w:t>
      </w:r>
      <w:r>
        <w:rPr>
          <w:rFonts w:ascii="Arial" w:hAnsi="Arial" w:cs="Arial"/>
        </w:rPr>
        <w:t xml:space="preserve"> July 2026).</w:t>
      </w:r>
    </w:p>
    <w:p w14:paraId="5A92A104" w14:textId="3297A33B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Department for Education (2026) Working Together to Safeguard Children: A Guide to Inter-agency Working to Safeguard and Promote the Welfare of Children. London: The Stationery Office. Available at: </w:t>
      </w:r>
      <w:hyperlink r:id="rId14" w:history="1">
        <w:r w:rsidR="00B7011C" w:rsidRPr="007B3780">
          <w:rPr>
            <w:rStyle w:val="Hyperlink"/>
            <w:rFonts w:ascii="Arial" w:hAnsi="Arial" w:cs="Arial"/>
          </w:rPr>
          <w:t>https://www.gov.uk/government/publications/working-together-to-safeguard-children</w:t>
        </w:r>
      </w:hyperlink>
      <w:r>
        <w:rPr>
          <w:rFonts w:ascii="Arial" w:hAnsi="Arial" w:cs="Arial"/>
        </w:rPr>
        <w:t xml:space="preserve"> (Accessed: 5 July 2026).</w:t>
      </w:r>
    </w:p>
    <w:p w14:paraId="6CD90A18" w14:textId="26FF69CB" w:rsidR="007D055B" w:rsidRDefault="007D055B" w:rsidP="00C03A9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Felitti</w:t>
      </w:r>
      <w:proofErr w:type="spellEnd"/>
      <w:r>
        <w:rPr>
          <w:rFonts w:ascii="Arial" w:hAnsi="Arial" w:cs="Arial"/>
        </w:rPr>
        <w:t xml:space="preserve">, V.J., </w:t>
      </w:r>
      <w:proofErr w:type="spellStart"/>
      <w:r>
        <w:rPr>
          <w:rFonts w:ascii="Arial" w:hAnsi="Arial" w:cs="Arial"/>
        </w:rPr>
        <w:t>Anda</w:t>
      </w:r>
      <w:proofErr w:type="spellEnd"/>
      <w:r>
        <w:rPr>
          <w:rFonts w:ascii="Arial" w:hAnsi="Arial" w:cs="Arial"/>
        </w:rPr>
        <w:t xml:space="preserve">, R.F., </w:t>
      </w:r>
      <w:proofErr w:type="spellStart"/>
      <w:r>
        <w:rPr>
          <w:rFonts w:ascii="Arial" w:hAnsi="Arial" w:cs="Arial"/>
        </w:rPr>
        <w:t>Nordenberg</w:t>
      </w:r>
      <w:proofErr w:type="spellEnd"/>
      <w:r>
        <w:rPr>
          <w:rFonts w:ascii="Arial" w:hAnsi="Arial" w:cs="Arial"/>
        </w:rPr>
        <w:t>, D., Williamson, D.F., Spitz, A.M., Edwards, V., Koss, M.P. and Marks, J.S. (1998) ‘Relationship of childhood abuse and household dysfunction to many of the leading causes of death in adults: The Adverse Childhood Experiences (ACE) Study’, American Journal of Preventive Medicine, 14(4), pp. 245–258.</w:t>
      </w:r>
    </w:p>
    <w:p w14:paraId="0DCEF5B7" w14:textId="77777777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Munro, E. (2011) The Munro Review of Child Protection: Final Report – A Child-centred System. London: The Stationery Office.</w:t>
      </w:r>
    </w:p>
    <w:p w14:paraId="59E69260" w14:textId="14C33191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National Institute for Health and Care Excellence (2017) Child Abuse and Neglect (NG76). London: NICE. Available at: </w:t>
      </w:r>
      <w:hyperlink r:id="rId15" w:history="1">
        <w:r w:rsidRPr="007B3780">
          <w:rPr>
            <w:rStyle w:val="Hyperlink"/>
            <w:rFonts w:ascii="Arial" w:hAnsi="Arial" w:cs="Arial"/>
          </w:rPr>
          <w:t>https://www.nice.org.uk/guidance/ng76</w:t>
        </w:r>
      </w:hyperlink>
      <w:r>
        <w:rPr>
          <w:rFonts w:ascii="Arial" w:hAnsi="Arial" w:cs="Arial"/>
        </w:rPr>
        <w:t xml:space="preserve"> (Accessed: 6 July 2026).</w:t>
      </w:r>
    </w:p>
    <w:p w14:paraId="3D09C92E" w14:textId="314788A4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Nicolas, J. (2023) Child Safeguarding Practice Review: Child A (BSCP 2020/21-02). Birmingham: Birmingham Safeguarding Children Partnership. Available at: </w:t>
      </w:r>
      <w:hyperlink r:id="rId16" w:history="1">
        <w:r w:rsidRPr="007B3780">
          <w:rPr>
            <w:rStyle w:val="Hyperlink"/>
            <w:rFonts w:ascii="Arial" w:hAnsi="Arial" w:cs="Arial"/>
          </w:rPr>
          <w:t>https://www.joannanicolas.co.uk/wp-content/uploads/2023/10/child-safeguarding-practice-review-Oct-23-Adult-A-BSCP-2020-21-02-Child-A-CSPR.pdf</w:t>
        </w:r>
      </w:hyperlink>
      <w:r>
        <w:rPr>
          <w:rFonts w:ascii="Arial" w:hAnsi="Arial" w:cs="Arial"/>
        </w:rPr>
        <w:t xml:space="preserve"> (Accessed: </w:t>
      </w:r>
      <w:r w:rsidR="009B72AD">
        <w:rPr>
          <w:rFonts w:ascii="Arial" w:hAnsi="Arial" w:cs="Arial"/>
        </w:rPr>
        <w:t>5</w:t>
      </w:r>
      <w:r>
        <w:rPr>
          <w:rFonts w:ascii="Arial" w:hAnsi="Arial" w:cs="Arial"/>
        </w:rPr>
        <w:t xml:space="preserve"> July 2026).</w:t>
      </w:r>
    </w:p>
    <w:p w14:paraId="21C56E7B" w14:textId="62DACBB6" w:rsidR="007D055B" w:rsidRDefault="007D055B" w:rsidP="00C03A9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Pallini</w:t>
      </w:r>
      <w:proofErr w:type="spellEnd"/>
      <w:r>
        <w:rPr>
          <w:rFonts w:ascii="Arial" w:hAnsi="Arial" w:cs="Arial"/>
        </w:rPr>
        <w:t xml:space="preserve">, S. And </w:t>
      </w:r>
      <w:proofErr w:type="spellStart"/>
      <w:r>
        <w:rPr>
          <w:rFonts w:ascii="Arial" w:hAnsi="Arial" w:cs="Arial"/>
        </w:rPr>
        <w:t>Barcaccia</w:t>
      </w:r>
      <w:proofErr w:type="spellEnd"/>
      <w:r>
        <w:rPr>
          <w:rFonts w:ascii="Arial" w:hAnsi="Arial" w:cs="Arial"/>
        </w:rPr>
        <w:t xml:space="preserve">, B. (2014) ‘A meeting of the minds: John Bowlby encounters Jean Piaget’, Review of General Psychology, 18(4), pp. 287–292. Available at: </w:t>
      </w:r>
      <w:hyperlink r:id="rId17" w:history="1">
        <w:r w:rsidRPr="007B3780">
          <w:rPr>
            <w:rStyle w:val="Hyperlink"/>
            <w:rFonts w:ascii="Arial" w:hAnsi="Arial" w:cs="Arial"/>
          </w:rPr>
          <w:t>https://journals.sagepub.com/doi/10.1037/gpr0000016</w:t>
        </w:r>
      </w:hyperlink>
      <w:r>
        <w:rPr>
          <w:rFonts w:ascii="Arial" w:hAnsi="Arial" w:cs="Arial"/>
        </w:rPr>
        <w:t xml:space="preserve"> (Accessed: 13 July 2026).</w:t>
      </w:r>
    </w:p>
    <w:p w14:paraId="6E5C9AE8" w14:textId="519707DD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Rule, M.S. and Giving: The Magazine of the Royal College of Paediatrics and Child Health (</w:t>
      </w:r>
      <w:proofErr w:type="spellStart"/>
      <w:r>
        <w:rPr>
          <w:rFonts w:ascii="Arial" w:hAnsi="Arial" w:cs="Arial"/>
        </w:rPr>
        <w:t>n.d.</w:t>
      </w:r>
      <w:proofErr w:type="spellEnd"/>
      <w:r>
        <w:rPr>
          <w:rFonts w:ascii="Arial" w:hAnsi="Arial" w:cs="Arial"/>
        </w:rPr>
        <w:t xml:space="preserve">) Available at: </w:t>
      </w:r>
      <w:hyperlink r:id="rId18" w:history="1">
        <w:r w:rsidRPr="007B3780">
          <w:rPr>
            <w:rStyle w:val="Hyperlink"/>
            <w:rFonts w:ascii="Arial" w:hAnsi="Arial" w:cs="Arial"/>
          </w:rPr>
          <w:t>https://www.rcpch.ac.uk</w:t>
        </w:r>
      </w:hyperlink>
      <w:r>
        <w:rPr>
          <w:rFonts w:ascii="Arial" w:hAnsi="Arial" w:cs="Arial"/>
        </w:rPr>
        <w:t xml:space="preserve"> (Accessed: 10 July 2026).</w:t>
      </w:r>
    </w:p>
    <w:p w14:paraId="7B045B4B" w14:textId="19C7BE15" w:rsidR="007D055B" w:rsidRDefault="007D055B" w:rsidP="00C03A9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Scaife</w:t>
      </w:r>
      <w:proofErr w:type="spellEnd"/>
      <w:r>
        <w:rPr>
          <w:rFonts w:ascii="Arial" w:hAnsi="Arial" w:cs="Arial"/>
        </w:rPr>
        <w:t>, J. (2024) Deciding Children’s Futures: An Expert Guide to Assessments for Safeguarding and Promoting Children’s Welfare in the Family Court. London: Routledge.</w:t>
      </w:r>
    </w:p>
    <w:p w14:paraId="712F4733" w14:textId="46784308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Sutton-Tsang, S. And Phillips, S. (2025) ‘Let’s get it right – safeguarding’, in Embracing Change and Developing Leadership in the Early Years Sector. London: Routledge, pp. 113–129.</w:t>
      </w:r>
    </w:p>
    <w:p w14:paraId="40F765C4" w14:textId="6103049E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Timms, J.E. and </w:t>
      </w:r>
      <w:proofErr w:type="spellStart"/>
      <w:r>
        <w:rPr>
          <w:rFonts w:ascii="Arial" w:hAnsi="Arial" w:cs="Arial"/>
        </w:rPr>
        <w:t>Thoburn</w:t>
      </w:r>
      <w:proofErr w:type="spellEnd"/>
      <w:r>
        <w:rPr>
          <w:rFonts w:ascii="Arial" w:hAnsi="Arial" w:cs="Arial"/>
        </w:rPr>
        <w:t>, J. (2006) ‘Your shout! Looked after children’s perspectives on the Children Act 1989’, Journal of Social Welfare and Family Law, 28(2), pp. 153–170.</w:t>
      </w:r>
    </w:p>
    <w:p w14:paraId="412BD3D9" w14:textId="77777777" w:rsidR="007D055B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Vygotsky, L.S. (1978) Mind in Society: The Development of Higher Psychological Processes. Cambridge, MA: Harvard University Press.</w:t>
      </w:r>
    </w:p>
    <w:p w14:paraId="2AAB5ED0" w14:textId="761B890E" w:rsidR="007D055B" w:rsidRPr="00C03A91" w:rsidRDefault="007D055B" w:rsidP="00C03A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World Health Organization (2022) What Works to Prevent Online Violence Against Children? Executive Summary. Geneva: World Health Organization. Available at: </w:t>
      </w:r>
      <w:hyperlink r:id="rId19" w:history="1">
        <w:r w:rsidRPr="007B3780">
          <w:rPr>
            <w:rStyle w:val="Hyperlink"/>
            <w:rFonts w:ascii="Arial" w:hAnsi="Arial" w:cs="Arial"/>
          </w:rPr>
          <w:t>https://www.who.int/publications/i/item/inspire-seven-strategies-for-ending-violence-against-children</w:t>
        </w:r>
      </w:hyperlink>
      <w:r>
        <w:rPr>
          <w:rFonts w:ascii="Arial" w:hAnsi="Arial" w:cs="Arial"/>
        </w:rPr>
        <w:t xml:space="preserve"> (Accessed: 13 July 2026).</w:t>
      </w:r>
    </w:p>
    <w:p w14:paraId="05672696" w14:textId="77777777" w:rsidR="00577E67" w:rsidRPr="00C03A91" w:rsidRDefault="00577E67" w:rsidP="00C03A91">
      <w:pPr>
        <w:spacing w:line="360" w:lineRule="auto"/>
        <w:rPr>
          <w:rFonts w:ascii="Arial" w:hAnsi="Arial" w:cs="Arial"/>
        </w:rPr>
      </w:pPr>
    </w:p>
    <w:sectPr w:rsidR="00577E67" w:rsidRPr="00C03A91" w:rsidSect="00370282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54F8C1" w14:textId="77777777" w:rsidR="00DA709B" w:rsidRDefault="00DA709B" w:rsidP="00C03A91">
      <w:pPr>
        <w:spacing w:after="0" w:line="240" w:lineRule="auto"/>
      </w:pPr>
      <w:r>
        <w:separator/>
      </w:r>
    </w:p>
  </w:endnote>
  <w:endnote w:type="continuationSeparator" w:id="0">
    <w:p w14:paraId="185F2BD5" w14:textId="77777777" w:rsidR="00DA709B" w:rsidRDefault="00DA709B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F4A6E2" w14:textId="77777777" w:rsidR="00DA709B" w:rsidRDefault="00DA709B" w:rsidP="00C03A91">
      <w:pPr>
        <w:spacing w:after="0" w:line="240" w:lineRule="auto"/>
      </w:pPr>
      <w:r>
        <w:separator/>
      </w:r>
    </w:p>
  </w:footnote>
  <w:footnote w:type="continuationSeparator" w:id="0">
    <w:p w14:paraId="3EB8DA17" w14:textId="77777777" w:rsidR="00DA709B" w:rsidRDefault="00DA709B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D34D74"/>
    <w:multiLevelType w:val="hybridMultilevel"/>
    <w:tmpl w:val="51D61134"/>
    <w:lvl w:ilvl="0" w:tplc="EC38CEE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B276D1"/>
    <w:multiLevelType w:val="hybridMultilevel"/>
    <w:tmpl w:val="F822C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5178BD"/>
    <w:multiLevelType w:val="hybridMultilevel"/>
    <w:tmpl w:val="8238249E"/>
    <w:lvl w:ilvl="0" w:tplc="A1DE2AB4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3C6FF2"/>
    <w:multiLevelType w:val="hybridMultilevel"/>
    <w:tmpl w:val="3E4C742C"/>
    <w:lvl w:ilvl="0" w:tplc="5A447094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9F2D98"/>
    <w:multiLevelType w:val="hybridMultilevel"/>
    <w:tmpl w:val="74ECEC4A"/>
    <w:lvl w:ilvl="0" w:tplc="D28A8A56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953614"/>
    <w:multiLevelType w:val="hybridMultilevel"/>
    <w:tmpl w:val="E3F25C66"/>
    <w:lvl w:ilvl="0" w:tplc="C0FC25F0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4"/>
  </w:num>
  <w:num w:numId="2" w16cid:durableId="1940680655">
    <w:abstractNumId w:val="2"/>
  </w:num>
  <w:num w:numId="3" w16cid:durableId="1890221906">
    <w:abstractNumId w:val="1"/>
  </w:num>
  <w:num w:numId="4" w16cid:durableId="396249628">
    <w:abstractNumId w:val="6"/>
  </w:num>
  <w:num w:numId="5" w16cid:durableId="156192234">
    <w:abstractNumId w:val="7"/>
  </w:num>
  <w:num w:numId="6" w16cid:durableId="926303317">
    <w:abstractNumId w:val="5"/>
  </w:num>
  <w:num w:numId="7" w16cid:durableId="1188908463">
    <w:abstractNumId w:val="0"/>
  </w:num>
  <w:num w:numId="8" w16cid:durableId="56761209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2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16227"/>
    <w:rsid w:val="00025E4C"/>
    <w:rsid w:val="000365FA"/>
    <w:rsid w:val="000373C6"/>
    <w:rsid w:val="00043C9D"/>
    <w:rsid w:val="00076AC0"/>
    <w:rsid w:val="000840A5"/>
    <w:rsid w:val="00092E7A"/>
    <w:rsid w:val="000B71CA"/>
    <w:rsid w:val="000C16DC"/>
    <w:rsid w:val="000C2E1A"/>
    <w:rsid w:val="000C4EDA"/>
    <w:rsid w:val="000F010F"/>
    <w:rsid w:val="00102387"/>
    <w:rsid w:val="00116150"/>
    <w:rsid w:val="001614E3"/>
    <w:rsid w:val="00167290"/>
    <w:rsid w:val="001A0214"/>
    <w:rsid w:val="001B7A40"/>
    <w:rsid w:val="001F6DDB"/>
    <w:rsid w:val="00216C85"/>
    <w:rsid w:val="00223A74"/>
    <w:rsid w:val="0023622D"/>
    <w:rsid w:val="00252718"/>
    <w:rsid w:val="0025293F"/>
    <w:rsid w:val="002633A1"/>
    <w:rsid w:val="002713E1"/>
    <w:rsid w:val="00273EDD"/>
    <w:rsid w:val="00281C30"/>
    <w:rsid w:val="002846BF"/>
    <w:rsid w:val="00285322"/>
    <w:rsid w:val="00286296"/>
    <w:rsid w:val="002C3965"/>
    <w:rsid w:val="002D5EDB"/>
    <w:rsid w:val="002D60D4"/>
    <w:rsid w:val="002F2C0A"/>
    <w:rsid w:val="00300159"/>
    <w:rsid w:val="0031328E"/>
    <w:rsid w:val="00321C4C"/>
    <w:rsid w:val="003605C1"/>
    <w:rsid w:val="00370282"/>
    <w:rsid w:val="003A6371"/>
    <w:rsid w:val="003B1E8F"/>
    <w:rsid w:val="003D60E7"/>
    <w:rsid w:val="003D6909"/>
    <w:rsid w:val="003E03CB"/>
    <w:rsid w:val="003E15B7"/>
    <w:rsid w:val="003E664E"/>
    <w:rsid w:val="003F44D3"/>
    <w:rsid w:val="003F708F"/>
    <w:rsid w:val="00402533"/>
    <w:rsid w:val="00413871"/>
    <w:rsid w:val="00421E4C"/>
    <w:rsid w:val="00442E4E"/>
    <w:rsid w:val="004577F7"/>
    <w:rsid w:val="0048058C"/>
    <w:rsid w:val="00487613"/>
    <w:rsid w:val="004F06C9"/>
    <w:rsid w:val="005247B0"/>
    <w:rsid w:val="00567867"/>
    <w:rsid w:val="00577E67"/>
    <w:rsid w:val="00582CCB"/>
    <w:rsid w:val="005851AD"/>
    <w:rsid w:val="005C3EAF"/>
    <w:rsid w:val="005D713F"/>
    <w:rsid w:val="005F2F04"/>
    <w:rsid w:val="005F6D92"/>
    <w:rsid w:val="00661C86"/>
    <w:rsid w:val="00686EBF"/>
    <w:rsid w:val="0068748D"/>
    <w:rsid w:val="00696CF6"/>
    <w:rsid w:val="006F0209"/>
    <w:rsid w:val="00713180"/>
    <w:rsid w:val="007151E5"/>
    <w:rsid w:val="00764F2A"/>
    <w:rsid w:val="00780217"/>
    <w:rsid w:val="0079465D"/>
    <w:rsid w:val="00794779"/>
    <w:rsid w:val="007A6A22"/>
    <w:rsid w:val="007A7297"/>
    <w:rsid w:val="007C67C7"/>
    <w:rsid w:val="007D055B"/>
    <w:rsid w:val="007D66D6"/>
    <w:rsid w:val="007E7745"/>
    <w:rsid w:val="007F46EF"/>
    <w:rsid w:val="00816F40"/>
    <w:rsid w:val="008353D4"/>
    <w:rsid w:val="00853DAF"/>
    <w:rsid w:val="00866541"/>
    <w:rsid w:val="00874324"/>
    <w:rsid w:val="00895A5E"/>
    <w:rsid w:val="008D512D"/>
    <w:rsid w:val="008E6DC5"/>
    <w:rsid w:val="00946B24"/>
    <w:rsid w:val="00975D66"/>
    <w:rsid w:val="009761DC"/>
    <w:rsid w:val="00976C36"/>
    <w:rsid w:val="009B72AD"/>
    <w:rsid w:val="009D1D1E"/>
    <w:rsid w:val="009D6F39"/>
    <w:rsid w:val="009E3589"/>
    <w:rsid w:val="009F07F1"/>
    <w:rsid w:val="009F5AF6"/>
    <w:rsid w:val="00A035FD"/>
    <w:rsid w:val="00A0698C"/>
    <w:rsid w:val="00AA4DD8"/>
    <w:rsid w:val="00AA62A6"/>
    <w:rsid w:val="00AB4E08"/>
    <w:rsid w:val="00AE0759"/>
    <w:rsid w:val="00AE3D09"/>
    <w:rsid w:val="00AF2969"/>
    <w:rsid w:val="00B21D29"/>
    <w:rsid w:val="00B2695D"/>
    <w:rsid w:val="00B7011C"/>
    <w:rsid w:val="00B75187"/>
    <w:rsid w:val="00B92565"/>
    <w:rsid w:val="00B92617"/>
    <w:rsid w:val="00BD0069"/>
    <w:rsid w:val="00BE544D"/>
    <w:rsid w:val="00C03A91"/>
    <w:rsid w:val="00C35578"/>
    <w:rsid w:val="00C41171"/>
    <w:rsid w:val="00C8149B"/>
    <w:rsid w:val="00CB2112"/>
    <w:rsid w:val="00CB5CBC"/>
    <w:rsid w:val="00CC3B4D"/>
    <w:rsid w:val="00CD2863"/>
    <w:rsid w:val="00CE7A90"/>
    <w:rsid w:val="00CF76F1"/>
    <w:rsid w:val="00D040D5"/>
    <w:rsid w:val="00D17016"/>
    <w:rsid w:val="00D223BF"/>
    <w:rsid w:val="00D30BC6"/>
    <w:rsid w:val="00D4706F"/>
    <w:rsid w:val="00D73FB0"/>
    <w:rsid w:val="00D860F2"/>
    <w:rsid w:val="00DA2A1E"/>
    <w:rsid w:val="00DA2DF1"/>
    <w:rsid w:val="00DA6075"/>
    <w:rsid w:val="00DA709B"/>
    <w:rsid w:val="00DB6D4B"/>
    <w:rsid w:val="00DD12E0"/>
    <w:rsid w:val="00DD1DA1"/>
    <w:rsid w:val="00E01347"/>
    <w:rsid w:val="00E2038D"/>
    <w:rsid w:val="00E41A28"/>
    <w:rsid w:val="00E512E8"/>
    <w:rsid w:val="00E5700C"/>
    <w:rsid w:val="00E9110B"/>
    <w:rsid w:val="00EA0472"/>
    <w:rsid w:val="00EA796F"/>
    <w:rsid w:val="00EB12BC"/>
    <w:rsid w:val="00EC5DAE"/>
    <w:rsid w:val="00EC785F"/>
    <w:rsid w:val="00ED6A7A"/>
    <w:rsid w:val="00EE55E7"/>
    <w:rsid w:val="00EF0F5A"/>
    <w:rsid w:val="00F137E3"/>
    <w:rsid w:val="00F34909"/>
    <w:rsid w:val="00F44C8F"/>
    <w:rsid w:val="00F82BFB"/>
    <w:rsid w:val="00FD73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8EB1080A-AF07-4431-94ED-C80E0754A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 w:line="360" w:lineRule="auto"/>
      <w:jc w:val="both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F2969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B7518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 /><Relationship Id="rId13" Type="http://schemas.openxmlformats.org/officeDocument/2006/relationships/hyperlink" Target="https://www.gov.uk/government/publications/working-together-to-safeguard-children" TargetMode="External" /><Relationship Id="rId18" Type="http://schemas.openxmlformats.org/officeDocument/2006/relationships/hyperlink" Target="https://www.rcpch.ac.uk" TargetMode="External" /><Relationship Id="rId3" Type="http://schemas.openxmlformats.org/officeDocument/2006/relationships/settings" Target="settings.xml" /><Relationship Id="rId21" Type="http://schemas.openxmlformats.org/officeDocument/2006/relationships/fontTable" Target="fontTable.xml" /><Relationship Id="rId7" Type="http://schemas.openxmlformats.org/officeDocument/2006/relationships/image" Target="media/image1.png" /><Relationship Id="rId12" Type="http://schemas.openxmlformats.org/officeDocument/2006/relationships/hyperlink" Target="https://doi.org/" TargetMode="External" /><Relationship Id="rId17" Type="http://schemas.openxmlformats.org/officeDocument/2006/relationships/hyperlink" Target="https://journals.sagepub.com/doi/10.1037/gpr0000016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www.joannanicolas.co.uk/wp-content/uploads/2023/10/child-safeguarding-practice-review-Oct-23-Adult-A-BSCP-2020-21-02-Child-A-CSPR.pdf" TargetMode="External" /><Relationship Id="rId20" Type="http://schemas.openxmlformats.org/officeDocument/2006/relationships/footer" Target="footer1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lscpbirmingham.org.uk/case-reviews-and-audits/learning-from-reviews/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www.nice.org.uk/guidance/ng76" TargetMode="External" /><Relationship Id="rId10" Type="http://schemas.openxmlformats.org/officeDocument/2006/relationships/hyperlink" Target="https://lscpbirmingham.org.uk/wp-content/uploads/2023/10/BSCP-2020-21-02-Child-A-CSPR.pdf" TargetMode="External" /><Relationship Id="rId19" Type="http://schemas.openxmlformats.org/officeDocument/2006/relationships/hyperlink" Target="https://www.who.int/publications/i/item/inspire-seven-strategies-for-ending-violence-against-children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nice.org.uk/guidance/ng76" TargetMode="External" /><Relationship Id="rId14" Type="http://schemas.openxmlformats.org/officeDocument/2006/relationships/hyperlink" Target="https://www.gov.uk/government/publications/working-together-to-safeguard-children" TargetMode="External" /><Relationship Id="rId22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782</Words>
  <Characters>4458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zumira franco</cp:lastModifiedBy>
  <cp:revision>2</cp:revision>
  <cp:lastPrinted>2026-04-08T10:29:00Z</cp:lastPrinted>
  <dcterms:created xsi:type="dcterms:W3CDTF">2026-07-13T22:38:00Z</dcterms:created>
  <dcterms:modified xsi:type="dcterms:W3CDTF">2026-07-13T22:38:00Z</dcterms:modified>
</cp:coreProperties>
</file>