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763F000B"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A44BDB">
        <w:rPr>
          <w:rFonts w:asciiTheme="minorBidi" w:hAnsiTheme="minorBidi"/>
          <w:sz w:val="28"/>
          <w:szCs w:val="28"/>
        </w:rPr>
        <w:t>Soner Yarasikli</w:t>
      </w:r>
    </w:p>
    <w:p w14:paraId="485B6F49" w14:textId="3E37D880"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A44BDB">
        <w:rPr>
          <w:rFonts w:asciiTheme="minorBidi" w:hAnsiTheme="minorBidi"/>
          <w:sz w:val="28"/>
          <w:szCs w:val="28"/>
        </w:rPr>
        <w:t>2519545</w:t>
      </w:r>
    </w:p>
    <w:p w14:paraId="3C1E7A20" w14:textId="3A244711"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1A4FB0" w:rsidRPr="001A4FB0">
        <w:rPr>
          <w:rFonts w:asciiTheme="minorBidi" w:hAnsiTheme="minorBidi"/>
          <w:sz w:val="28"/>
          <w:szCs w:val="28"/>
        </w:rPr>
        <w:t>LCHS4007</w:t>
      </w:r>
    </w:p>
    <w:p w14:paraId="4EEB2DA3" w14:textId="00324A55"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1A4FB0" w:rsidRPr="001A4FB0">
        <w:rPr>
          <w:rFonts w:asciiTheme="minorBidi" w:hAnsiTheme="minorBidi"/>
          <w:sz w:val="28"/>
          <w:szCs w:val="28"/>
        </w:rPr>
        <w:t>Digital Skills and Research Methods</w:t>
      </w:r>
    </w:p>
    <w:p w14:paraId="4A73B1BE" w14:textId="73762322"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1A4FB0" w:rsidRPr="001A4FB0">
        <w:rPr>
          <w:rFonts w:asciiTheme="minorBidi" w:hAnsiTheme="minorBidi"/>
          <w:sz w:val="28"/>
          <w:szCs w:val="28"/>
        </w:rPr>
        <w:t>Markus Klingelfuss</w:t>
      </w:r>
    </w:p>
    <w:p w14:paraId="1E10DE92" w14:textId="77777777" w:rsidR="00BA0FFD" w:rsidRDefault="00BA0FFD" w:rsidP="00ED5964">
      <w:pPr>
        <w:jc w:val="both"/>
        <w:rPr>
          <w:rFonts w:asciiTheme="minorBidi" w:hAnsiTheme="minorBidi"/>
          <w:sz w:val="28"/>
          <w:szCs w:val="28"/>
        </w:rPr>
      </w:pPr>
    </w:p>
    <w:p w14:paraId="072506E1" w14:textId="446ECBB4" w:rsidR="00ED5964"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BA0FFD">
        <w:rPr>
          <w:rFonts w:asciiTheme="minorBidi" w:hAnsiTheme="minorBidi"/>
          <w:sz w:val="28"/>
          <w:szCs w:val="28"/>
        </w:rPr>
        <w:t>24/03/2026</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602E56E9" w14:textId="77777777" w:rsidR="00BA0FFD" w:rsidRDefault="00BA0FFD" w:rsidP="00ED5964">
      <w:pPr>
        <w:jc w:val="both"/>
        <w:rPr>
          <w:rFonts w:asciiTheme="minorBidi" w:hAnsiTheme="minorBidi"/>
          <w:sz w:val="28"/>
          <w:szCs w:val="28"/>
        </w:rPr>
      </w:pPr>
    </w:p>
    <w:p w14:paraId="79B87AF4" w14:textId="77777777" w:rsidR="00BA0FFD" w:rsidRDefault="00BA0FFD" w:rsidP="00ED5964">
      <w:pPr>
        <w:jc w:val="both"/>
        <w:rPr>
          <w:rFonts w:asciiTheme="minorBidi" w:hAnsiTheme="minorBidi"/>
          <w:sz w:val="28"/>
          <w:szCs w:val="28"/>
        </w:rPr>
      </w:pPr>
    </w:p>
    <w:p w14:paraId="1F50630C" w14:textId="77777777" w:rsidR="00BA0FFD" w:rsidRDefault="00BA0FFD" w:rsidP="00ED5964">
      <w:pPr>
        <w:jc w:val="both"/>
        <w:rPr>
          <w:rFonts w:asciiTheme="minorBidi" w:hAnsiTheme="minorBidi"/>
          <w:sz w:val="28"/>
          <w:szCs w:val="28"/>
        </w:rPr>
      </w:pPr>
    </w:p>
    <w:p w14:paraId="6711ACC7" w14:textId="77777777" w:rsidR="00BA0FFD" w:rsidRDefault="00BA0FFD" w:rsidP="00ED5964">
      <w:pPr>
        <w:jc w:val="both"/>
        <w:rPr>
          <w:rFonts w:asciiTheme="minorBidi" w:hAnsiTheme="minorBidi"/>
          <w:sz w:val="28"/>
          <w:szCs w:val="28"/>
        </w:rPr>
      </w:pPr>
    </w:p>
    <w:p w14:paraId="1D80404F" w14:textId="77777777" w:rsidR="00BA0FFD" w:rsidRDefault="00BA0FFD" w:rsidP="00ED5964">
      <w:pPr>
        <w:jc w:val="both"/>
        <w:rPr>
          <w:rFonts w:asciiTheme="minorBidi" w:hAnsiTheme="minorBidi"/>
          <w:sz w:val="28"/>
          <w:szCs w:val="28"/>
        </w:rPr>
      </w:pPr>
    </w:p>
    <w:p w14:paraId="31FB800B" w14:textId="77777777" w:rsidR="00BA0FFD" w:rsidRDefault="00BA0FFD" w:rsidP="00ED5964">
      <w:pPr>
        <w:jc w:val="both"/>
        <w:rPr>
          <w:rFonts w:asciiTheme="minorBidi" w:hAnsiTheme="minorBidi"/>
          <w:sz w:val="28"/>
          <w:szCs w:val="28"/>
        </w:rPr>
      </w:pPr>
    </w:p>
    <w:p w14:paraId="0295E2AB" w14:textId="77777777" w:rsidR="00BA0FFD" w:rsidRDefault="00BA0FFD" w:rsidP="00ED5964">
      <w:pPr>
        <w:jc w:val="both"/>
        <w:rPr>
          <w:rFonts w:asciiTheme="minorBidi" w:hAnsiTheme="minorBidi"/>
          <w:sz w:val="28"/>
          <w:szCs w:val="28"/>
        </w:rPr>
      </w:pPr>
    </w:p>
    <w:p w14:paraId="752F80A9" w14:textId="77777777" w:rsidR="00BA0FFD" w:rsidRDefault="00BA0FFD" w:rsidP="00ED5964">
      <w:pPr>
        <w:jc w:val="both"/>
        <w:rPr>
          <w:rFonts w:asciiTheme="minorBidi" w:hAnsiTheme="minorBidi"/>
          <w:sz w:val="28"/>
          <w:szCs w:val="28"/>
        </w:rPr>
      </w:pPr>
    </w:p>
    <w:p w14:paraId="289F6D79" w14:textId="77777777" w:rsidR="00BA0FFD" w:rsidRDefault="00BA0FFD" w:rsidP="00ED5964">
      <w:pPr>
        <w:jc w:val="both"/>
        <w:rPr>
          <w:rFonts w:asciiTheme="minorBidi" w:hAnsiTheme="minorBidi"/>
          <w:sz w:val="28"/>
          <w:szCs w:val="28"/>
        </w:rPr>
      </w:pPr>
    </w:p>
    <w:p w14:paraId="25B07FED" w14:textId="77777777" w:rsidR="00BA0FFD" w:rsidRPr="002D0222" w:rsidRDefault="00BA0FFD" w:rsidP="00BA0FFD">
      <w:pPr>
        <w:jc w:val="center"/>
        <w:rPr>
          <w:rFonts w:ascii="Arial" w:hAnsi="Arial" w:cs="Arial"/>
          <w:b/>
          <w:bCs/>
          <w:sz w:val="28"/>
          <w:szCs w:val="28"/>
        </w:rPr>
      </w:pPr>
      <w:r w:rsidRPr="002D0222">
        <w:rPr>
          <w:rFonts w:ascii="Arial" w:hAnsi="Arial" w:cs="Arial"/>
          <w:b/>
          <w:bCs/>
          <w:sz w:val="28"/>
          <w:szCs w:val="28"/>
        </w:rPr>
        <w:lastRenderedPageBreak/>
        <w:t>Bipolar Disorder in the UK</w:t>
      </w:r>
    </w:p>
    <w:p w14:paraId="7F287099" w14:textId="77777777" w:rsidR="00BA0FFD" w:rsidRPr="002D0222" w:rsidRDefault="00BA0FFD" w:rsidP="00BA0FFD">
      <w:pPr>
        <w:rPr>
          <w:rFonts w:ascii="Arial" w:hAnsi="Arial" w:cs="Arial"/>
          <w:b/>
          <w:bCs/>
        </w:rPr>
      </w:pPr>
      <w:r w:rsidRPr="002D0222">
        <w:rPr>
          <w:rFonts w:ascii="Arial" w:hAnsi="Arial" w:cs="Arial"/>
          <w:b/>
          <w:bCs/>
        </w:rPr>
        <w:t>Introduction</w:t>
      </w:r>
    </w:p>
    <w:p w14:paraId="4D74A50D" w14:textId="77777777" w:rsidR="00BA0FFD" w:rsidRPr="002D0222" w:rsidRDefault="00BA0FFD" w:rsidP="00BA0FFD">
      <w:pPr>
        <w:rPr>
          <w:rFonts w:ascii="Arial" w:hAnsi="Arial" w:cs="Arial"/>
          <w:sz w:val="22"/>
        </w:rPr>
      </w:pPr>
      <w:r w:rsidRPr="002D0222">
        <w:rPr>
          <w:rFonts w:ascii="Arial" w:hAnsi="Arial" w:cs="Arial"/>
          <w:sz w:val="22"/>
        </w:rPr>
        <w:t>Bipolar disorder is a long-term mood disorder affecting more than one million people in the United Kingdom (Bipolar UK, 2026). It is clinically defined by significant fluctuations in mood, ranging from mania or hypomania to debilitating depression (StatPearls, 2023). A major challenge within the UK healthcare system is the "lost decade," where patients experience an average diagnostic delay of 9.5 years after first presenting symptoms to a clinician (Hoppe </w:t>
      </w:r>
      <w:r w:rsidRPr="002D0222">
        <w:rPr>
          <w:rFonts w:ascii="Arial" w:hAnsi="Arial" w:cs="Arial"/>
          <w:i/>
          <w:iCs/>
          <w:sz w:val="22"/>
        </w:rPr>
        <w:t>et al.</w:t>
      </w:r>
      <w:r w:rsidRPr="002D0222">
        <w:rPr>
          <w:rFonts w:ascii="Arial" w:hAnsi="Arial" w:cs="Arial"/>
          <w:sz w:val="22"/>
        </w:rPr>
        <w:t>, 2025). This report will examine the bipolar disorder in the UK and providing a critical appraisal of three sources while establishing methodological frameworks and data acquisition protocols for subsequent research.</w:t>
      </w:r>
    </w:p>
    <w:p w14:paraId="0EECCD26" w14:textId="77777777" w:rsidR="00BA0FFD" w:rsidRPr="002D0222" w:rsidRDefault="00BA0FFD" w:rsidP="00BA0FFD">
      <w:pPr>
        <w:rPr>
          <w:rFonts w:ascii="Arial" w:hAnsi="Arial" w:cs="Arial"/>
          <w:sz w:val="22"/>
        </w:rPr>
      </w:pPr>
    </w:p>
    <w:p w14:paraId="2D86F416" w14:textId="77777777" w:rsidR="00BA0FFD" w:rsidRPr="002D0222" w:rsidRDefault="00BA0FFD" w:rsidP="00BA0FFD">
      <w:pPr>
        <w:rPr>
          <w:rFonts w:ascii="Arial" w:hAnsi="Arial" w:cs="Arial"/>
          <w:b/>
          <w:bCs/>
          <w:sz w:val="24"/>
          <w:szCs w:val="24"/>
        </w:rPr>
      </w:pPr>
      <w:r w:rsidRPr="002D0222">
        <w:rPr>
          <w:rFonts w:ascii="Arial" w:hAnsi="Arial" w:cs="Arial"/>
          <w:b/>
          <w:bCs/>
          <w:sz w:val="24"/>
          <w:szCs w:val="24"/>
        </w:rPr>
        <w:t>Selection of Research Topic</w:t>
      </w:r>
    </w:p>
    <w:p w14:paraId="2D4EBC32" w14:textId="77777777" w:rsidR="00BA0FFD" w:rsidRPr="002D0222" w:rsidRDefault="00BA0FFD" w:rsidP="00BA0FFD">
      <w:pPr>
        <w:rPr>
          <w:rFonts w:ascii="Arial" w:hAnsi="Arial" w:cs="Arial"/>
          <w:sz w:val="22"/>
        </w:rPr>
      </w:pPr>
      <w:r w:rsidRPr="002D0222">
        <w:rPr>
          <w:rFonts w:ascii="Arial" w:hAnsi="Arial" w:cs="Arial"/>
          <w:sz w:val="22"/>
        </w:rPr>
        <w:t>This report investigates bipolar disorder, analysing its profound implications for both the healthcare infrastructure and social framework. The management of bipolar disorder in the United Kingdom is currently hindered by systemic inefficiencies, most notably an average diagnostic delay of 9.5 years from the initial presentation of symptoms (Hoppe </w:t>
      </w:r>
      <w:r w:rsidRPr="002D0222">
        <w:rPr>
          <w:rFonts w:ascii="Arial" w:hAnsi="Arial" w:cs="Arial"/>
          <w:i/>
          <w:iCs/>
          <w:sz w:val="22"/>
        </w:rPr>
        <w:t>et al.</w:t>
      </w:r>
      <w:r w:rsidRPr="002D0222">
        <w:rPr>
          <w:rFonts w:ascii="Arial" w:hAnsi="Arial" w:cs="Arial"/>
          <w:sz w:val="22"/>
        </w:rPr>
        <w:t>, 2025). Within the NHS framework, the transition between primary and secondary care often lacks necessary integration, resulting in an "episodic" model of care that fails to provide lifetime continuity (Bipolar UK, 2025). NICE guidelines advocate for a combination of pharmacotherapy and psychological intervention; however, resource constraints and high vacancy rates for mental health professionals frequently limit access to specialized cognitive behavioural therapy (CBT) and structured psychoeducation (NICE, 2024). Furthermore, regional disparities often termed the "postcode lottery" create significant inequalities in the frequency of physical health monitoring for patients on mood stabilisers, such as lithium, which has seen a decline in use despite its proven efficacy in reducing suicide risk (Royal College of Psychiatrists, 2024). These gaps exacerbate the risk of comorbid conditions, contributing to a mortality rate for individuals with bipolar disorder that is 2–3 times higher than the general population average, with patients often dying 10–15 years younger (University of Birmingham, 2025).</w:t>
      </w:r>
    </w:p>
    <w:p w14:paraId="40969997" w14:textId="77777777" w:rsidR="00BA0FFD" w:rsidRPr="002D0222" w:rsidRDefault="00BA0FFD" w:rsidP="00BA0FFD">
      <w:pPr>
        <w:rPr>
          <w:rFonts w:ascii="Arial" w:hAnsi="Arial" w:cs="Arial"/>
          <w:sz w:val="22"/>
        </w:rPr>
      </w:pPr>
      <w:r w:rsidRPr="002D0222">
        <w:rPr>
          <w:rFonts w:ascii="Arial" w:hAnsi="Arial" w:cs="Arial"/>
          <w:sz w:val="22"/>
        </w:rPr>
        <w:t>The burden of bipolar disorder in the United Kingdom is disproportionately distributed across specific demographic and socioeconomic strata. Data from the Adult Psychiatric Morbidity Survey indicate that prevalence is highest among adults aged 25–44, with nearly 50% of cases manifesting before age 21 (NHS Digital, 2024). Furthermore, a significant correlation exists between socioeconomic deprivation and diagnostic rates; individuals in the lowest income deciles or those experiencing chronic debt screen positive at more than double the rate of the general population. While gender prevalence remains relatively balanced, women face distinct clinical challenges, particularly regarding postpartum psychosis and misdiagnosis as unipolar depression. Critically, ethnic minority groups, particularly Black British communities, often encounter more coercive pathways into secondary care, exacerbating existing health inequalities and contributing to a life expectancy gap of 10–20 years (Royal College of Psychiatrists, 2024).</w:t>
      </w:r>
    </w:p>
    <w:p w14:paraId="6C8EFE02" w14:textId="77777777" w:rsidR="00BA0FFD" w:rsidRPr="002D0222" w:rsidRDefault="00BA0FFD" w:rsidP="00BA0FFD">
      <w:pPr>
        <w:rPr>
          <w:rFonts w:ascii="Arial" w:hAnsi="Arial" w:cs="Arial"/>
          <w:b/>
          <w:bCs/>
          <w:sz w:val="22"/>
        </w:rPr>
      </w:pPr>
    </w:p>
    <w:p w14:paraId="44B38FDB" w14:textId="77777777" w:rsidR="00BA0FFD" w:rsidRPr="002D0222" w:rsidRDefault="00BA0FFD" w:rsidP="00BA0FFD">
      <w:pPr>
        <w:rPr>
          <w:rFonts w:ascii="Arial" w:hAnsi="Arial" w:cs="Arial"/>
          <w:b/>
          <w:bCs/>
          <w:sz w:val="22"/>
        </w:rPr>
      </w:pPr>
    </w:p>
    <w:p w14:paraId="37A2AB96" w14:textId="77777777" w:rsidR="00BA0FFD" w:rsidRPr="002D0222" w:rsidRDefault="00BA0FFD" w:rsidP="00BA0FFD">
      <w:pPr>
        <w:rPr>
          <w:rFonts w:ascii="Arial" w:hAnsi="Arial" w:cs="Arial"/>
          <w:b/>
          <w:bCs/>
        </w:rPr>
      </w:pPr>
      <w:r w:rsidRPr="002D0222">
        <w:rPr>
          <w:rFonts w:ascii="Arial" w:hAnsi="Arial" w:cs="Arial"/>
          <w:b/>
          <w:bCs/>
        </w:rPr>
        <w:t xml:space="preserve">Evaluation of Sources </w:t>
      </w:r>
    </w:p>
    <w:p w14:paraId="769D69F6" w14:textId="77777777" w:rsidR="00BA0FFD" w:rsidRPr="002D0222" w:rsidRDefault="00BA0FFD" w:rsidP="00BA0FFD">
      <w:pPr>
        <w:rPr>
          <w:rFonts w:ascii="Arial" w:hAnsi="Arial" w:cs="Arial"/>
          <w:b/>
          <w:bCs/>
          <w:sz w:val="22"/>
        </w:rPr>
      </w:pPr>
      <w:r w:rsidRPr="002D0222">
        <w:rPr>
          <w:rFonts w:ascii="Arial" w:hAnsi="Arial" w:cs="Arial"/>
          <w:b/>
          <w:bCs/>
          <w:sz w:val="22"/>
        </w:rPr>
        <w:t>Bipolar UK (2025) Bipolar and Welfare Reform Report.</w:t>
      </w:r>
    </w:p>
    <w:p w14:paraId="0FF705B8" w14:textId="77777777" w:rsidR="00BA0FFD" w:rsidRPr="002D0222" w:rsidRDefault="00BA0FFD" w:rsidP="00BA0FFD">
      <w:pPr>
        <w:rPr>
          <w:rFonts w:ascii="Arial" w:hAnsi="Arial" w:cs="Arial"/>
          <w:sz w:val="22"/>
        </w:rPr>
      </w:pPr>
      <w:r w:rsidRPr="002D0222">
        <w:rPr>
          <w:rFonts w:ascii="Arial" w:hAnsi="Arial" w:cs="Arial"/>
          <w:sz w:val="22"/>
        </w:rPr>
        <w:lastRenderedPageBreak/>
        <w:t>The </w:t>
      </w:r>
      <w:r w:rsidRPr="002D0222">
        <w:rPr>
          <w:rFonts w:ascii="Arial" w:hAnsi="Arial" w:cs="Arial"/>
          <w:i/>
          <w:iCs/>
          <w:sz w:val="22"/>
        </w:rPr>
        <w:t>Bipolar and Welfare Reform Report</w:t>
      </w:r>
      <w:r w:rsidRPr="002D0222">
        <w:rPr>
          <w:rFonts w:ascii="Arial" w:hAnsi="Arial" w:cs="Arial"/>
          <w:sz w:val="22"/>
        </w:rPr>
        <w:t> (2025) by Bipolar UK offers a critical, evidence-based examination of how evolving social security policies impact individuals with bipolar disorder. By highlighting the 9.5 years average diagnosis delay and incorporating direct community testimonials, the report effectively argues that rising benefit claims stem from systemic healthcare failures rather than a "worklessness" culture. The analysis challenges the Work Capability Assessment (WCA) for lacking specialist insight into fluctuating conditions and advocates for tailored solutions, such as the Individual Placement and Support (IPS) model. Ultimately, this document acts as an authoritative advocacy tool bridging clinical needs with social policy.</w:t>
      </w:r>
    </w:p>
    <w:p w14:paraId="12A3275B" w14:textId="77777777" w:rsidR="00BA0FFD" w:rsidRPr="002D0222" w:rsidRDefault="00BA0FFD" w:rsidP="00BA0FFD">
      <w:pPr>
        <w:rPr>
          <w:rFonts w:ascii="Arial" w:hAnsi="Arial" w:cs="Arial"/>
          <w:b/>
          <w:bCs/>
        </w:rPr>
      </w:pPr>
    </w:p>
    <w:p w14:paraId="18299ACA" w14:textId="77777777" w:rsidR="00BA0FFD" w:rsidRPr="002D0222" w:rsidRDefault="00BA0FFD" w:rsidP="00BA0FFD">
      <w:pPr>
        <w:rPr>
          <w:rFonts w:ascii="Arial" w:hAnsi="Arial" w:cs="Arial"/>
          <w:b/>
          <w:bCs/>
        </w:rPr>
      </w:pPr>
      <w:r w:rsidRPr="002D0222">
        <w:rPr>
          <w:rFonts w:ascii="Arial" w:hAnsi="Arial" w:cs="Arial"/>
          <w:b/>
          <w:bCs/>
        </w:rPr>
        <w:t>National Institute for Health and Care Excellence (NICE) (2024) Bipolar Disorder</w:t>
      </w:r>
    </w:p>
    <w:p w14:paraId="0F23EADD" w14:textId="77777777" w:rsidR="00BA0FFD" w:rsidRPr="002D0222" w:rsidRDefault="00BA0FFD" w:rsidP="00BA0FFD">
      <w:pPr>
        <w:rPr>
          <w:rFonts w:ascii="Arial" w:hAnsi="Arial" w:cs="Arial"/>
          <w:sz w:val="22"/>
        </w:rPr>
      </w:pPr>
      <w:r w:rsidRPr="002D0222">
        <w:rPr>
          <w:rFonts w:ascii="Arial" w:hAnsi="Arial" w:cs="Arial"/>
          <w:sz w:val="22"/>
        </w:rPr>
        <w:t>The </w:t>
      </w:r>
      <w:r w:rsidRPr="002D0222">
        <w:rPr>
          <w:rFonts w:ascii="Arial" w:hAnsi="Arial" w:cs="Arial"/>
          <w:b/>
          <w:bCs/>
          <w:sz w:val="22"/>
        </w:rPr>
        <w:t>NICE (2024)</w:t>
      </w:r>
      <w:r w:rsidRPr="002D0222">
        <w:rPr>
          <w:rFonts w:ascii="Arial" w:hAnsi="Arial" w:cs="Arial"/>
          <w:sz w:val="22"/>
        </w:rPr>
        <w:t> guidelines for bipolar disorder (CG185) serve as an indispensable, high-calibre benchmark for modern clinical practice. What makes this source particularly robust is its foundation in </w:t>
      </w:r>
      <w:r w:rsidRPr="002D0222">
        <w:rPr>
          <w:rFonts w:ascii="Arial" w:hAnsi="Arial" w:cs="Arial"/>
          <w:b/>
          <w:bCs/>
          <w:sz w:val="22"/>
        </w:rPr>
        <w:t>rigorous, multi-disciplinary review</w:t>
      </w:r>
      <w:r w:rsidRPr="002D0222">
        <w:rPr>
          <w:rFonts w:ascii="Arial" w:hAnsi="Arial" w:cs="Arial"/>
          <w:sz w:val="22"/>
        </w:rPr>
        <w:t>; it isn’t just a summary of opinions, but a systematic synthesis of the most current trial data and patient outcomes. By bridging the gap between pharmacological fixes and psychological support, NICE provides a </w:t>
      </w:r>
      <w:r w:rsidRPr="002D0222">
        <w:rPr>
          <w:rFonts w:ascii="Arial" w:hAnsi="Arial" w:cs="Arial"/>
          <w:b/>
          <w:bCs/>
          <w:sz w:val="22"/>
        </w:rPr>
        <w:t>holistic roadmap</w:t>
      </w:r>
      <w:r w:rsidRPr="002D0222">
        <w:rPr>
          <w:rFonts w:ascii="Arial" w:hAnsi="Arial" w:cs="Arial"/>
          <w:sz w:val="22"/>
        </w:rPr>
        <w:t> for treatment that prioritises the long-term stability of the patient over quick-fix symptom management.</w:t>
      </w:r>
    </w:p>
    <w:p w14:paraId="6FF5CB97" w14:textId="77777777" w:rsidR="00BA0FFD" w:rsidRPr="002D0222" w:rsidRDefault="00BA0FFD" w:rsidP="00BA0FFD">
      <w:pPr>
        <w:rPr>
          <w:rFonts w:ascii="Arial" w:hAnsi="Arial" w:cs="Arial"/>
          <w:sz w:val="22"/>
        </w:rPr>
      </w:pPr>
      <w:r w:rsidRPr="002D0222">
        <w:rPr>
          <w:rFonts w:ascii="Arial" w:hAnsi="Arial" w:cs="Arial"/>
          <w:sz w:val="22"/>
        </w:rPr>
        <w:t>One of its most impressive features is how it balances the needs of different demographics, specifically tailoring advice for both adults and young people a nuance often missed in broader medical summaries. While the 2024 update keeps the content fresh, one must remember that these are </w:t>
      </w:r>
      <w:r w:rsidRPr="002D0222">
        <w:rPr>
          <w:rFonts w:ascii="Arial" w:hAnsi="Arial" w:cs="Arial"/>
          <w:b/>
          <w:bCs/>
          <w:sz w:val="22"/>
        </w:rPr>
        <w:t>"living documents"</w:t>
      </w:r>
      <w:r w:rsidRPr="002D0222">
        <w:rPr>
          <w:rFonts w:ascii="Arial" w:hAnsi="Arial" w:cs="Arial"/>
          <w:sz w:val="22"/>
        </w:rPr>
        <w:t>; as psychiatric science evolves, even these gold-standard recommendations will eventually require scrutiny. Additionally, because the advice is so deeply entwined with the </w:t>
      </w:r>
      <w:r w:rsidRPr="002D0222">
        <w:rPr>
          <w:rFonts w:ascii="Arial" w:hAnsi="Arial" w:cs="Arial"/>
          <w:b/>
          <w:bCs/>
          <w:sz w:val="22"/>
        </w:rPr>
        <w:t>UK’s NHS infrastructure</w:t>
      </w:r>
      <w:r w:rsidRPr="002D0222">
        <w:rPr>
          <w:rFonts w:ascii="Arial" w:hAnsi="Arial" w:cs="Arial"/>
          <w:sz w:val="22"/>
        </w:rPr>
        <w:t>, practitioners working in different global healthcare models might find some of the logistical pathways difficult to replicate. Nevertheless, for anyone needing a </w:t>
      </w:r>
      <w:r w:rsidRPr="002D0222">
        <w:rPr>
          <w:rFonts w:ascii="Arial" w:hAnsi="Arial" w:cs="Arial"/>
          <w:b/>
          <w:bCs/>
          <w:sz w:val="22"/>
        </w:rPr>
        <w:t>definitive, evidence-based anchor</w:t>
      </w:r>
      <w:r w:rsidRPr="002D0222">
        <w:rPr>
          <w:rFonts w:ascii="Arial" w:hAnsi="Arial" w:cs="Arial"/>
          <w:sz w:val="22"/>
        </w:rPr>
        <w:t> for bipolar management, this guideline remains the most objective and comprehensive tool available today.</w:t>
      </w:r>
    </w:p>
    <w:p w14:paraId="43905F9C" w14:textId="77777777" w:rsidR="00BA0FFD" w:rsidRPr="002D0222" w:rsidRDefault="00BA0FFD" w:rsidP="00BA0FFD">
      <w:pPr>
        <w:rPr>
          <w:rFonts w:ascii="Arial" w:hAnsi="Arial" w:cs="Arial"/>
          <w:b/>
          <w:bCs/>
        </w:rPr>
      </w:pPr>
    </w:p>
    <w:p w14:paraId="14B0B1FA" w14:textId="77777777" w:rsidR="00BA0FFD" w:rsidRPr="002D0222" w:rsidRDefault="00BA0FFD" w:rsidP="00BA0FFD">
      <w:pPr>
        <w:rPr>
          <w:rFonts w:ascii="Arial" w:hAnsi="Arial" w:cs="Arial"/>
          <w:b/>
          <w:bCs/>
        </w:rPr>
      </w:pPr>
      <w:r w:rsidRPr="002D0222">
        <w:rPr>
          <w:rFonts w:ascii="Arial" w:hAnsi="Arial" w:cs="Arial"/>
          <w:b/>
          <w:bCs/>
        </w:rPr>
        <w:t>Stat Pearls (2023) Bipolar Disorder</w:t>
      </w:r>
    </w:p>
    <w:p w14:paraId="59A8702D" w14:textId="77777777" w:rsidR="00BA0FFD" w:rsidRPr="002D0222" w:rsidRDefault="00BA0FFD" w:rsidP="00BA0FFD">
      <w:pPr>
        <w:rPr>
          <w:rFonts w:ascii="Arial" w:hAnsi="Arial" w:cs="Arial"/>
          <w:sz w:val="22"/>
        </w:rPr>
      </w:pPr>
      <w:r w:rsidRPr="002D0222">
        <w:rPr>
          <w:rFonts w:ascii="Arial" w:hAnsi="Arial" w:cs="Arial"/>
          <w:sz w:val="22"/>
        </w:rPr>
        <w:t>The 2023 StatPearls entry on Bipolar Disorder stands out as a heavyweight clinical resource, primarily due to its home on the National Centre for Biotechnology Information (NCBI) platform. Because it undergoes a continuous "living" peer-review process, the information carries a level of authority that few standalone journals can match. What makes this source particularly valuable for academic work is its integration of the latest DSM-5-TR diagnostic criteria alongside a deep dive into the biochemical underpinnings of the disorder. It doesn't just list symptoms; it bridges the gap between molecular pathophysiology and practical, bedside management.</w:t>
      </w:r>
    </w:p>
    <w:p w14:paraId="2DE45C92" w14:textId="77777777" w:rsidR="00BA0FFD" w:rsidRPr="002D0222" w:rsidRDefault="00BA0FFD" w:rsidP="00BA0FFD">
      <w:pPr>
        <w:rPr>
          <w:rFonts w:ascii="Arial" w:hAnsi="Arial" w:cs="Arial"/>
          <w:sz w:val="22"/>
        </w:rPr>
      </w:pPr>
      <w:r w:rsidRPr="002D0222">
        <w:rPr>
          <w:rFonts w:ascii="Arial" w:hAnsi="Arial" w:cs="Arial"/>
          <w:sz w:val="22"/>
        </w:rPr>
        <w:t>From an evaluative standpoint, the breadth of the article is its greatest asset. It manages to synthesize complex pharmacological data—like the nuances of mood stabilizer titration with essential psychosocial strategies. This holistic approach is vital for any modern analysis of mental health. However, a potential drawback is its rigid, encyclopedic format. While it is a goldmine for facts and evidence-based protocols, it lacks the narrative depth or the "human element" found in qualitative case studies. Despite this, for any researcher needing a vetted, current, and highly structured foundation on Bipolar Disorder, this StatPearls update is an indispensable scholarly anchor.</w:t>
      </w:r>
    </w:p>
    <w:p w14:paraId="2CC007EF" w14:textId="77777777" w:rsidR="00BA0FFD" w:rsidRPr="002D0222" w:rsidRDefault="00BA0FFD" w:rsidP="00BA0FFD">
      <w:pPr>
        <w:rPr>
          <w:rFonts w:ascii="Arial" w:hAnsi="Arial" w:cs="Arial"/>
        </w:rPr>
      </w:pPr>
    </w:p>
    <w:p w14:paraId="5DFD2CD2" w14:textId="77777777" w:rsidR="00BA0FFD" w:rsidRPr="002D0222" w:rsidRDefault="00BA0FFD" w:rsidP="00BA0FFD">
      <w:pPr>
        <w:rPr>
          <w:rFonts w:ascii="Arial" w:hAnsi="Arial" w:cs="Arial"/>
          <w:b/>
          <w:bCs/>
        </w:rPr>
      </w:pPr>
      <w:r w:rsidRPr="002D0222">
        <w:rPr>
          <w:rFonts w:ascii="Arial" w:hAnsi="Arial" w:cs="Arial"/>
          <w:b/>
          <w:bCs/>
        </w:rPr>
        <w:t xml:space="preserve">Research Methodologies </w:t>
      </w:r>
    </w:p>
    <w:p w14:paraId="54AD5BB0" w14:textId="77777777" w:rsidR="00BA0FFD" w:rsidRPr="002D0222" w:rsidRDefault="00BA0FFD" w:rsidP="00BA0FFD">
      <w:pPr>
        <w:rPr>
          <w:rFonts w:ascii="Arial" w:hAnsi="Arial" w:cs="Arial"/>
          <w:sz w:val="22"/>
        </w:rPr>
      </w:pPr>
      <w:r w:rsidRPr="002D0222">
        <w:rPr>
          <w:rFonts w:ascii="Arial" w:hAnsi="Arial" w:cs="Arial"/>
          <w:sz w:val="22"/>
        </w:rPr>
        <w:t>Quantitative research prioritises numerical measurement and statistical validation to test objective theories, often employing tools like structured surveys to identify correlations across large populations (Creswell &amp; Creswell, 2018). Qualitative research adopts an interpretive lens to explore the nuanced meanings individuals assign to their social experiences, typically relying on open-ended interviews or ethnography to gather rich, descriptive data (Denzin &amp; Lincoln, 2011). Mixed-methods research integrates both paradigms, allowing investigators to triangulate findings by pairing broad statistical trends with specific personal narratives (Johnson et al., 2007).</w:t>
      </w:r>
    </w:p>
    <w:p w14:paraId="19A36241" w14:textId="77777777" w:rsidR="00BA0FFD" w:rsidRPr="002D0222" w:rsidRDefault="00BA0FFD" w:rsidP="00BA0FFD">
      <w:pPr>
        <w:rPr>
          <w:rFonts w:ascii="Arial" w:hAnsi="Arial" w:cs="Arial"/>
          <w:sz w:val="22"/>
        </w:rPr>
      </w:pPr>
      <w:r w:rsidRPr="002D0222">
        <w:rPr>
          <w:rFonts w:ascii="Arial" w:hAnsi="Arial" w:cs="Arial"/>
          <w:sz w:val="22"/>
        </w:rPr>
        <w:t>Choosing a mixed-method approach is really about getting the best of both worlds. While numbers give you the "what" through clear statistical trends, qualitative stories provide the "why" by adding much-needed human context. This strategy lets you cross-check your findings, making your final results far more credible and harder to dispute. Instead of just looking at surface-level data, you’re diving into the nuances that a single method might miss. Ultimately, blending these two styles creates a more rounded, persuasive argument that captures the full complexity of your research topic.</w:t>
      </w:r>
      <w:r w:rsidRPr="002D0222">
        <w:rPr>
          <w:rFonts w:ascii="Arial" w:hAnsi="Arial" w:cs="Arial"/>
          <w:color w:val="0A0A0A"/>
          <w:shd w:val="clear" w:color="auto" w:fill="F0F2F5"/>
        </w:rPr>
        <w:t xml:space="preserve"> </w:t>
      </w:r>
      <w:r w:rsidRPr="002D0222">
        <w:rPr>
          <w:rFonts w:ascii="Arial" w:hAnsi="Arial" w:cs="Arial"/>
          <w:sz w:val="22"/>
        </w:rPr>
        <w:t>Adopting a mixed-methods framework is essential for capturing the intersection between objective clinical metrics and the intricate, often fragmented, realities of managing bipolar disorder.</w:t>
      </w:r>
    </w:p>
    <w:p w14:paraId="2BFD1FFF" w14:textId="77777777" w:rsidR="00BA0FFD" w:rsidRPr="002D0222" w:rsidRDefault="00BA0FFD" w:rsidP="00BA0FFD">
      <w:pPr>
        <w:rPr>
          <w:rFonts w:ascii="Arial" w:hAnsi="Arial" w:cs="Arial"/>
        </w:rPr>
      </w:pPr>
    </w:p>
    <w:p w14:paraId="28C13EF2" w14:textId="77777777" w:rsidR="00BA0FFD" w:rsidRPr="002D0222" w:rsidRDefault="00BA0FFD" w:rsidP="00BA0FFD">
      <w:pPr>
        <w:rPr>
          <w:rFonts w:ascii="Arial" w:hAnsi="Arial" w:cs="Arial"/>
          <w:b/>
          <w:bCs/>
          <w:sz w:val="24"/>
          <w:szCs w:val="24"/>
        </w:rPr>
      </w:pPr>
      <w:r w:rsidRPr="002D0222">
        <w:rPr>
          <w:rFonts w:ascii="Arial" w:hAnsi="Arial" w:cs="Arial"/>
          <w:b/>
          <w:bCs/>
        </w:rPr>
        <w:t>Data Collection</w:t>
      </w:r>
    </w:p>
    <w:p w14:paraId="1898A46E" w14:textId="77777777" w:rsidR="00BA0FFD" w:rsidRPr="002D0222" w:rsidRDefault="00BA0FFD" w:rsidP="00BA0FFD">
      <w:pPr>
        <w:rPr>
          <w:rFonts w:ascii="Arial" w:hAnsi="Arial" w:cs="Arial"/>
          <w:sz w:val="22"/>
        </w:rPr>
      </w:pPr>
      <w:r w:rsidRPr="002D0222">
        <w:rPr>
          <w:rFonts w:ascii="Arial" w:hAnsi="Arial" w:cs="Arial"/>
          <w:sz w:val="22"/>
        </w:rPr>
        <w:t>Deciding between primary and secondary data depends largely on the researcher's specific goals and available resources. Primary data refers to unique, original information gathered directly by the researcher for the task at hand, often through hands-on methods like interviews or bespoke surveys (Ajayi, 2017). While this approach offers unmatched precision and relevance, it is notoriously resource-heavy and slow to execute (Scribbr, 2022). On the other hand, secondary data involves repurposing existing knowledge such as government statistics or archival records that was originally compiled by others (OpenLearn, 2021). Although this route is significantly more efficient and budget-friendly, the researcher must remain cautious, as the data may lack specific relevance or suffer from outdated contexts since they had no hand in the initial collection process (Saunders et al., 2023).</w:t>
      </w:r>
    </w:p>
    <w:p w14:paraId="32E8D39F" w14:textId="77777777" w:rsidR="00BA0FFD" w:rsidRPr="00810588" w:rsidRDefault="00BA0FFD" w:rsidP="00BA0FFD">
      <w:pPr>
        <w:spacing w:line="278" w:lineRule="auto"/>
        <w:rPr>
          <w:rFonts w:ascii="Arial" w:hAnsi="Arial" w:cs="Arial"/>
          <w:sz w:val="22"/>
        </w:rPr>
      </w:pPr>
      <w:r w:rsidRPr="00810588">
        <w:rPr>
          <w:rFonts w:ascii="Arial" w:hAnsi="Arial" w:cs="Arial"/>
          <w:sz w:val="22"/>
        </w:rPr>
        <w:t xml:space="preserve">Primary data collection for bipolar disorder research in the UK offers </w:t>
      </w:r>
      <w:r w:rsidRPr="002D0222">
        <w:rPr>
          <w:rFonts w:ascii="Arial" w:hAnsi="Arial" w:cs="Arial"/>
          <w:sz w:val="22"/>
        </w:rPr>
        <w:t>a great</w:t>
      </w:r>
      <w:r w:rsidRPr="00810588">
        <w:rPr>
          <w:rFonts w:ascii="Arial" w:hAnsi="Arial" w:cs="Arial"/>
          <w:sz w:val="22"/>
        </w:rPr>
        <w:t xml:space="preserve"> advantage of specificity, allowing researchers to capture the lived experiences of patients within the unique framework of the NHS</w:t>
      </w:r>
      <w:r w:rsidRPr="002D0222">
        <w:rPr>
          <w:rFonts w:ascii="Arial" w:hAnsi="Arial" w:cs="Arial"/>
          <w:sz w:val="22"/>
        </w:rPr>
        <w:t xml:space="preserve"> and private mental clinics</w:t>
      </w:r>
      <w:r w:rsidRPr="00810588">
        <w:rPr>
          <w:rFonts w:ascii="Arial" w:hAnsi="Arial" w:cs="Arial"/>
          <w:sz w:val="22"/>
        </w:rPr>
        <w:t>. By gathering firsthand information through interviews or clinics, you can address contemporary gaps</w:t>
      </w:r>
      <w:r w:rsidRPr="002D0222">
        <w:rPr>
          <w:rFonts w:ascii="Arial" w:hAnsi="Arial" w:cs="Arial"/>
          <w:sz w:val="22"/>
        </w:rPr>
        <w:t xml:space="preserve"> </w:t>
      </w:r>
      <w:r w:rsidRPr="00810588">
        <w:rPr>
          <w:rFonts w:ascii="Arial" w:hAnsi="Arial" w:cs="Arial"/>
          <w:sz w:val="22"/>
        </w:rPr>
        <w:t>such as the impact of current UK socioeconomic factors on relapse</w:t>
      </w:r>
      <w:r w:rsidRPr="002D0222">
        <w:rPr>
          <w:rFonts w:ascii="Arial" w:hAnsi="Arial" w:cs="Arial"/>
          <w:sz w:val="22"/>
        </w:rPr>
        <w:t xml:space="preserve"> </w:t>
      </w:r>
      <w:r w:rsidRPr="00810588">
        <w:rPr>
          <w:rFonts w:ascii="Arial" w:hAnsi="Arial" w:cs="Arial"/>
          <w:sz w:val="22"/>
        </w:rPr>
        <w:t>that dated secondary datasets might miss. This approach ensures the data is tailored to precise diagnostic criteria and specific regional demographics, providing a high level of accuracy and control over the variables being studied.</w:t>
      </w:r>
    </w:p>
    <w:p w14:paraId="290B556D" w14:textId="77777777" w:rsidR="00BA0FFD" w:rsidRPr="002D0222" w:rsidRDefault="00BA0FFD" w:rsidP="00BA0FFD">
      <w:pPr>
        <w:rPr>
          <w:rFonts w:ascii="Arial" w:hAnsi="Arial" w:cs="Arial"/>
          <w:sz w:val="22"/>
        </w:rPr>
      </w:pPr>
      <w:r w:rsidRPr="00810588">
        <w:rPr>
          <w:rFonts w:ascii="Arial" w:hAnsi="Arial" w:cs="Arial"/>
          <w:sz w:val="22"/>
        </w:rPr>
        <w:t>The decision to use primary data is justified because bipolar disorder is a deeply nuanced condition where standardised secondary records often lack the granular detail needed to understand personal triggers or the efficacy of local community care. Directly engaging with the UK patient population ensures the findings are current and directly applicable to improving local clinical pathways.</w:t>
      </w:r>
    </w:p>
    <w:p w14:paraId="32D90832" w14:textId="77777777" w:rsidR="00BA0FFD" w:rsidRPr="002D0222" w:rsidRDefault="00BA0FFD" w:rsidP="00BA0FFD">
      <w:pPr>
        <w:rPr>
          <w:rFonts w:ascii="Arial" w:hAnsi="Arial" w:cs="Arial"/>
          <w:sz w:val="22"/>
        </w:rPr>
      </w:pPr>
    </w:p>
    <w:p w14:paraId="4B1C3896" w14:textId="77777777" w:rsidR="00BA0FFD" w:rsidRPr="002D0222" w:rsidRDefault="00BA0FFD" w:rsidP="00BA0FFD">
      <w:pPr>
        <w:rPr>
          <w:rFonts w:ascii="Arial" w:hAnsi="Arial" w:cs="Arial"/>
          <w:b/>
          <w:bCs/>
          <w:sz w:val="24"/>
          <w:szCs w:val="24"/>
        </w:rPr>
      </w:pPr>
      <w:r w:rsidRPr="002D0222">
        <w:rPr>
          <w:rFonts w:ascii="Arial" w:hAnsi="Arial" w:cs="Arial"/>
          <w:b/>
          <w:bCs/>
          <w:sz w:val="24"/>
          <w:szCs w:val="24"/>
        </w:rPr>
        <w:lastRenderedPageBreak/>
        <w:t>Conclusion</w:t>
      </w:r>
    </w:p>
    <w:p w14:paraId="14B3A4D7" w14:textId="77777777" w:rsidR="00BA0FFD" w:rsidRPr="002D0222" w:rsidRDefault="00BA0FFD" w:rsidP="00BA0FFD">
      <w:pPr>
        <w:rPr>
          <w:rFonts w:ascii="Arial" w:hAnsi="Arial" w:cs="Arial"/>
          <w:sz w:val="22"/>
        </w:rPr>
      </w:pPr>
      <w:r w:rsidRPr="002D0222">
        <w:rPr>
          <w:rFonts w:ascii="Arial" w:hAnsi="Arial" w:cs="Arial"/>
          <w:sz w:val="22"/>
        </w:rPr>
        <w:t>In summary, bipolar disorder stays as an intimidating challenge for the UK’s healthcare system, essentially due to the 9.5-year diagnostic gap and fractured service delivery. While NICE guidelines provide a clear road map, the reality for over a million patients is often defined by geographic inequalities and a lack of integrated, long-term support. Addressing these systemic failures is not merely a matter of efficiency but a critical necessity to reduce the staggering mortality gap and mitigate the disproportionate impact on vulnerable socioeconomic and ethnic groups. Future efforts must prioritise early intervention and consistent monitoring to bridge the divide between current outcomes and equitable, life-saving care.</w:t>
      </w:r>
    </w:p>
    <w:p w14:paraId="4AC7977C" w14:textId="77777777" w:rsidR="00BA0FFD" w:rsidRPr="002D0222" w:rsidRDefault="00BA0FFD" w:rsidP="00BA0FFD">
      <w:pPr>
        <w:rPr>
          <w:rFonts w:ascii="Arial" w:hAnsi="Arial" w:cs="Arial"/>
          <w:b/>
          <w:bCs/>
        </w:rPr>
      </w:pPr>
    </w:p>
    <w:p w14:paraId="660B3F8B" w14:textId="77777777" w:rsidR="00BA0FFD" w:rsidRPr="002D0222" w:rsidRDefault="00BA0FFD" w:rsidP="00BA0FFD">
      <w:pPr>
        <w:rPr>
          <w:rFonts w:ascii="Arial" w:hAnsi="Arial" w:cs="Arial"/>
          <w:b/>
          <w:bCs/>
        </w:rPr>
      </w:pPr>
      <w:r w:rsidRPr="002D0222">
        <w:rPr>
          <w:rFonts w:ascii="Arial" w:hAnsi="Arial" w:cs="Arial"/>
          <w:b/>
          <w:bCs/>
        </w:rPr>
        <w:t>References</w:t>
      </w:r>
    </w:p>
    <w:p w14:paraId="5891ACFC" w14:textId="77777777" w:rsidR="00BA0FFD" w:rsidRPr="002D0222" w:rsidRDefault="00BA0FFD" w:rsidP="00BA0FFD">
      <w:pPr>
        <w:rPr>
          <w:rFonts w:ascii="Arial" w:hAnsi="Arial" w:cs="Arial"/>
          <w:b/>
          <w:bCs/>
        </w:rPr>
      </w:pPr>
    </w:p>
    <w:p w14:paraId="67A61231" w14:textId="77777777" w:rsidR="00BA0FFD" w:rsidRPr="002D0222" w:rsidRDefault="00BA0FFD" w:rsidP="00BA0FFD">
      <w:pPr>
        <w:numPr>
          <w:ilvl w:val="0"/>
          <w:numId w:val="24"/>
        </w:numPr>
        <w:spacing w:line="278" w:lineRule="auto"/>
        <w:rPr>
          <w:rFonts w:ascii="Arial" w:hAnsi="Arial" w:cs="Arial"/>
        </w:rPr>
      </w:pPr>
      <w:r w:rsidRPr="003E0C8B">
        <w:rPr>
          <w:rFonts w:ascii="Arial" w:hAnsi="Arial" w:cs="Arial"/>
        </w:rPr>
        <w:t>Ajayi, V.O. (2017) </w:t>
      </w:r>
      <w:r w:rsidRPr="003E0C8B">
        <w:rPr>
          <w:rFonts w:ascii="Arial" w:hAnsi="Arial" w:cs="Arial"/>
          <w:i/>
          <w:iCs/>
        </w:rPr>
        <w:t>Distinguish between Primary Sources of Data and Secondary Sources of Data</w:t>
      </w:r>
      <w:r w:rsidRPr="003E0C8B">
        <w:rPr>
          <w:rFonts w:ascii="Arial" w:hAnsi="Arial" w:cs="Arial"/>
        </w:rPr>
        <w:t>. Available at: researchgate.net (Accessed: 2</w:t>
      </w:r>
      <w:r>
        <w:rPr>
          <w:rFonts w:ascii="Arial" w:hAnsi="Arial" w:cs="Arial"/>
        </w:rPr>
        <w:t>3</w:t>
      </w:r>
      <w:r w:rsidRPr="003E0C8B">
        <w:rPr>
          <w:rFonts w:ascii="Arial" w:hAnsi="Arial" w:cs="Arial"/>
        </w:rPr>
        <w:t xml:space="preserve"> March 2026).</w:t>
      </w:r>
    </w:p>
    <w:p w14:paraId="6914C90D" w14:textId="77777777" w:rsidR="00BA0FFD" w:rsidRPr="002D0222" w:rsidRDefault="00BA0FFD" w:rsidP="00BA0FFD">
      <w:pPr>
        <w:numPr>
          <w:ilvl w:val="0"/>
          <w:numId w:val="23"/>
        </w:numPr>
        <w:spacing w:line="278" w:lineRule="auto"/>
        <w:rPr>
          <w:rFonts w:ascii="Arial" w:hAnsi="Arial" w:cs="Arial"/>
        </w:rPr>
      </w:pPr>
      <w:r w:rsidRPr="002D0222">
        <w:rPr>
          <w:rFonts w:ascii="Arial" w:hAnsi="Arial" w:cs="Arial"/>
        </w:rPr>
        <w:t>Bipolar UK (2025) </w:t>
      </w:r>
      <w:r w:rsidRPr="002D0222">
        <w:rPr>
          <w:rFonts w:ascii="Arial" w:hAnsi="Arial" w:cs="Arial"/>
          <w:i/>
          <w:iCs/>
        </w:rPr>
        <w:t>Bipolar and Welfare Reform Report – January 2025</w:t>
      </w:r>
      <w:r w:rsidRPr="002D0222">
        <w:rPr>
          <w:rFonts w:ascii="Arial" w:hAnsi="Arial" w:cs="Arial"/>
        </w:rPr>
        <w:t>. Available at: </w:t>
      </w:r>
      <w:hyperlink r:id="rId9" w:tgtFrame="_blank" w:history="1">
        <w:r w:rsidRPr="002D0222">
          <w:rPr>
            <w:rStyle w:val="Hyperlink"/>
            <w:rFonts w:ascii="Arial" w:hAnsi="Arial" w:cs="Arial"/>
          </w:rPr>
          <w:t>Bipolar UK</w:t>
        </w:r>
      </w:hyperlink>
      <w:r w:rsidRPr="002D0222">
        <w:rPr>
          <w:rFonts w:ascii="Arial" w:hAnsi="Arial" w:cs="Arial"/>
        </w:rPr>
        <w:t> (Accessed: 22 March 2026).</w:t>
      </w:r>
    </w:p>
    <w:p w14:paraId="5D71DD19" w14:textId="77777777" w:rsidR="00BA0FFD" w:rsidRPr="002D0222" w:rsidRDefault="00BA0FFD" w:rsidP="00BA0FFD">
      <w:pPr>
        <w:numPr>
          <w:ilvl w:val="0"/>
          <w:numId w:val="23"/>
        </w:numPr>
        <w:spacing w:line="278" w:lineRule="auto"/>
        <w:rPr>
          <w:rFonts w:ascii="Arial" w:hAnsi="Arial" w:cs="Arial"/>
        </w:rPr>
      </w:pPr>
      <w:r w:rsidRPr="002D0222">
        <w:rPr>
          <w:rFonts w:ascii="Arial" w:hAnsi="Arial" w:cs="Arial"/>
        </w:rPr>
        <w:t>Bipolar UK (2026) </w:t>
      </w:r>
      <w:r w:rsidRPr="002D0222">
        <w:rPr>
          <w:rFonts w:ascii="Arial" w:hAnsi="Arial" w:cs="Arial"/>
          <w:i/>
          <w:iCs/>
        </w:rPr>
        <w:t>New data reveals unemployment has doubled for people with bipolar</w:t>
      </w:r>
      <w:r w:rsidRPr="002D0222">
        <w:rPr>
          <w:rFonts w:ascii="Arial" w:hAnsi="Arial" w:cs="Arial"/>
        </w:rPr>
        <w:t>. Available at: https://www.bipolaruk.org/bipolarnews/data-reveals-unemployment-doubled-for-people-with-bipolar/ (Accessed: 22 March 2026).</w:t>
      </w:r>
    </w:p>
    <w:p w14:paraId="743BFF11" w14:textId="77777777" w:rsidR="00BA0FFD" w:rsidRPr="002D0222" w:rsidRDefault="00BA0FFD" w:rsidP="00BA0FFD">
      <w:pPr>
        <w:pStyle w:val="ListParagraph"/>
        <w:numPr>
          <w:ilvl w:val="0"/>
          <w:numId w:val="23"/>
        </w:numPr>
        <w:spacing w:line="278" w:lineRule="auto"/>
        <w:rPr>
          <w:rFonts w:ascii="Arial" w:hAnsi="Arial" w:cs="Arial"/>
        </w:rPr>
      </w:pPr>
      <w:r w:rsidRPr="002D0222">
        <w:rPr>
          <w:rFonts w:ascii="Arial" w:hAnsi="Arial" w:cs="Arial"/>
        </w:rPr>
        <w:t>Creswell, J.W. and Creswell, J.D. (2018) </w:t>
      </w:r>
      <w:r w:rsidRPr="002D0222">
        <w:rPr>
          <w:rFonts w:ascii="Arial" w:hAnsi="Arial" w:cs="Arial"/>
          <w:i/>
          <w:iCs/>
        </w:rPr>
        <w:t>Research design: qualitative, quantitative, and mixed methods approaches</w:t>
      </w:r>
      <w:r w:rsidRPr="002D0222">
        <w:rPr>
          <w:rFonts w:ascii="Arial" w:hAnsi="Arial" w:cs="Arial"/>
        </w:rPr>
        <w:t>. 5th edn. Los Angeles: SAGE Publications.</w:t>
      </w:r>
    </w:p>
    <w:p w14:paraId="53D297D3" w14:textId="2C3CF5E3" w:rsidR="00BA0FFD" w:rsidRPr="00BA0FFD" w:rsidRDefault="00BA0FFD" w:rsidP="00BA0FFD">
      <w:pPr>
        <w:pStyle w:val="ListParagraph"/>
        <w:numPr>
          <w:ilvl w:val="0"/>
          <w:numId w:val="23"/>
        </w:numPr>
        <w:spacing w:line="278" w:lineRule="auto"/>
        <w:rPr>
          <w:rFonts w:ascii="Arial" w:hAnsi="Arial" w:cs="Arial"/>
        </w:rPr>
      </w:pPr>
      <w:r w:rsidRPr="002D0222">
        <w:rPr>
          <w:rFonts w:ascii="Arial" w:hAnsi="Arial" w:cs="Arial"/>
        </w:rPr>
        <w:t>Denzin, N.K. and Lincoln, Y.S. (2011) </w:t>
      </w:r>
      <w:r w:rsidRPr="002D0222">
        <w:rPr>
          <w:rFonts w:ascii="Arial" w:hAnsi="Arial" w:cs="Arial"/>
          <w:i/>
          <w:iCs/>
        </w:rPr>
        <w:t>The SAGE handbook of qualitative research</w:t>
      </w:r>
      <w:r w:rsidRPr="002D0222">
        <w:rPr>
          <w:rFonts w:ascii="Arial" w:hAnsi="Arial" w:cs="Arial"/>
        </w:rPr>
        <w:t>. 4th edn. Thousand Oaks: SAGE Publications.</w:t>
      </w:r>
    </w:p>
    <w:p w14:paraId="51174D32" w14:textId="77777777" w:rsidR="00BA0FFD" w:rsidRPr="002D0222" w:rsidRDefault="00BA0FFD" w:rsidP="00BA0FFD">
      <w:pPr>
        <w:numPr>
          <w:ilvl w:val="0"/>
          <w:numId w:val="23"/>
        </w:numPr>
        <w:spacing w:line="278" w:lineRule="auto"/>
        <w:rPr>
          <w:rFonts w:ascii="Arial" w:hAnsi="Arial" w:cs="Arial"/>
        </w:rPr>
      </w:pPr>
      <w:r w:rsidRPr="002D0222">
        <w:rPr>
          <w:rFonts w:ascii="Arial" w:hAnsi="Arial" w:cs="Arial"/>
        </w:rPr>
        <w:t>Hoppe, S., </w:t>
      </w:r>
      <w:r w:rsidRPr="002D0222">
        <w:rPr>
          <w:rFonts w:ascii="Arial" w:hAnsi="Arial" w:cs="Arial"/>
          <w:i/>
          <w:iCs/>
        </w:rPr>
        <w:t>et al.</w:t>
      </w:r>
      <w:r w:rsidRPr="002D0222">
        <w:rPr>
          <w:rFonts w:ascii="Arial" w:hAnsi="Arial" w:cs="Arial"/>
        </w:rPr>
        <w:t> (2025) 'Reducing the Delay in the Diagnosis of Bipolar Disorder: A Qualitative Study', </w:t>
      </w:r>
      <w:r w:rsidRPr="002D0222">
        <w:rPr>
          <w:rFonts w:ascii="Arial" w:hAnsi="Arial" w:cs="Arial"/>
          <w:i/>
          <w:iCs/>
        </w:rPr>
        <w:t>Health Expectations, University College London Discovery</w:t>
      </w:r>
      <w:r w:rsidRPr="002D0222">
        <w:rPr>
          <w:rFonts w:ascii="Arial" w:hAnsi="Arial" w:cs="Arial"/>
        </w:rPr>
        <w:t>. Available at: </w:t>
      </w:r>
      <w:hyperlink r:id="rId10" w:tgtFrame="_blank" w:history="1">
        <w:r w:rsidRPr="002D0222">
          <w:rPr>
            <w:rStyle w:val="Hyperlink"/>
            <w:rFonts w:ascii="Arial" w:hAnsi="Arial" w:cs="Arial"/>
          </w:rPr>
          <w:t>UCL Discovery</w:t>
        </w:r>
      </w:hyperlink>
      <w:r w:rsidRPr="002D0222">
        <w:rPr>
          <w:rFonts w:ascii="Arial" w:hAnsi="Arial" w:cs="Arial"/>
        </w:rPr>
        <w:t> (Accessed: 2</w:t>
      </w:r>
      <w:r>
        <w:rPr>
          <w:rFonts w:ascii="Arial" w:hAnsi="Arial" w:cs="Arial"/>
        </w:rPr>
        <w:t>1</w:t>
      </w:r>
      <w:r w:rsidRPr="002D0222">
        <w:rPr>
          <w:rFonts w:ascii="Arial" w:hAnsi="Arial" w:cs="Arial"/>
        </w:rPr>
        <w:t xml:space="preserve"> March 2026).</w:t>
      </w:r>
    </w:p>
    <w:p w14:paraId="05F96550" w14:textId="77777777" w:rsidR="00BA0FFD" w:rsidRPr="002D0222" w:rsidRDefault="00BA0FFD" w:rsidP="00BA0FFD">
      <w:pPr>
        <w:pStyle w:val="ListParagraph"/>
        <w:numPr>
          <w:ilvl w:val="0"/>
          <w:numId w:val="23"/>
        </w:numPr>
        <w:spacing w:line="278" w:lineRule="auto"/>
        <w:rPr>
          <w:rFonts w:ascii="Arial" w:hAnsi="Arial" w:cs="Arial"/>
        </w:rPr>
      </w:pPr>
      <w:r w:rsidRPr="002D0222">
        <w:rPr>
          <w:rFonts w:ascii="Arial" w:hAnsi="Arial" w:cs="Arial"/>
        </w:rPr>
        <w:t>Johnson, R.B., Onwuegbuzie, A.J. and Turner, L.A. (2007) ‘Toward a definition of mixed methods research’, </w:t>
      </w:r>
      <w:r w:rsidRPr="002D0222">
        <w:rPr>
          <w:rFonts w:ascii="Arial" w:hAnsi="Arial" w:cs="Arial"/>
          <w:i/>
          <w:iCs/>
        </w:rPr>
        <w:t>Journal of Mixed Methods Research</w:t>
      </w:r>
      <w:r w:rsidRPr="002D0222">
        <w:rPr>
          <w:rFonts w:ascii="Arial" w:hAnsi="Arial" w:cs="Arial"/>
        </w:rPr>
        <w:t>, 1(2), pp. 112–133.</w:t>
      </w:r>
    </w:p>
    <w:p w14:paraId="4BB061FD" w14:textId="77777777" w:rsidR="00BA0FFD" w:rsidRPr="002D0222" w:rsidRDefault="00BA0FFD" w:rsidP="00BA0FFD">
      <w:pPr>
        <w:numPr>
          <w:ilvl w:val="0"/>
          <w:numId w:val="23"/>
        </w:numPr>
        <w:spacing w:line="278" w:lineRule="auto"/>
        <w:rPr>
          <w:rFonts w:ascii="Arial" w:hAnsi="Arial" w:cs="Arial"/>
        </w:rPr>
      </w:pPr>
      <w:r w:rsidRPr="002D0222">
        <w:rPr>
          <w:rFonts w:ascii="Arial" w:hAnsi="Arial" w:cs="Arial"/>
        </w:rPr>
        <w:t>National Institute for Health and Care Excellence (NICE) (2024) </w:t>
      </w:r>
      <w:r w:rsidRPr="002D0222">
        <w:rPr>
          <w:rFonts w:ascii="Arial" w:hAnsi="Arial" w:cs="Arial"/>
          <w:i/>
          <w:iCs/>
        </w:rPr>
        <w:t>Bipolar disorder: assessment and management (CG185)</w:t>
      </w:r>
      <w:r w:rsidRPr="002D0222">
        <w:rPr>
          <w:rFonts w:ascii="Arial" w:hAnsi="Arial" w:cs="Arial"/>
        </w:rPr>
        <w:t>. Available at: </w:t>
      </w:r>
      <w:hyperlink r:id="rId11" w:tgtFrame="_blank" w:history="1">
        <w:r w:rsidRPr="002D0222">
          <w:rPr>
            <w:rStyle w:val="Hyperlink"/>
            <w:rFonts w:ascii="Arial" w:hAnsi="Arial" w:cs="Arial"/>
          </w:rPr>
          <w:t>NICE</w:t>
        </w:r>
      </w:hyperlink>
      <w:r w:rsidRPr="002D0222">
        <w:rPr>
          <w:rFonts w:ascii="Arial" w:hAnsi="Arial" w:cs="Arial"/>
        </w:rPr>
        <w:t> (Accessed: 2</w:t>
      </w:r>
      <w:r>
        <w:rPr>
          <w:rFonts w:ascii="Arial" w:hAnsi="Arial" w:cs="Arial"/>
        </w:rPr>
        <w:t>1</w:t>
      </w:r>
      <w:r w:rsidRPr="002D0222">
        <w:rPr>
          <w:rFonts w:ascii="Arial" w:hAnsi="Arial" w:cs="Arial"/>
        </w:rPr>
        <w:t xml:space="preserve"> March 2026).</w:t>
      </w:r>
    </w:p>
    <w:p w14:paraId="48ABFC07" w14:textId="77777777" w:rsidR="00BA0FFD" w:rsidRPr="002D0222" w:rsidRDefault="00BA0FFD" w:rsidP="00BA0FFD">
      <w:pPr>
        <w:numPr>
          <w:ilvl w:val="0"/>
          <w:numId w:val="23"/>
        </w:numPr>
        <w:spacing w:line="278" w:lineRule="auto"/>
        <w:rPr>
          <w:rFonts w:ascii="Arial" w:hAnsi="Arial" w:cs="Arial"/>
        </w:rPr>
      </w:pPr>
      <w:r w:rsidRPr="002D0222">
        <w:rPr>
          <w:rFonts w:ascii="Arial" w:hAnsi="Arial" w:cs="Arial"/>
        </w:rPr>
        <w:t>NHS Digital (2024) </w:t>
      </w:r>
      <w:r w:rsidRPr="002D0222">
        <w:rPr>
          <w:rFonts w:ascii="Arial" w:hAnsi="Arial" w:cs="Arial"/>
          <w:i/>
          <w:iCs/>
        </w:rPr>
        <w:t>Adult Psychiatric Morbidity Survey: Survey of Mental Health and Wellbeing, England, 2023-24</w:t>
      </w:r>
      <w:r w:rsidRPr="002D0222">
        <w:rPr>
          <w:rFonts w:ascii="Arial" w:hAnsi="Arial" w:cs="Arial"/>
        </w:rPr>
        <w:t>. Available at: NHS Digital (Accessed: 2</w:t>
      </w:r>
      <w:r>
        <w:rPr>
          <w:rFonts w:ascii="Arial" w:hAnsi="Arial" w:cs="Arial"/>
        </w:rPr>
        <w:t>1</w:t>
      </w:r>
      <w:r w:rsidRPr="002D0222">
        <w:rPr>
          <w:rFonts w:ascii="Arial" w:hAnsi="Arial" w:cs="Arial"/>
        </w:rPr>
        <w:t xml:space="preserve"> March 2026).</w:t>
      </w:r>
    </w:p>
    <w:p w14:paraId="08F07F93" w14:textId="77777777" w:rsidR="00BA0FFD" w:rsidRPr="002D0222" w:rsidRDefault="00BA0FFD" w:rsidP="00BA0FFD">
      <w:pPr>
        <w:numPr>
          <w:ilvl w:val="0"/>
          <w:numId w:val="23"/>
        </w:numPr>
        <w:spacing w:line="278" w:lineRule="auto"/>
        <w:rPr>
          <w:rFonts w:ascii="Arial" w:hAnsi="Arial" w:cs="Arial"/>
        </w:rPr>
      </w:pPr>
      <w:r w:rsidRPr="003E0C8B">
        <w:rPr>
          <w:rFonts w:ascii="Arial" w:hAnsi="Arial" w:cs="Arial"/>
        </w:rPr>
        <w:t>OpenLearn (2021) </w:t>
      </w:r>
      <w:r w:rsidRPr="003E0C8B">
        <w:rPr>
          <w:rFonts w:ascii="Arial" w:hAnsi="Arial" w:cs="Arial"/>
          <w:i/>
          <w:iCs/>
        </w:rPr>
        <w:t>4.1 Primary vs. secondary data</w:t>
      </w:r>
      <w:r w:rsidRPr="003E0C8B">
        <w:rPr>
          <w:rFonts w:ascii="Arial" w:hAnsi="Arial" w:cs="Arial"/>
        </w:rPr>
        <w:t>. Available at: open.edu (Accessed: 2</w:t>
      </w:r>
      <w:r>
        <w:rPr>
          <w:rFonts w:ascii="Arial" w:hAnsi="Arial" w:cs="Arial"/>
        </w:rPr>
        <w:t>2</w:t>
      </w:r>
      <w:r w:rsidRPr="003E0C8B">
        <w:rPr>
          <w:rFonts w:ascii="Arial" w:hAnsi="Arial" w:cs="Arial"/>
        </w:rPr>
        <w:t xml:space="preserve"> March 2026).</w:t>
      </w:r>
    </w:p>
    <w:p w14:paraId="0D5AD484" w14:textId="77777777" w:rsidR="00BA0FFD" w:rsidRPr="002D0222" w:rsidRDefault="00BA0FFD" w:rsidP="00BA0FFD">
      <w:pPr>
        <w:numPr>
          <w:ilvl w:val="0"/>
          <w:numId w:val="23"/>
        </w:numPr>
        <w:spacing w:line="278" w:lineRule="auto"/>
        <w:rPr>
          <w:rFonts w:ascii="Arial" w:hAnsi="Arial" w:cs="Arial"/>
        </w:rPr>
      </w:pPr>
      <w:r w:rsidRPr="002D0222">
        <w:rPr>
          <w:rFonts w:ascii="Arial" w:hAnsi="Arial" w:cs="Arial"/>
        </w:rPr>
        <w:t>Royal College of Psychiatrists (2024) </w:t>
      </w:r>
      <w:r w:rsidRPr="002D0222">
        <w:rPr>
          <w:rFonts w:ascii="Arial" w:hAnsi="Arial" w:cs="Arial"/>
          <w:i/>
          <w:iCs/>
        </w:rPr>
        <w:t>Improving care and diagnosis for those with bipolar disorder</w:t>
      </w:r>
      <w:r w:rsidRPr="002D0222">
        <w:rPr>
          <w:rFonts w:ascii="Arial" w:hAnsi="Arial" w:cs="Arial"/>
        </w:rPr>
        <w:t>. Available at: </w:t>
      </w:r>
      <w:hyperlink r:id="rId12" w:tgtFrame="_blank" w:history="1">
        <w:r w:rsidRPr="002D0222">
          <w:rPr>
            <w:rStyle w:val="Hyperlink"/>
            <w:rFonts w:ascii="Arial" w:hAnsi="Arial" w:cs="Arial"/>
          </w:rPr>
          <w:t>RCPsych</w:t>
        </w:r>
      </w:hyperlink>
      <w:r w:rsidRPr="002D0222">
        <w:rPr>
          <w:rFonts w:ascii="Arial" w:hAnsi="Arial" w:cs="Arial"/>
        </w:rPr>
        <w:t> (Accessed: 2</w:t>
      </w:r>
      <w:r>
        <w:rPr>
          <w:rFonts w:ascii="Arial" w:hAnsi="Arial" w:cs="Arial"/>
        </w:rPr>
        <w:t>1</w:t>
      </w:r>
      <w:r w:rsidRPr="002D0222">
        <w:rPr>
          <w:rFonts w:ascii="Arial" w:hAnsi="Arial" w:cs="Arial"/>
        </w:rPr>
        <w:t xml:space="preserve"> March 2026).</w:t>
      </w:r>
    </w:p>
    <w:p w14:paraId="70978293" w14:textId="77777777" w:rsidR="00BA0FFD" w:rsidRPr="003E0C8B" w:rsidRDefault="00BA0FFD" w:rsidP="00BA0FFD">
      <w:pPr>
        <w:numPr>
          <w:ilvl w:val="0"/>
          <w:numId w:val="23"/>
        </w:numPr>
        <w:spacing w:line="278" w:lineRule="auto"/>
        <w:rPr>
          <w:rFonts w:ascii="Arial" w:hAnsi="Arial" w:cs="Arial"/>
        </w:rPr>
      </w:pPr>
      <w:r w:rsidRPr="003E0C8B">
        <w:rPr>
          <w:rFonts w:ascii="Arial" w:hAnsi="Arial" w:cs="Arial"/>
        </w:rPr>
        <w:t>Saunders, M.N.K., Lewis, P. and Thornhill, A. (2023) </w:t>
      </w:r>
      <w:r w:rsidRPr="003E0C8B">
        <w:rPr>
          <w:rFonts w:ascii="Arial" w:hAnsi="Arial" w:cs="Arial"/>
          <w:i/>
          <w:iCs/>
        </w:rPr>
        <w:t>Research Methods for Business Students</w:t>
      </w:r>
      <w:r w:rsidRPr="003E0C8B">
        <w:rPr>
          <w:rFonts w:ascii="Arial" w:hAnsi="Arial" w:cs="Arial"/>
        </w:rPr>
        <w:t>. 9th edn. Harlow: Pearson.</w:t>
      </w:r>
    </w:p>
    <w:p w14:paraId="7F792B33" w14:textId="77777777" w:rsidR="00BA0FFD" w:rsidRPr="002D0222" w:rsidRDefault="00BA0FFD" w:rsidP="00BA0FFD">
      <w:pPr>
        <w:numPr>
          <w:ilvl w:val="0"/>
          <w:numId w:val="23"/>
        </w:numPr>
        <w:spacing w:line="278" w:lineRule="auto"/>
        <w:rPr>
          <w:rFonts w:ascii="Arial" w:hAnsi="Arial" w:cs="Arial"/>
        </w:rPr>
      </w:pPr>
      <w:r w:rsidRPr="003E0C8B">
        <w:rPr>
          <w:rFonts w:ascii="Arial" w:hAnsi="Arial" w:cs="Arial"/>
        </w:rPr>
        <w:t>Scribbr (2022) </w:t>
      </w:r>
      <w:r w:rsidRPr="003E0C8B">
        <w:rPr>
          <w:rFonts w:ascii="Arial" w:hAnsi="Arial" w:cs="Arial"/>
          <w:i/>
          <w:iCs/>
        </w:rPr>
        <w:t>Primary vs. Secondary Sources | Difference &amp; Examples</w:t>
      </w:r>
      <w:r w:rsidRPr="003E0C8B">
        <w:rPr>
          <w:rFonts w:ascii="Arial" w:hAnsi="Arial" w:cs="Arial"/>
        </w:rPr>
        <w:t>. Available at: scribbr.co.uk (Accessed: 2</w:t>
      </w:r>
      <w:r>
        <w:rPr>
          <w:rFonts w:ascii="Arial" w:hAnsi="Arial" w:cs="Arial"/>
        </w:rPr>
        <w:t>2</w:t>
      </w:r>
      <w:r w:rsidRPr="003E0C8B">
        <w:rPr>
          <w:rFonts w:ascii="Arial" w:hAnsi="Arial" w:cs="Arial"/>
        </w:rPr>
        <w:t xml:space="preserve"> March 2026).</w:t>
      </w:r>
    </w:p>
    <w:p w14:paraId="667B2FA6" w14:textId="77777777" w:rsidR="00BA0FFD" w:rsidRPr="002D0222" w:rsidRDefault="00BA0FFD" w:rsidP="00BA0FFD">
      <w:pPr>
        <w:numPr>
          <w:ilvl w:val="0"/>
          <w:numId w:val="25"/>
        </w:numPr>
        <w:spacing w:line="278" w:lineRule="auto"/>
        <w:rPr>
          <w:rFonts w:ascii="Arial" w:hAnsi="Arial" w:cs="Arial"/>
        </w:rPr>
      </w:pPr>
      <w:r w:rsidRPr="002D0222">
        <w:rPr>
          <w:rFonts w:ascii="Arial" w:hAnsi="Arial" w:cs="Arial"/>
        </w:rPr>
        <w:lastRenderedPageBreak/>
        <w:t>Stat Pearls (2023) </w:t>
      </w:r>
      <w:r w:rsidRPr="002D0222">
        <w:rPr>
          <w:rFonts w:ascii="Arial" w:hAnsi="Arial" w:cs="Arial"/>
          <w:i/>
          <w:iCs/>
        </w:rPr>
        <w:t>Bipolar Disorder</w:t>
      </w:r>
      <w:r w:rsidRPr="002D0222">
        <w:rPr>
          <w:rFonts w:ascii="Arial" w:hAnsi="Arial" w:cs="Arial"/>
        </w:rPr>
        <w:t>. Available at: nih.gov (Accessed: 2</w:t>
      </w:r>
      <w:r>
        <w:rPr>
          <w:rFonts w:ascii="Arial" w:hAnsi="Arial" w:cs="Arial"/>
        </w:rPr>
        <w:t xml:space="preserve">1 </w:t>
      </w:r>
      <w:r w:rsidRPr="002D0222">
        <w:rPr>
          <w:rFonts w:ascii="Arial" w:hAnsi="Arial" w:cs="Arial"/>
        </w:rPr>
        <w:t>March 2026).</w:t>
      </w:r>
    </w:p>
    <w:p w14:paraId="1EDFD158" w14:textId="77777777" w:rsidR="00BA0FFD" w:rsidRPr="002D0222" w:rsidRDefault="00BA0FFD" w:rsidP="00BA0FFD">
      <w:pPr>
        <w:numPr>
          <w:ilvl w:val="0"/>
          <w:numId w:val="25"/>
        </w:numPr>
        <w:spacing w:line="278" w:lineRule="auto"/>
        <w:rPr>
          <w:rFonts w:ascii="Arial" w:hAnsi="Arial" w:cs="Arial"/>
        </w:rPr>
      </w:pPr>
      <w:r w:rsidRPr="002D0222">
        <w:rPr>
          <w:rFonts w:ascii="Arial" w:hAnsi="Arial" w:cs="Arial"/>
        </w:rPr>
        <w:t>University of Birmingham (2025) </w:t>
      </w:r>
      <w:r w:rsidRPr="002D0222">
        <w:rPr>
          <w:rFonts w:ascii="Arial" w:hAnsi="Arial" w:cs="Arial"/>
          <w:i/>
          <w:iCs/>
        </w:rPr>
        <w:t>Heston and a million more – why greater awareness of Bipolar disorder is an urgent health priority</w:t>
      </w:r>
      <w:r w:rsidRPr="002D0222">
        <w:rPr>
          <w:rFonts w:ascii="Arial" w:hAnsi="Arial" w:cs="Arial"/>
        </w:rPr>
        <w:t>. Available at: </w:t>
      </w:r>
      <w:hyperlink r:id="rId13" w:tgtFrame="_blank" w:history="1">
        <w:r w:rsidRPr="002D0222">
          <w:rPr>
            <w:rStyle w:val="Hyperlink"/>
            <w:rFonts w:ascii="Arial" w:hAnsi="Arial" w:cs="Arial"/>
          </w:rPr>
          <w:t>University of Birmingham</w:t>
        </w:r>
      </w:hyperlink>
      <w:r w:rsidRPr="002D0222">
        <w:rPr>
          <w:rFonts w:ascii="Arial" w:hAnsi="Arial" w:cs="Arial"/>
        </w:rPr>
        <w:t> (Accessed: 2</w:t>
      </w:r>
      <w:r>
        <w:rPr>
          <w:rFonts w:ascii="Arial" w:hAnsi="Arial" w:cs="Arial"/>
        </w:rPr>
        <w:t>1</w:t>
      </w:r>
      <w:r w:rsidRPr="002D0222">
        <w:rPr>
          <w:rFonts w:ascii="Arial" w:hAnsi="Arial" w:cs="Arial"/>
        </w:rPr>
        <w:t xml:space="preserve"> March 2026).</w:t>
      </w:r>
    </w:p>
    <w:p w14:paraId="7929353A" w14:textId="77777777" w:rsidR="00BA0FFD" w:rsidRDefault="00BA0FFD"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p w14:paraId="13D9A5F8" w14:textId="77777777" w:rsidR="00A44BDB" w:rsidRPr="00242974" w:rsidRDefault="00A44BDB"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1D0F2D59" w14:textId="04FD5966" w:rsidR="004552CE" w:rsidRPr="005E44B5" w:rsidRDefault="004552CE" w:rsidP="005E44B5">
      <w:pPr>
        <w:rPr>
          <w:color w:val="FF0000"/>
        </w:rPr>
      </w:pPr>
    </w:p>
    <w:sectPr w:rsidR="004552CE" w:rsidRPr="005E44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56EB6E" w14:textId="77777777" w:rsidR="00617454" w:rsidRDefault="00617454" w:rsidP="003C7C97">
      <w:pPr>
        <w:spacing w:after="0" w:line="240" w:lineRule="auto"/>
      </w:pPr>
      <w:r>
        <w:separator/>
      </w:r>
    </w:p>
  </w:endnote>
  <w:endnote w:type="continuationSeparator" w:id="0">
    <w:p w14:paraId="62DB6662" w14:textId="77777777" w:rsidR="00617454" w:rsidRDefault="00617454"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444125" w14:textId="77777777" w:rsidR="00617454" w:rsidRDefault="00617454" w:rsidP="003C7C97">
      <w:pPr>
        <w:spacing w:after="0" w:line="240" w:lineRule="auto"/>
      </w:pPr>
      <w:r>
        <w:separator/>
      </w:r>
    </w:p>
  </w:footnote>
  <w:footnote w:type="continuationSeparator" w:id="0">
    <w:p w14:paraId="2CD1676B" w14:textId="77777777" w:rsidR="00617454" w:rsidRDefault="00617454"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D61E46"/>
    <w:multiLevelType w:val="multilevel"/>
    <w:tmpl w:val="31980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34156EA"/>
    <w:multiLevelType w:val="multilevel"/>
    <w:tmpl w:val="48789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102EF9"/>
    <w:multiLevelType w:val="multilevel"/>
    <w:tmpl w:val="77CE8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6"/>
  </w:num>
  <w:num w:numId="2" w16cid:durableId="351032333">
    <w:abstractNumId w:val="1"/>
  </w:num>
  <w:num w:numId="3" w16cid:durableId="1067413603">
    <w:abstractNumId w:val="10"/>
  </w:num>
  <w:num w:numId="4" w16cid:durableId="931426930">
    <w:abstractNumId w:val="21"/>
  </w:num>
  <w:num w:numId="5" w16cid:durableId="1422484198">
    <w:abstractNumId w:val="17"/>
  </w:num>
  <w:num w:numId="6" w16cid:durableId="552929862">
    <w:abstractNumId w:val="18"/>
  </w:num>
  <w:num w:numId="7" w16cid:durableId="587203086">
    <w:abstractNumId w:val="22"/>
  </w:num>
  <w:num w:numId="8" w16cid:durableId="389156196">
    <w:abstractNumId w:val="14"/>
  </w:num>
  <w:num w:numId="9" w16cid:durableId="1393503788">
    <w:abstractNumId w:val="3"/>
  </w:num>
  <w:num w:numId="10" w16cid:durableId="1579359955">
    <w:abstractNumId w:val="12"/>
  </w:num>
  <w:num w:numId="11" w16cid:durableId="806699681">
    <w:abstractNumId w:val="13"/>
  </w:num>
  <w:num w:numId="12" w16cid:durableId="1314750107">
    <w:abstractNumId w:val="11"/>
  </w:num>
  <w:num w:numId="13" w16cid:durableId="1766919701">
    <w:abstractNumId w:val="16"/>
  </w:num>
  <w:num w:numId="14" w16cid:durableId="1957908719">
    <w:abstractNumId w:val="8"/>
  </w:num>
  <w:num w:numId="15" w16cid:durableId="1132019979">
    <w:abstractNumId w:val="2"/>
  </w:num>
  <w:num w:numId="16" w16cid:durableId="1457524365">
    <w:abstractNumId w:val="5"/>
  </w:num>
  <w:num w:numId="17" w16cid:durableId="1386294306">
    <w:abstractNumId w:val="23"/>
  </w:num>
  <w:num w:numId="18" w16cid:durableId="1838374920">
    <w:abstractNumId w:val="20"/>
  </w:num>
  <w:num w:numId="19" w16cid:durableId="1827044992">
    <w:abstractNumId w:val="7"/>
  </w:num>
  <w:num w:numId="20" w16cid:durableId="895820667">
    <w:abstractNumId w:val="15"/>
  </w:num>
  <w:num w:numId="21" w16cid:durableId="817497522">
    <w:abstractNumId w:val="24"/>
  </w:num>
  <w:num w:numId="22" w16cid:durableId="725690465">
    <w:abstractNumId w:val="0"/>
  </w:num>
  <w:num w:numId="23" w16cid:durableId="1563716380">
    <w:abstractNumId w:val="19"/>
  </w:num>
  <w:num w:numId="24" w16cid:durableId="470946879">
    <w:abstractNumId w:val="9"/>
  </w:num>
  <w:num w:numId="25" w16cid:durableId="19654563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3408D"/>
    <w:rsid w:val="00070818"/>
    <w:rsid w:val="0008238F"/>
    <w:rsid w:val="00082EC6"/>
    <w:rsid w:val="00085388"/>
    <w:rsid w:val="000D41DC"/>
    <w:rsid w:val="00125D37"/>
    <w:rsid w:val="00127C1A"/>
    <w:rsid w:val="00150D81"/>
    <w:rsid w:val="00166CEB"/>
    <w:rsid w:val="00183CB9"/>
    <w:rsid w:val="00184A9A"/>
    <w:rsid w:val="001947DF"/>
    <w:rsid w:val="001A4FB0"/>
    <w:rsid w:val="001B22BB"/>
    <w:rsid w:val="001B619C"/>
    <w:rsid w:val="001D1D3C"/>
    <w:rsid w:val="002205D4"/>
    <w:rsid w:val="00222C3A"/>
    <w:rsid w:val="00226D31"/>
    <w:rsid w:val="00236401"/>
    <w:rsid w:val="002370CE"/>
    <w:rsid w:val="00242974"/>
    <w:rsid w:val="002976D4"/>
    <w:rsid w:val="002A5577"/>
    <w:rsid w:val="002B4AA4"/>
    <w:rsid w:val="002E71BA"/>
    <w:rsid w:val="002F5066"/>
    <w:rsid w:val="003003FD"/>
    <w:rsid w:val="00310245"/>
    <w:rsid w:val="00316C95"/>
    <w:rsid w:val="003458DB"/>
    <w:rsid w:val="003523D3"/>
    <w:rsid w:val="00364C35"/>
    <w:rsid w:val="00396F60"/>
    <w:rsid w:val="003A51D6"/>
    <w:rsid w:val="003B125E"/>
    <w:rsid w:val="003B2A5E"/>
    <w:rsid w:val="003C7C97"/>
    <w:rsid w:val="00406B8D"/>
    <w:rsid w:val="00410068"/>
    <w:rsid w:val="0041618E"/>
    <w:rsid w:val="0042295C"/>
    <w:rsid w:val="00426EEC"/>
    <w:rsid w:val="004466C3"/>
    <w:rsid w:val="004552CE"/>
    <w:rsid w:val="00481FF7"/>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17454"/>
    <w:rsid w:val="006232DF"/>
    <w:rsid w:val="00631F2E"/>
    <w:rsid w:val="006457C0"/>
    <w:rsid w:val="00652BB7"/>
    <w:rsid w:val="00661758"/>
    <w:rsid w:val="0067612C"/>
    <w:rsid w:val="00676FEB"/>
    <w:rsid w:val="006912C4"/>
    <w:rsid w:val="006A5CFC"/>
    <w:rsid w:val="006C5138"/>
    <w:rsid w:val="006C689B"/>
    <w:rsid w:val="006E005C"/>
    <w:rsid w:val="006E514C"/>
    <w:rsid w:val="006E6EE5"/>
    <w:rsid w:val="006F0029"/>
    <w:rsid w:val="007138EF"/>
    <w:rsid w:val="00715832"/>
    <w:rsid w:val="007632A9"/>
    <w:rsid w:val="00774092"/>
    <w:rsid w:val="00782830"/>
    <w:rsid w:val="0078664A"/>
    <w:rsid w:val="00793645"/>
    <w:rsid w:val="007B0F6D"/>
    <w:rsid w:val="007C62C3"/>
    <w:rsid w:val="007D25AA"/>
    <w:rsid w:val="007F0873"/>
    <w:rsid w:val="00805726"/>
    <w:rsid w:val="00815117"/>
    <w:rsid w:val="008520F8"/>
    <w:rsid w:val="00855F34"/>
    <w:rsid w:val="008826B6"/>
    <w:rsid w:val="008B0B22"/>
    <w:rsid w:val="008C58B0"/>
    <w:rsid w:val="008C591B"/>
    <w:rsid w:val="008C6182"/>
    <w:rsid w:val="00926458"/>
    <w:rsid w:val="00933720"/>
    <w:rsid w:val="009C7E52"/>
    <w:rsid w:val="009E4934"/>
    <w:rsid w:val="009F40A7"/>
    <w:rsid w:val="009F5CE6"/>
    <w:rsid w:val="00A035CD"/>
    <w:rsid w:val="00A44BDB"/>
    <w:rsid w:val="00A50E80"/>
    <w:rsid w:val="00A513B0"/>
    <w:rsid w:val="00A63F7F"/>
    <w:rsid w:val="00A667CE"/>
    <w:rsid w:val="00A75042"/>
    <w:rsid w:val="00A774BC"/>
    <w:rsid w:val="00A82678"/>
    <w:rsid w:val="00A946CB"/>
    <w:rsid w:val="00AA77C8"/>
    <w:rsid w:val="00AC7BE2"/>
    <w:rsid w:val="00AE35BF"/>
    <w:rsid w:val="00B1067E"/>
    <w:rsid w:val="00B65ACB"/>
    <w:rsid w:val="00B81790"/>
    <w:rsid w:val="00B81BBC"/>
    <w:rsid w:val="00BA0FFD"/>
    <w:rsid w:val="00BD03D5"/>
    <w:rsid w:val="00C3215E"/>
    <w:rsid w:val="00C45272"/>
    <w:rsid w:val="00C47770"/>
    <w:rsid w:val="00C75856"/>
    <w:rsid w:val="00C85A7C"/>
    <w:rsid w:val="00C95214"/>
    <w:rsid w:val="00CC3F59"/>
    <w:rsid w:val="00CD4774"/>
    <w:rsid w:val="00D10AAF"/>
    <w:rsid w:val="00D27540"/>
    <w:rsid w:val="00D4006B"/>
    <w:rsid w:val="00D40D7A"/>
    <w:rsid w:val="00D64A0D"/>
    <w:rsid w:val="00D750B4"/>
    <w:rsid w:val="00D81C18"/>
    <w:rsid w:val="00D8461A"/>
    <w:rsid w:val="00D85B03"/>
    <w:rsid w:val="00D95CAF"/>
    <w:rsid w:val="00DB60B6"/>
    <w:rsid w:val="00DC1CC6"/>
    <w:rsid w:val="00E067A8"/>
    <w:rsid w:val="00E13924"/>
    <w:rsid w:val="00E15FD5"/>
    <w:rsid w:val="00E1725A"/>
    <w:rsid w:val="00E33758"/>
    <w:rsid w:val="00E53E5E"/>
    <w:rsid w:val="00E64325"/>
    <w:rsid w:val="00E645E7"/>
    <w:rsid w:val="00E673C5"/>
    <w:rsid w:val="00E67967"/>
    <w:rsid w:val="00E82723"/>
    <w:rsid w:val="00EA29A5"/>
    <w:rsid w:val="00EC107C"/>
    <w:rsid w:val="00EC7EBE"/>
    <w:rsid w:val="00EC7FD2"/>
    <w:rsid w:val="00ED5964"/>
    <w:rsid w:val="00F1720B"/>
    <w:rsid w:val="00F36ADC"/>
    <w:rsid w:val="00F605C6"/>
    <w:rsid w:val="00F6785B"/>
    <w:rsid w:val="00F915D6"/>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UnresolvedMention">
    <w:name w:val="Unresolved Mention"/>
    <w:basedOn w:val="DefaultParagraphFont"/>
    <w:uiPriority w:val="99"/>
    <w:semiHidden/>
    <w:unhideWhenUsed/>
    <w:rsid w:val="006E51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irmingham.ac.uk/news/2025/heston-and-a-million-more-why-greater-awareness-of-bipolar-disorder-is-an-urgent-health-priorit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cpsych.ac.uk/news-and-features/media-centre/rcpsych-bipolar-day-2024-consensus-statemen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ice.org.uk/guidance/cg185"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iscovery.ucl.ac.uk/id/eprint/10215666/1/Hoppe%20et%20al%202025%20Reducing%20the%20Delay%20in%20the%20Diagnosis%20of%20Bipolar%20Disorder%20%20A%20Qualitative%20Study.pdf" TargetMode="External"/><Relationship Id="rId4" Type="http://schemas.openxmlformats.org/officeDocument/2006/relationships/settings" Target="settings.xml"/><Relationship Id="rId9" Type="http://schemas.openxmlformats.org/officeDocument/2006/relationships/hyperlink" Target="https://www.bipolaruk.org/media/filer_public/9e/10/9e10ef8b-799e-48a4-b853-5a057ef91eae/bipolar-commission-welfare-report-jan-2025.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2128</Words>
  <Characters>12134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Soner Yarasikli (2519545)</cp:lastModifiedBy>
  <cp:revision>3</cp:revision>
  <dcterms:created xsi:type="dcterms:W3CDTF">2026-03-16T00:50:00Z</dcterms:created>
  <dcterms:modified xsi:type="dcterms:W3CDTF">2026-03-24T01:11:00Z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