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C34FA" w14:textId="77777777" w:rsidR="00312ACC" w:rsidRPr="0067447A" w:rsidRDefault="00312ACC" w:rsidP="0067447A">
      <w:pPr>
        <w:pStyle w:val="paragraph"/>
        <w:spacing w:before="0" w:beforeAutospacing="0" w:after="0" w:afterAutospacing="0" w:line="360" w:lineRule="auto"/>
        <w:textAlignment w:val="baseline"/>
        <w:rPr>
          <w:rStyle w:val="normaltextrun"/>
          <w:rFonts w:ascii="Arial" w:hAnsi="Arial" w:cs="Arial"/>
        </w:rPr>
      </w:pPr>
    </w:p>
    <w:p w14:paraId="4F533399" w14:textId="77777777" w:rsidR="00312ACC" w:rsidRPr="0067447A" w:rsidRDefault="00312ACC" w:rsidP="0067447A">
      <w:pPr>
        <w:pStyle w:val="paragraph"/>
        <w:spacing w:before="0" w:beforeAutospacing="0" w:after="0" w:afterAutospacing="0" w:line="360" w:lineRule="auto"/>
        <w:textAlignment w:val="baseline"/>
        <w:rPr>
          <w:rStyle w:val="normaltextrun"/>
          <w:rFonts w:ascii="Arial" w:hAnsi="Arial" w:cs="Arial"/>
        </w:rPr>
      </w:pPr>
    </w:p>
    <w:p w14:paraId="09866391" w14:textId="77777777" w:rsidR="00312ACC" w:rsidRPr="0067447A" w:rsidRDefault="00312ACC" w:rsidP="0067447A">
      <w:pPr>
        <w:pStyle w:val="paragraph"/>
        <w:spacing w:before="0" w:beforeAutospacing="0" w:after="0" w:afterAutospacing="0" w:line="360" w:lineRule="auto"/>
        <w:textAlignment w:val="baseline"/>
        <w:rPr>
          <w:rStyle w:val="normaltextrun"/>
          <w:rFonts w:ascii="Arial" w:hAnsi="Arial" w:cs="Arial"/>
        </w:rPr>
      </w:pPr>
    </w:p>
    <w:p w14:paraId="226C305E" w14:textId="77777777" w:rsidR="00312ACC" w:rsidRPr="0067447A" w:rsidRDefault="00312ACC" w:rsidP="0067447A">
      <w:pPr>
        <w:pStyle w:val="paragraph"/>
        <w:spacing w:before="0" w:beforeAutospacing="0" w:after="0" w:afterAutospacing="0" w:line="360" w:lineRule="auto"/>
        <w:textAlignment w:val="baseline"/>
        <w:rPr>
          <w:rStyle w:val="normaltextrun"/>
          <w:rFonts w:ascii="Arial" w:hAnsi="Arial" w:cs="Arial"/>
        </w:rPr>
      </w:pPr>
    </w:p>
    <w:p w14:paraId="25BE0DCA" w14:textId="77777777" w:rsidR="00312ACC" w:rsidRPr="0067447A" w:rsidRDefault="00312ACC" w:rsidP="0067447A">
      <w:pPr>
        <w:pStyle w:val="paragraph"/>
        <w:spacing w:before="0" w:beforeAutospacing="0" w:after="0" w:afterAutospacing="0" w:line="360" w:lineRule="auto"/>
        <w:textAlignment w:val="baseline"/>
        <w:rPr>
          <w:rStyle w:val="normaltextrun"/>
          <w:rFonts w:ascii="Arial" w:hAnsi="Arial" w:cs="Arial"/>
        </w:rPr>
      </w:pPr>
    </w:p>
    <w:p w14:paraId="008D6989" w14:textId="77777777" w:rsidR="00312ACC" w:rsidRPr="0067447A" w:rsidRDefault="00312ACC" w:rsidP="0067447A">
      <w:pPr>
        <w:pStyle w:val="paragraph"/>
        <w:spacing w:before="0" w:beforeAutospacing="0" w:after="0" w:afterAutospacing="0" w:line="360" w:lineRule="auto"/>
        <w:textAlignment w:val="baseline"/>
        <w:rPr>
          <w:rStyle w:val="normaltextrun"/>
          <w:rFonts w:ascii="Arial" w:hAnsi="Arial" w:cs="Arial"/>
        </w:rPr>
      </w:pPr>
    </w:p>
    <w:p w14:paraId="12433961" w14:textId="77777777" w:rsidR="00312ACC" w:rsidRPr="0067447A" w:rsidRDefault="00312ACC" w:rsidP="0067447A">
      <w:pPr>
        <w:pStyle w:val="paragraph"/>
        <w:spacing w:before="0" w:beforeAutospacing="0" w:after="0" w:afterAutospacing="0" w:line="360" w:lineRule="auto"/>
        <w:textAlignment w:val="baseline"/>
        <w:rPr>
          <w:rStyle w:val="normaltextrun"/>
          <w:rFonts w:ascii="Arial" w:hAnsi="Arial" w:cs="Arial"/>
        </w:rPr>
      </w:pPr>
    </w:p>
    <w:p w14:paraId="019D5F72" w14:textId="77777777" w:rsidR="00312ACC" w:rsidRPr="0067447A" w:rsidRDefault="00312ACC" w:rsidP="0067447A">
      <w:pPr>
        <w:pStyle w:val="paragraph"/>
        <w:spacing w:before="0" w:beforeAutospacing="0" w:after="0" w:afterAutospacing="0" w:line="360" w:lineRule="auto"/>
        <w:textAlignment w:val="baseline"/>
        <w:rPr>
          <w:rStyle w:val="normaltextrun"/>
          <w:rFonts w:ascii="Arial" w:hAnsi="Arial" w:cs="Arial"/>
        </w:rPr>
      </w:pPr>
    </w:p>
    <w:p w14:paraId="338BD0B6" w14:textId="77777777" w:rsidR="00312ACC" w:rsidRPr="0067447A" w:rsidRDefault="00312ACC" w:rsidP="0067447A">
      <w:pPr>
        <w:pStyle w:val="paragraph"/>
        <w:spacing w:before="0" w:beforeAutospacing="0" w:after="0" w:afterAutospacing="0" w:line="360" w:lineRule="auto"/>
        <w:textAlignment w:val="baseline"/>
        <w:rPr>
          <w:rStyle w:val="normaltextrun"/>
          <w:rFonts w:ascii="Arial" w:hAnsi="Arial" w:cs="Arial"/>
        </w:rPr>
      </w:pPr>
    </w:p>
    <w:p w14:paraId="547502BD" w14:textId="0D633F9B"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normaltextrun"/>
          <w:rFonts w:ascii="Arial" w:hAnsi="Arial" w:cs="Arial"/>
        </w:rPr>
        <w:t>Using Leventhal’s Common-Sense Model of Self-Regulation, critically evaluate the extent to which beliefs about illness influence people’s responses to illness</w:t>
      </w:r>
      <w:r w:rsidRPr="0067447A">
        <w:rPr>
          <w:rStyle w:val="eop"/>
          <w:rFonts w:ascii="Arial" w:hAnsi="Arial" w:cs="Arial"/>
        </w:rPr>
        <w:t> </w:t>
      </w:r>
    </w:p>
    <w:p w14:paraId="27F6E1B5"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453D9673"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66C18E5F"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2A7FAF20"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7F6E2594"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3FA49F7E"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29878103"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4E6D1A91"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4AA11BA5"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21AE6328"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3A1EC3AF"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4945D55C"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1716FA86"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6795A0D2"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724796B1"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3F6CEE8D"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51086094"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496DE0F0"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175B227E"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4E29B1F3" w14:textId="77777777"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7FBBE196" w14:textId="77777777"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17EA4EE2" w14:textId="77777777"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5923CA4F" w14:textId="77777777"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5279E3F7"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lastRenderedPageBreak/>
        <w:t>This essay will evaluate the extent to which health beliefs and understanding about illness, influence the response which people have towards illness. To do this it will look at empirical journal articles regarding Leventhal’s Common-Sense Model of Self-Regulation (CSM) also known as the Self-Regulation Model (SRM); for the purpose of this essay the model will be referred to as CSM. The CSM could be used when an individual is faced with a serious health threat, to assess the individual’s illness representation for the purpose of implementing an appropriate CSM based intervention. This essay will briefly discuss CSM based interventions, and will also look at health behaviours, individual’s illness representation, self-management and treatment adherence, and CSM evaluation using the Illness Perception Questionnaire-Revised (IPQ-R). This essay will take into consideration recent literature regarding patient responses to diagnosis of illnesses such as breast and prostate cancer, and how CSM can be used as a predictor in relation to individual’s illness representation to treatment and adherence behaviours.</w:t>
      </w:r>
      <w:r w:rsidRPr="0067447A">
        <w:rPr>
          <w:rStyle w:val="eop"/>
          <w:rFonts w:ascii="Arial" w:hAnsi="Arial" w:cs="Arial"/>
        </w:rPr>
        <w:t> </w:t>
      </w:r>
    </w:p>
    <w:p w14:paraId="292B50E6"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Leventhal's CSM, model was originally created by Howard Leventhal and his colleagues, and is described by Leventhal, Phillips, and Burns (2016), as having the aim of explaining how an individual cognitively and emotionally responds and processes the threat of an illness. It has been suggested that it is both these response processes together, which represent the self-regulatory system, and the self-regulatory system has an impact on the outcome and attitudes of an illness threat (Hagger, Koch, Chatzisarantis, and Orbell, 2017). Hagger and Orbell’s (2003) meta analytic review, suggests that individuals generate a mental representation of their diagnosis. The mental representation of the diagnoses is shaped by an individual’s understanding of the tangible and non-tangible resources available to them (Hagger and Orbell 2003), and it is their understanding of these resources, that formulates a response regarding the self-regulatory system, such as understanding, help seeking, self-management and adherence to treatment of the diagnosis. </w:t>
      </w:r>
      <w:r w:rsidRPr="0067447A">
        <w:rPr>
          <w:rStyle w:val="eop"/>
          <w:rFonts w:ascii="Arial" w:hAnsi="Arial" w:cs="Arial"/>
        </w:rPr>
        <w:t> </w:t>
      </w:r>
    </w:p>
    <w:p w14:paraId="7DCB5D0B"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 xml:space="preserve"> The CSM model focuses on an individual’s understanding, attitude and thoughts regarding the threat of illness they are facing (Hagger, Koch, Chatzisarantis, and Orbell 2017). The individuals understanding and attitudes to an illness are often influenced by external and internal factors such as media, previous exposure to the illness, self-perception and family beliefs. The individuals understanding and thoughts will govern their response to the health threat, which </w:t>
      </w:r>
      <w:r w:rsidRPr="0067447A">
        <w:rPr>
          <w:rStyle w:val="normaltextrun"/>
          <w:rFonts w:ascii="Arial" w:hAnsi="Arial" w:cs="Arial"/>
        </w:rPr>
        <w:lastRenderedPageBreak/>
        <w:t>can result in behaviours, which will either result in the individual maintaining the illness or returning to good health (Hagger and Orbell 2003). </w:t>
      </w:r>
      <w:r w:rsidRPr="0067447A">
        <w:rPr>
          <w:rStyle w:val="eop"/>
          <w:rFonts w:ascii="Arial" w:hAnsi="Arial" w:cs="Arial"/>
        </w:rPr>
        <w:t> </w:t>
      </w:r>
    </w:p>
    <w:p w14:paraId="7DBD78DC"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The CSM works on the concept that the individual will respond with a three phased feedback cycle to a stimulus, such as a symptom or diagnosis of an illness. The three phased cycle firstly creates a cognitive representation of the illness, and Hagger and Orbell (2003) state that this representation has more than one level and is affected by the individual’s current social and cultural understanding of the condition, and by information provided by authoritative figures. The second stage is when the individual constructs a coping strategy to the illness threat; this coping strategy will be based on the patient’s representation of the illness (Leventhal, Phillips, and Burns 2016). At the third stage the individual assesses the illness threat and will adjust self-management, help seeking behaviours and adherence to treatment, aiding or disabling the recovery process. Hagger et al, (2017) also highlight that it is the individual's perception of illness or health threat, that triggers the individual's response feedback cycle, and it is dependent on the individual’s perception of the symptoms or health threat, that governs whether the response will be an active response, to seek help and treatment, or an inactive response such as avoidance due to fear. </w:t>
      </w:r>
      <w:r w:rsidRPr="0067447A">
        <w:rPr>
          <w:rStyle w:val="eop"/>
          <w:rFonts w:ascii="Arial" w:hAnsi="Arial" w:cs="Arial"/>
        </w:rPr>
        <w:t> </w:t>
      </w:r>
    </w:p>
    <w:p w14:paraId="68D29884"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Leventhal, Phillips, and Burns (2016) also state that the CSM, works as a framework for explaining and understanding the process, and various factors controlling behaviour responses to the threat of an illness, and for self-management of illness threats. The understanding of the factors controlling behaviours of an illness threat, can also foretell the individual's observance to action plans, treatments and behaviour changes for the self-management of health threats. This is also discussed by McAndrew et al (2008), who indicate that it is the individual’s perception and emotional state, that will depict whether the individual will act on the health threat. McAndrew et al (2019) also made a strong link between the individual’s illness representation and the outcome of their ill health, highlighting that the more negative the representations were, the more negative the coping behaviour was and in turn this led to poorer outcomes. </w:t>
      </w:r>
      <w:r w:rsidRPr="0067447A">
        <w:rPr>
          <w:rStyle w:val="eop"/>
          <w:rFonts w:ascii="Arial" w:hAnsi="Arial" w:cs="Arial"/>
        </w:rPr>
        <w:t> </w:t>
      </w:r>
    </w:p>
    <w:p w14:paraId="7231DEE2" w14:textId="6D56F8E1" w:rsidR="005D14C5" w:rsidRPr="0067447A" w:rsidRDefault="005D14C5" w:rsidP="0067447A">
      <w:pPr>
        <w:pStyle w:val="paragraph"/>
        <w:spacing w:before="0" w:beforeAutospacing="0" w:after="0" w:afterAutospacing="0" w:line="360" w:lineRule="auto"/>
        <w:ind w:firstLine="720"/>
        <w:textAlignment w:val="baseline"/>
        <w:rPr>
          <w:rStyle w:val="eop"/>
          <w:rFonts w:ascii="Arial" w:hAnsi="Arial" w:cs="Arial"/>
        </w:rPr>
      </w:pPr>
      <w:r w:rsidRPr="0067447A">
        <w:rPr>
          <w:rStyle w:val="normaltextrun"/>
          <w:rFonts w:ascii="Arial" w:hAnsi="Arial" w:cs="Arial"/>
        </w:rPr>
        <w:t>However, both Brandes and Mullan (2014) and Aujla et </w:t>
      </w:r>
      <w:r w:rsidRPr="0067447A">
        <w:rPr>
          <w:rStyle w:val="spellingerror"/>
          <w:rFonts w:ascii="Arial" w:hAnsi="Arial" w:cs="Arial"/>
        </w:rPr>
        <w:t>al’s</w:t>
      </w:r>
      <w:r w:rsidRPr="0067447A">
        <w:rPr>
          <w:rStyle w:val="normaltextrun"/>
          <w:rFonts w:ascii="Arial" w:hAnsi="Arial" w:cs="Arial"/>
        </w:rPr>
        <w:t> (2016) meta-analysis, found that</w:t>
      </w:r>
      <w:r w:rsidR="003E58FF" w:rsidRPr="0067447A">
        <w:rPr>
          <w:rStyle w:val="normaltextrun"/>
          <w:rFonts w:ascii="Arial" w:hAnsi="Arial" w:cs="Arial"/>
        </w:rPr>
        <w:t xml:space="preserve"> using </w:t>
      </w:r>
      <w:r w:rsidR="00A80845" w:rsidRPr="0067447A">
        <w:rPr>
          <w:rStyle w:val="normaltextrun"/>
          <w:rFonts w:ascii="Arial" w:hAnsi="Arial" w:cs="Arial"/>
        </w:rPr>
        <w:t>individual components of the CSM as</w:t>
      </w:r>
      <w:r w:rsidR="00C90289" w:rsidRPr="0067447A">
        <w:rPr>
          <w:rStyle w:val="normaltextrun"/>
          <w:rFonts w:ascii="Arial" w:hAnsi="Arial" w:cs="Arial"/>
        </w:rPr>
        <w:t xml:space="preserve"> a</w:t>
      </w:r>
      <w:r w:rsidRPr="0067447A">
        <w:rPr>
          <w:rStyle w:val="normaltextrun"/>
          <w:rFonts w:ascii="Arial" w:hAnsi="Arial" w:cs="Arial"/>
        </w:rPr>
        <w:t xml:space="preserve"> predict</w:t>
      </w:r>
      <w:r w:rsidR="00A80845" w:rsidRPr="0067447A">
        <w:rPr>
          <w:rStyle w:val="normaltextrun"/>
          <w:rFonts w:ascii="Arial" w:hAnsi="Arial" w:cs="Arial"/>
        </w:rPr>
        <w:t>ive</w:t>
      </w:r>
      <w:r w:rsidRPr="0067447A">
        <w:rPr>
          <w:rStyle w:val="normaltextrun"/>
          <w:rFonts w:ascii="Arial" w:hAnsi="Arial" w:cs="Arial"/>
        </w:rPr>
        <w:t xml:space="preserve"> element, regarding an individual’s beliefs towards illness and attitudes towards adherence to</w:t>
      </w:r>
      <w:r w:rsidR="00C90289" w:rsidRPr="0067447A">
        <w:rPr>
          <w:rStyle w:val="normaltextrun"/>
          <w:rFonts w:ascii="Arial" w:hAnsi="Arial" w:cs="Arial"/>
        </w:rPr>
        <w:t>wards</w:t>
      </w:r>
      <w:r w:rsidRPr="0067447A">
        <w:rPr>
          <w:rStyle w:val="normaltextrun"/>
          <w:rFonts w:ascii="Arial" w:hAnsi="Arial" w:cs="Arial"/>
        </w:rPr>
        <w:t xml:space="preserve"> help seeking and treatment behaviours, to be very weak</w:t>
      </w:r>
      <w:r w:rsidR="00F10D9E" w:rsidRPr="0067447A">
        <w:rPr>
          <w:rStyle w:val="normaltextrun"/>
          <w:rFonts w:ascii="Arial" w:hAnsi="Arial" w:cs="Arial"/>
        </w:rPr>
        <w:t xml:space="preserve">. Brandes and </w:t>
      </w:r>
      <w:r w:rsidR="00F10D9E" w:rsidRPr="0067447A">
        <w:rPr>
          <w:rStyle w:val="normaltextrun"/>
          <w:rFonts w:ascii="Arial" w:hAnsi="Arial" w:cs="Arial"/>
        </w:rPr>
        <w:lastRenderedPageBreak/>
        <w:t xml:space="preserve">Mullan (2014), imply that the </w:t>
      </w:r>
      <w:r w:rsidR="00312ACC" w:rsidRPr="0067447A">
        <w:rPr>
          <w:rStyle w:val="normaltextrun"/>
          <w:rFonts w:ascii="Arial" w:hAnsi="Arial" w:cs="Arial"/>
        </w:rPr>
        <w:t xml:space="preserve">individual elements of </w:t>
      </w:r>
      <w:r w:rsidR="00F10D9E" w:rsidRPr="0067447A">
        <w:rPr>
          <w:rStyle w:val="normaltextrun"/>
          <w:rFonts w:ascii="Arial" w:hAnsi="Arial" w:cs="Arial"/>
        </w:rPr>
        <w:t>CSM</w:t>
      </w:r>
      <w:r w:rsidR="00BB3CFA" w:rsidRPr="0067447A">
        <w:rPr>
          <w:rStyle w:val="normaltextrun"/>
          <w:rFonts w:ascii="Arial" w:hAnsi="Arial" w:cs="Arial"/>
        </w:rPr>
        <w:t>,</w:t>
      </w:r>
      <w:r w:rsidR="00F10D9E" w:rsidRPr="0067447A">
        <w:rPr>
          <w:rStyle w:val="normaltextrun"/>
          <w:rFonts w:ascii="Arial" w:hAnsi="Arial" w:cs="Arial"/>
        </w:rPr>
        <w:t xml:space="preserve"> may not be the most effective to use </w:t>
      </w:r>
      <w:r w:rsidR="00312ACC" w:rsidRPr="0067447A">
        <w:rPr>
          <w:rStyle w:val="normaltextrun"/>
          <w:rFonts w:ascii="Arial" w:hAnsi="Arial" w:cs="Arial"/>
        </w:rPr>
        <w:t>to</w:t>
      </w:r>
      <w:r w:rsidR="00F10D9E" w:rsidRPr="0067447A">
        <w:rPr>
          <w:rStyle w:val="normaltextrun"/>
          <w:rFonts w:ascii="Arial" w:hAnsi="Arial" w:cs="Arial"/>
        </w:rPr>
        <w:t xml:space="preserve"> predict an individuals</w:t>
      </w:r>
      <w:r w:rsidR="00BB3CFA" w:rsidRPr="0067447A">
        <w:rPr>
          <w:rStyle w:val="normaltextrun"/>
          <w:rFonts w:ascii="Arial" w:hAnsi="Arial" w:cs="Arial"/>
        </w:rPr>
        <w:t>’</w:t>
      </w:r>
      <w:r w:rsidR="00F10D9E" w:rsidRPr="0067447A">
        <w:rPr>
          <w:rStyle w:val="normaltextrun"/>
          <w:rFonts w:ascii="Arial" w:hAnsi="Arial" w:cs="Arial"/>
        </w:rPr>
        <w:t xml:space="preserve"> </w:t>
      </w:r>
      <w:r w:rsidR="00BB3CFA" w:rsidRPr="0067447A">
        <w:rPr>
          <w:rStyle w:val="normaltextrun"/>
          <w:rFonts w:ascii="Arial" w:hAnsi="Arial" w:cs="Arial"/>
        </w:rPr>
        <w:t xml:space="preserve">health beliefs and </w:t>
      </w:r>
      <w:r w:rsidR="00F10D9E" w:rsidRPr="0067447A">
        <w:rPr>
          <w:rStyle w:val="normaltextrun"/>
          <w:rFonts w:ascii="Arial" w:hAnsi="Arial" w:cs="Arial"/>
        </w:rPr>
        <w:t>adherence</w:t>
      </w:r>
      <w:r w:rsidR="00BB3CFA" w:rsidRPr="0067447A">
        <w:rPr>
          <w:rStyle w:val="normaltextrun"/>
          <w:rFonts w:ascii="Arial" w:hAnsi="Arial" w:cs="Arial"/>
        </w:rPr>
        <w:t xml:space="preserve"> treatment plans.</w:t>
      </w:r>
      <w:r w:rsidRPr="0067447A">
        <w:rPr>
          <w:rStyle w:val="normaltextrun"/>
          <w:rFonts w:ascii="Arial" w:hAnsi="Arial" w:cs="Arial"/>
        </w:rPr>
        <w:t xml:space="preserve"> </w:t>
      </w:r>
      <w:r w:rsidR="00BB3CFA" w:rsidRPr="0067447A">
        <w:rPr>
          <w:rStyle w:val="normaltextrun"/>
          <w:rFonts w:ascii="Arial" w:hAnsi="Arial" w:cs="Arial"/>
        </w:rPr>
        <w:t>Aujla et </w:t>
      </w:r>
      <w:r w:rsidR="00BB3CFA" w:rsidRPr="0067447A">
        <w:rPr>
          <w:rStyle w:val="spellingerror"/>
          <w:rFonts w:ascii="Arial" w:hAnsi="Arial" w:cs="Arial"/>
        </w:rPr>
        <w:t>al’s</w:t>
      </w:r>
      <w:r w:rsidR="00BB3CFA" w:rsidRPr="0067447A">
        <w:rPr>
          <w:rStyle w:val="normaltextrun"/>
          <w:rFonts w:ascii="Arial" w:hAnsi="Arial" w:cs="Arial"/>
        </w:rPr>
        <w:t> (2016) however, found a s</w:t>
      </w:r>
      <w:r w:rsidRPr="0067447A">
        <w:rPr>
          <w:rStyle w:val="normaltextrun"/>
          <w:rFonts w:ascii="Arial" w:hAnsi="Arial" w:cs="Arial"/>
        </w:rPr>
        <w:t>tronger link between other elements such as treatment beliefs,</w:t>
      </w:r>
      <w:r w:rsidR="00B919C5" w:rsidRPr="0067447A">
        <w:rPr>
          <w:rStyle w:val="normaltextrun"/>
          <w:rFonts w:ascii="Arial" w:hAnsi="Arial" w:cs="Arial"/>
        </w:rPr>
        <w:t xml:space="preserve"> and inter-relationships between individual illness beliefs</w:t>
      </w:r>
      <w:r w:rsidR="0018399A" w:rsidRPr="0067447A">
        <w:rPr>
          <w:rStyle w:val="normaltextrun"/>
          <w:rFonts w:ascii="Arial" w:hAnsi="Arial" w:cs="Arial"/>
        </w:rPr>
        <w:t xml:space="preserve">. Thus indicating that using </w:t>
      </w:r>
      <w:r w:rsidR="00C90289" w:rsidRPr="0067447A">
        <w:rPr>
          <w:rStyle w:val="normaltextrun"/>
          <w:rFonts w:ascii="Arial" w:hAnsi="Arial" w:cs="Arial"/>
        </w:rPr>
        <w:t xml:space="preserve">all elements of CSM as a predictive measure, </w:t>
      </w:r>
      <w:r w:rsidRPr="0067447A">
        <w:rPr>
          <w:rStyle w:val="normaltextrun"/>
          <w:rFonts w:ascii="Arial" w:hAnsi="Arial" w:cs="Arial"/>
        </w:rPr>
        <w:t>have shown to potentially influence adherence to self-management behaviours</w:t>
      </w:r>
      <w:r w:rsidR="0018399A" w:rsidRPr="0067447A">
        <w:rPr>
          <w:rStyle w:val="normaltextrun"/>
          <w:rFonts w:ascii="Arial" w:hAnsi="Arial" w:cs="Arial"/>
        </w:rPr>
        <w:t xml:space="preserve"> and attitudes to illness. S</w:t>
      </w:r>
      <w:r w:rsidR="003E58FF" w:rsidRPr="0067447A">
        <w:rPr>
          <w:rStyle w:val="normaltextrun"/>
          <w:rFonts w:ascii="Arial" w:hAnsi="Arial" w:cs="Arial"/>
        </w:rPr>
        <w:t>uggest</w:t>
      </w:r>
      <w:r w:rsidR="0018399A" w:rsidRPr="0067447A">
        <w:rPr>
          <w:rStyle w:val="normaltextrun"/>
          <w:rFonts w:ascii="Arial" w:hAnsi="Arial" w:cs="Arial"/>
        </w:rPr>
        <w:t>ing</w:t>
      </w:r>
      <w:r w:rsidR="003E58FF" w:rsidRPr="0067447A">
        <w:rPr>
          <w:rStyle w:val="normaltextrun"/>
          <w:rFonts w:ascii="Arial" w:hAnsi="Arial" w:cs="Arial"/>
        </w:rPr>
        <w:t xml:space="preserve"> that </w:t>
      </w:r>
      <w:r w:rsidR="00A80845" w:rsidRPr="0067447A">
        <w:rPr>
          <w:rStyle w:val="normaltextrun"/>
          <w:rFonts w:ascii="Arial" w:hAnsi="Arial" w:cs="Arial"/>
        </w:rPr>
        <w:t>using all components of CSM</w:t>
      </w:r>
      <w:r w:rsidR="00312ACC" w:rsidRPr="0067447A">
        <w:rPr>
          <w:rStyle w:val="normaltextrun"/>
          <w:rFonts w:ascii="Arial" w:hAnsi="Arial" w:cs="Arial"/>
        </w:rPr>
        <w:t>,</w:t>
      </w:r>
      <w:r w:rsidR="00A80845" w:rsidRPr="0067447A">
        <w:rPr>
          <w:rStyle w:val="normaltextrun"/>
          <w:rFonts w:ascii="Arial" w:hAnsi="Arial" w:cs="Arial"/>
        </w:rPr>
        <w:t xml:space="preserve"> to predict an individuals’ health belief and attitude towards treatment and adherence behaviours</w:t>
      </w:r>
      <w:r w:rsidR="00C90289" w:rsidRPr="0067447A">
        <w:rPr>
          <w:rStyle w:val="normaltextrun"/>
          <w:rFonts w:ascii="Arial" w:hAnsi="Arial" w:cs="Arial"/>
        </w:rPr>
        <w:t xml:space="preserve"> ha</w:t>
      </w:r>
      <w:r w:rsidR="00312ACC" w:rsidRPr="0067447A">
        <w:rPr>
          <w:rStyle w:val="normaltextrun"/>
          <w:rFonts w:ascii="Arial" w:hAnsi="Arial" w:cs="Arial"/>
        </w:rPr>
        <w:t>ve</w:t>
      </w:r>
      <w:r w:rsidR="00C90289" w:rsidRPr="0067447A">
        <w:rPr>
          <w:rStyle w:val="normaltextrun"/>
          <w:rFonts w:ascii="Arial" w:hAnsi="Arial" w:cs="Arial"/>
        </w:rPr>
        <w:t xml:space="preserve"> greater effect</w:t>
      </w:r>
      <w:r w:rsidR="00312ACC" w:rsidRPr="0067447A">
        <w:rPr>
          <w:rStyle w:val="normaltextrun"/>
          <w:rFonts w:ascii="Arial" w:hAnsi="Arial" w:cs="Arial"/>
        </w:rPr>
        <w:t xml:space="preserve"> and influence</w:t>
      </w:r>
      <w:r w:rsidR="00C90289" w:rsidRPr="0067447A">
        <w:rPr>
          <w:rStyle w:val="normaltextrun"/>
          <w:rFonts w:ascii="Arial" w:hAnsi="Arial" w:cs="Arial"/>
        </w:rPr>
        <w:t xml:space="preserve"> then using individual components</w:t>
      </w:r>
      <w:r w:rsidR="00A80845" w:rsidRPr="0067447A">
        <w:rPr>
          <w:rStyle w:val="normaltextrun"/>
          <w:rFonts w:ascii="Arial" w:hAnsi="Arial" w:cs="Arial"/>
        </w:rPr>
        <w:t xml:space="preserve">. </w:t>
      </w:r>
      <w:r w:rsidR="003E58FF" w:rsidRPr="0067447A">
        <w:rPr>
          <w:rStyle w:val="normaltextrun"/>
          <w:rFonts w:ascii="Arial" w:hAnsi="Arial" w:cs="Arial"/>
        </w:rPr>
        <w:t xml:space="preserve"> </w:t>
      </w:r>
      <w:r w:rsidRPr="0067447A">
        <w:rPr>
          <w:rStyle w:val="normaltextrun"/>
          <w:rFonts w:ascii="Arial" w:hAnsi="Arial" w:cs="Arial"/>
        </w:rPr>
        <w:t> </w:t>
      </w:r>
      <w:r w:rsidRPr="0067447A">
        <w:rPr>
          <w:rStyle w:val="normaltextrun"/>
          <w:rFonts w:ascii="Arial" w:hAnsi="Arial" w:cs="Arial"/>
          <w:color w:val="FF0000"/>
        </w:rPr>
        <w:t> </w:t>
      </w:r>
      <w:r w:rsidRPr="0067447A">
        <w:rPr>
          <w:rStyle w:val="eop"/>
          <w:rFonts w:ascii="Arial" w:hAnsi="Arial" w:cs="Arial"/>
        </w:rPr>
        <w:t> </w:t>
      </w:r>
    </w:p>
    <w:p w14:paraId="7E40899F" w14:textId="7C4D54FD"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Conner and Norman’s (2017) explanation of health behaviours, indicates that an individual will harbour varying health behaviours. These may include observable health behaviours such as, smoking, alcohol use, poor diet, non-adherence to treatment and medication plans, lack of help seeking behaviours, and avoidance of screening and vaccination programs. </w:t>
      </w:r>
      <w:r w:rsidR="00312ACC" w:rsidRPr="0067447A">
        <w:rPr>
          <w:rStyle w:val="advancedproofingissue"/>
          <w:rFonts w:ascii="Arial" w:hAnsi="Arial" w:cs="Arial"/>
        </w:rPr>
        <w:t>All</w:t>
      </w:r>
      <w:r w:rsidRPr="0067447A">
        <w:rPr>
          <w:rStyle w:val="normaltextrun"/>
          <w:rFonts w:ascii="Arial" w:hAnsi="Arial" w:cs="Arial"/>
        </w:rPr>
        <w:t> these impact on health outcomes. Conner and Norman (2017) also discuss the link between and crossover of health behaviours, illness beliefs and treatment adherence, along with the impact that social influences and socio-economic status have on health behaviours, beliefs and outcomes. Heinemann et al (2019), assess both the CSM and the Health Belief Model (HBM), and imply that there are benefits of using both models to asses an individual’s cognitive understanding and emotional response to health threats or illness diagnosis, which govern their preventative and recovery health behaviours i.e. smoking, drinking, help seeking behaviours, treatment adherence and intervention. </w:t>
      </w:r>
      <w:r w:rsidRPr="0067447A">
        <w:rPr>
          <w:rStyle w:val="eop"/>
          <w:rFonts w:ascii="Arial" w:hAnsi="Arial" w:cs="Arial"/>
        </w:rPr>
        <w:t> </w:t>
      </w:r>
    </w:p>
    <w:p w14:paraId="0CEC8CFB" w14:textId="30C650C0"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 Cameron and </w:t>
      </w:r>
      <w:r w:rsidRPr="0067447A">
        <w:rPr>
          <w:rStyle w:val="spellingerror"/>
          <w:rFonts w:ascii="Arial" w:hAnsi="Arial" w:cs="Arial"/>
        </w:rPr>
        <w:t>Jago</w:t>
      </w:r>
      <w:r w:rsidRPr="0067447A">
        <w:rPr>
          <w:rStyle w:val="normaltextrun"/>
          <w:rFonts w:ascii="Arial" w:hAnsi="Arial" w:cs="Arial"/>
        </w:rPr>
        <w:t> (2008) discuss CSM based interventions focusing on problem-solving regulation and emotional regulation processes. The therapeutic interventions discussed (Cameron and </w:t>
      </w:r>
      <w:r w:rsidRPr="0067447A">
        <w:rPr>
          <w:rStyle w:val="spellingerror"/>
          <w:rFonts w:ascii="Arial" w:hAnsi="Arial" w:cs="Arial"/>
        </w:rPr>
        <w:t>Jago</w:t>
      </w:r>
      <w:r w:rsidRPr="0067447A">
        <w:rPr>
          <w:rStyle w:val="normaltextrun"/>
          <w:rFonts w:ascii="Arial" w:hAnsi="Arial" w:cs="Arial"/>
        </w:rPr>
        <w:t>, 2008), are adaption focused self-regulation writing, and educational emotion regulation, which work by supporting an individual to adjust and manage emotion regulation. </w:t>
      </w:r>
      <w:r w:rsidRPr="0067447A">
        <w:rPr>
          <w:rStyle w:val="spellingerror"/>
          <w:rFonts w:ascii="Arial" w:hAnsi="Arial" w:cs="Arial"/>
        </w:rPr>
        <w:t>Karekla</w:t>
      </w:r>
      <w:r w:rsidRPr="0067447A">
        <w:rPr>
          <w:rStyle w:val="normaltextrun"/>
          <w:rFonts w:ascii="Arial" w:hAnsi="Arial" w:cs="Arial"/>
        </w:rPr>
        <w:t>, </w:t>
      </w:r>
      <w:r w:rsidRPr="0067447A">
        <w:rPr>
          <w:rStyle w:val="spellingerror"/>
          <w:rFonts w:ascii="Arial" w:hAnsi="Arial" w:cs="Arial"/>
        </w:rPr>
        <w:t>Karademas</w:t>
      </w:r>
      <w:r w:rsidRPr="0067447A">
        <w:rPr>
          <w:rStyle w:val="normaltextrun"/>
          <w:rFonts w:ascii="Arial" w:hAnsi="Arial" w:cs="Arial"/>
        </w:rPr>
        <w:t> and </w:t>
      </w:r>
      <w:r w:rsidRPr="0067447A">
        <w:rPr>
          <w:rStyle w:val="spellingerror"/>
          <w:rFonts w:ascii="Arial" w:hAnsi="Arial" w:cs="Arial"/>
        </w:rPr>
        <w:t>Gloste</w:t>
      </w:r>
      <w:r w:rsidRPr="0067447A">
        <w:rPr>
          <w:rStyle w:val="normaltextrun"/>
          <w:rFonts w:ascii="Arial" w:hAnsi="Arial" w:cs="Arial"/>
        </w:rPr>
        <w:t> (2019) and Breland, Wong and McAndrew (2020), also discuss CSM based self-management and CBT based intervention effectiveness, for individuals facing a serious health threat, and how further potential improvements to intervention, can be achieved by combining CSM with other theories.</w:t>
      </w:r>
      <w:r w:rsidRPr="0067447A">
        <w:rPr>
          <w:rStyle w:val="normaltextrun"/>
          <w:rFonts w:ascii="Arial" w:hAnsi="Arial" w:cs="Arial"/>
          <w:color w:val="2E2E2E"/>
        </w:rPr>
        <w:t> </w:t>
      </w:r>
      <w:r w:rsidRPr="0067447A">
        <w:rPr>
          <w:rStyle w:val="normaltextrun"/>
          <w:rFonts w:ascii="Arial" w:hAnsi="Arial" w:cs="Arial"/>
        </w:rPr>
        <w:t xml:space="preserve">McAndrew et al (2008) indicate that CSM based interventions are beneficial in several conditions, more so when the intervention is based on behaviour traits opposed to cognitive traits. McAndrew et al (2018), likewise </w:t>
      </w:r>
      <w:r w:rsidRPr="0067447A">
        <w:rPr>
          <w:rStyle w:val="normaltextrun"/>
          <w:rFonts w:ascii="Arial" w:hAnsi="Arial" w:cs="Arial"/>
        </w:rPr>
        <w:lastRenderedPageBreak/>
        <w:t xml:space="preserve">highlighted that using CSM is highly beneficial within </w:t>
      </w:r>
      <w:r w:rsidR="00312ACC" w:rsidRPr="0067447A">
        <w:rPr>
          <w:rStyle w:val="normaltextrun"/>
          <w:rFonts w:ascii="Arial" w:hAnsi="Arial" w:cs="Arial"/>
        </w:rPr>
        <w:t>psychotherapy and</w:t>
      </w:r>
      <w:r w:rsidRPr="0067447A">
        <w:rPr>
          <w:rStyle w:val="normaltextrun"/>
          <w:rFonts w:ascii="Arial" w:hAnsi="Arial" w:cs="Arial"/>
        </w:rPr>
        <w:t xml:space="preserve"> has improved therapeutic outcomes by supporting the individual to learn self-management with a person-centred approach, as the CSM can be instrumental in guiding the development of unique individualised treatment plans. Jones, Smith and Llewellyn’s (2016), systematic review of CSM based intervention, found that CSM is useful for predicting and thus changing adherence behaviours in some illnesses, and in addition found CSM intervention highly beneficial on several factors and on a range of illness improving perceptions, treatment adherence and health outcomes. However, current research by Breland, Wong and McAndrew (2020), argues that a combination of CSM and the Self-Efficacy framework would be more effective in understanding and changing help seeking, self-management and treatment adherence behaviours, and thus improving health outcomes. White, Cohen, Berger, </w:t>
      </w:r>
      <w:r w:rsidRPr="0067447A">
        <w:rPr>
          <w:rStyle w:val="spellingerror"/>
          <w:rFonts w:ascii="Arial" w:hAnsi="Arial" w:cs="Arial"/>
        </w:rPr>
        <w:t>Kupzyk</w:t>
      </w:r>
      <w:r w:rsidRPr="0067447A">
        <w:rPr>
          <w:rStyle w:val="normaltextrun"/>
          <w:rFonts w:ascii="Arial" w:hAnsi="Arial" w:cs="Arial"/>
        </w:rPr>
        <w:t>, and Bierman’s (2019), integrative review on adults diagnosed with cancer, highlighted the benefits of the Self-efficacy theory, for the purposes of self-management, treatment adherence, symptom management and symptom distress. Their review found that those exhibiting reduced symptom distress and better emotional well-being had higher levels of self-efficacy then those exhibiting increased symptom distress and poorer health outcomes. Their review (White, Cohen, Berger, </w:t>
      </w:r>
      <w:r w:rsidRPr="0067447A">
        <w:rPr>
          <w:rStyle w:val="spellingerror"/>
          <w:rFonts w:ascii="Arial" w:hAnsi="Arial" w:cs="Arial"/>
        </w:rPr>
        <w:t>Kupzyk</w:t>
      </w:r>
      <w:r w:rsidRPr="0067447A">
        <w:rPr>
          <w:rStyle w:val="normaltextrun"/>
          <w:rFonts w:ascii="Arial" w:hAnsi="Arial" w:cs="Arial"/>
        </w:rPr>
        <w:t>, and Bierman 2019), also emphasised how individual’s health representation based on emotional, social, socio-economic and spiritual status, can impact greatly on the individual’s health outcomes and treatment adherence behaviour. They suggest that interventions to improve an individual’s self-efficacy could improve health outcomes provided the intervention is presented with optimum timing.   </w:t>
      </w:r>
      <w:r w:rsidRPr="0067447A">
        <w:rPr>
          <w:rStyle w:val="eop"/>
          <w:rFonts w:ascii="Arial" w:hAnsi="Arial" w:cs="Arial"/>
        </w:rPr>
        <w:t> </w:t>
      </w:r>
    </w:p>
    <w:p w14:paraId="69E9222B"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 xml:space="preserve"> Responses to the diagnoses of cancer, as studied by Kirby et al (2020), show that such a diagnosis is particularly emotive, difficult and multifaceted as highlighted in their qualitative semi structured study. Their study was interview based and conducted over a two-year period, with 80 adult cancer patients. The patients were diagnosed and living with a range of cancer diagnoses, and they were at various stages of cancer, and being treated with a range of cancer treatments. Leventhal, Phillips, and Burns (2016) and Kirby et al (2020) both discuss the findings that the response to a diagnosis of cancer, is highly influenced by external and internal factors such as lifestyle, health, family history, current ill health, experience, individuals understanding of the condition and treatments. It is these factors that </w:t>
      </w:r>
      <w:r w:rsidRPr="0067447A">
        <w:rPr>
          <w:rStyle w:val="normaltextrun"/>
          <w:rFonts w:ascii="Arial" w:hAnsi="Arial" w:cs="Arial"/>
        </w:rPr>
        <w:lastRenderedPageBreak/>
        <w:t>influence the adherence and acceptance of action and treatment plans, and heavily influences how patients utilise their own self-management (Leventhal, Phillips, and Burns 2016). </w:t>
      </w:r>
      <w:r w:rsidRPr="0067447A">
        <w:rPr>
          <w:rStyle w:val="eop"/>
          <w:rFonts w:ascii="Arial" w:hAnsi="Arial" w:cs="Arial"/>
        </w:rPr>
        <w:t> </w:t>
      </w:r>
    </w:p>
    <w:p w14:paraId="2FD0B32C"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Kirby et al (2020), highlight the importance of considering the whole person, as suggested by Leventhal’s CSM, when first informing a patient of a diagnosis of cancer. Considering the whole person can shape how the information is given, taking into consideration a patient’s ability to understand or access further information, and this can also help towards building a treatment and action plan, which will be manageable for the individual and will support their self-management, which in turn will improve adherence to treatment plans.     </w:t>
      </w:r>
      <w:r w:rsidRPr="0067447A">
        <w:rPr>
          <w:rStyle w:val="eop"/>
          <w:rFonts w:ascii="Arial" w:hAnsi="Arial" w:cs="Arial"/>
        </w:rPr>
        <w:t> </w:t>
      </w:r>
    </w:p>
    <w:p w14:paraId="747679DF"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 Richardson, </w:t>
      </w:r>
      <w:r w:rsidRPr="0067447A">
        <w:rPr>
          <w:rStyle w:val="spellingerror"/>
          <w:rFonts w:ascii="Arial" w:hAnsi="Arial" w:cs="Arial"/>
        </w:rPr>
        <w:t>Schüz</w:t>
      </w:r>
      <w:r w:rsidRPr="0067447A">
        <w:rPr>
          <w:rStyle w:val="normaltextrun"/>
          <w:rFonts w:ascii="Arial" w:hAnsi="Arial" w:cs="Arial"/>
        </w:rPr>
        <w:t>, Sanderson, Scott, and </w:t>
      </w:r>
      <w:r w:rsidRPr="0067447A">
        <w:rPr>
          <w:rStyle w:val="spellingerror"/>
          <w:rFonts w:ascii="Arial" w:hAnsi="Arial" w:cs="Arial"/>
        </w:rPr>
        <w:t>Schüz</w:t>
      </w:r>
      <w:r w:rsidRPr="0067447A">
        <w:rPr>
          <w:rStyle w:val="normaltextrun"/>
          <w:rFonts w:ascii="Arial" w:hAnsi="Arial" w:cs="Arial"/>
        </w:rPr>
        <w:t> (2017), also discuss the role CSM has in an individual's processing of a cancer diagnosis, and how an individual’s emotional response structures an individual's coping response to a diagnosis. They also discuss how these two responses work in parallel with each other and impact heavily on the outcome of the condition and adherence to treatment plans. Richardson et al (2017), indicate the components within CSM, which are fundamental to an individual’s response to a diagnosis, as being identification, symptoms, cause, timeline, consequence and curability. It is these components and the individual’s understanding of each component that trigger the emotional and cognitive responses to an illness or diagnosis. Richardson et </w:t>
      </w:r>
      <w:r w:rsidRPr="0067447A">
        <w:rPr>
          <w:rStyle w:val="spellingerror"/>
          <w:rFonts w:ascii="Arial" w:hAnsi="Arial" w:cs="Arial"/>
        </w:rPr>
        <w:t>al’s</w:t>
      </w:r>
      <w:r w:rsidRPr="0067447A">
        <w:rPr>
          <w:rStyle w:val="normaltextrun"/>
          <w:rFonts w:ascii="Arial" w:hAnsi="Arial" w:cs="Arial"/>
        </w:rPr>
        <w:t> (2017) study highlights that cognitive understanding of the condition has an impact on the individual's response to a cancer diagnosis. Furthermore, that when an individual has an informed understanding of a diagnosis, they have a greater level of understanding, which in turn improves their level of self-management and adherence to treatment plans, and they also have lower levels of anxiety and depression. This, however, can differ greatly depending on stage, prognosis, treatment and the type of cancer the individual is facing.    </w:t>
      </w:r>
      <w:r w:rsidRPr="0067447A">
        <w:rPr>
          <w:rStyle w:val="eop"/>
          <w:rFonts w:ascii="Arial" w:hAnsi="Arial" w:cs="Arial"/>
        </w:rPr>
        <w:t> </w:t>
      </w:r>
    </w:p>
    <w:p w14:paraId="002E4685"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Moss-Morris et </w:t>
      </w:r>
      <w:r w:rsidRPr="0067447A">
        <w:rPr>
          <w:rStyle w:val="spellingerror"/>
          <w:rFonts w:ascii="Arial" w:hAnsi="Arial" w:cs="Arial"/>
        </w:rPr>
        <w:t>al’s</w:t>
      </w:r>
      <w:r w:rsidRPr="0067447A">
        <w:rPr>
          <w:rStyle w:val="normaltextrun"/>
          <w:rFonts w:ascii="Arial" w:hAnsi="Arial" w:cs="Arial"/>
        </w:rPr>
        <w:t xml:space="preserve"> (2002), study presented a revised version of the Illness Perception Questionnaire (IPQ) which quantitatively measured five components of illness representation based on the CSM. The IPQ-R encapsulated a further five scales relating to the individual’s perceptions on timeline, illness coherence and emotional representation, and the IPQ-R proved to be reliable after three weeks and again after six months providing a wide-ranging measurable assessment on individuals’ perception of illness. Moon, Moss-Morris, Hunter, and Hughes (2017), </w:t>
      </w:r>
      <w:r w:rsidRPr="0067447A">
        <w:rPr>
          <w:rStyle w:val="normaltextrun"/>
          <w:rFonts w:ascii="Arial" w:hAnsi="Arial" w:cs="Arial"/>
        </w:rPr>
        <w:lastRenderedPageBreak/>
        <w:t>conducted a study on IPQ-R with survivors of breast cancer across England, and found that the emotional and cognitive response of a patient impacts heavily on the coping behaviours and adherence to treatment plans. Their study (Moon et al 2017), found that a modified IPQ-R was needed for survivors of breast cancer, to allow for changes in perception, in relation to treatment, recovery, prognosis and recurrence of the condition. Consequently, improving the understanding of an individual's emotional and cognitive responses, and therefore improving the adherence to treatment plans and ongoing self-management. Costanzo, Lutgendorf, and Roeder (2011), also highlight the importance of the use of CSM based IPQ-R for assessing individuals’ beliefs regarding illness status, causal factors, how they rate the importance of their cancer, preventive measures, treatment and self-management adherence.  Costanzo, Lutgendorf, and Roeder (2011) found the individuals understanding and components of CSM of cancer, had been significant in supporting individuals in positive health behaviour changes, following breast cancer treatment, improving adherence to self-management and treatment plans. </w:t>
      </w:r>
      <w:r w:rsidRPr="0067447A">
        <w:rPr>
          <w:rStyle w:val="eop"/>
          <w:rFonts w:ascii="Arial" w:hAnsi="Arial" w:cs="Arial"/>
        </w:rPr>
        <w:t> </w:t>
      </w:r>
    </w:p>
    <w:p w14:paraId="0A53FC04"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Traeger et </w:t>
      </w:r>
      <w:r w:rsidRPr="0067447A">
        <w:rPr>
          <w:rStyle w:val="spellingerror"/>
          <w:rFonts w:ascii="Arial" w:hAnsi="Arial" w:cs="Arial"/>
        </w:rPr>
        <w:t>al’s</w:t>
      </w:r>
      <w:r w:rsidRPr="0067447A">
        <w:rPr>
          <w:rStyle w:val="normaltextrun"/>
          <w:rFonts w:ascii="Arial" w:hAnsi="Arial" w:cs="Arial"/>
        </w:rPr>
        <w:t> (2009), study analysed illness perception and emotional well-being in males treated for localised prostate cancer, and their cognitive illness representation of treatment side effects, using the IPQ-R as theorised by the CSM. They found similar results to Costanzo, Lutgendorf, and Roeder (2011) in that the individuals’ emotional adjustments are potentially influenced by the individual’s understanding of treatment side effects, and the individuals’ previous experiences of cancer. Traeger et al (2009) suggested in their study that CSM based interventions, would be beneficial for individuals who had more negative representations of prostate cancer treatments, resulting in the individual experiencing poorer emotional well-being, more so with those experiencing higher life stresses and sexual dysfunction as a treatment side effect.  </w:t>
      </w:r>
      <w:r w:rsidRPr="0067447A">
        <w:rPr>
          <w:rStyle w:val="eop"/>
          <w:rFonts w:ascii="Arial" w:hAnsi="Arial" w:cs="Arial"/>
        </w:rPr>
        <w:t> </w:t>
      </w:r>
    </w:p>
    <w:p w14:paraId="52F7D290" w14:textId="77777777"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r w:rsidRPr="0067447A">
        <w:rPr>
          <w:rStyle w:val="normaltextrun"/>
          <w:rFonts w:ascii="Arial" w:hAnsi="Arial" w:cs="Arial"/>
        </w:rPr>
        <w:t xml:space="preserve">In conclusion, individuals faced with a serious health risk, can form negative health representation based on personal beliefs, experience and understanding of the illness. These negative health representations can result in negative health response behaviours, such as poor help seeking and treatment adherence. The CSM is a key theory, which could impact greatly on health outcomes by providing a </w:t>
      </w:r>
      <w:bookmarkStart w:id="0" w:name="_GoBack"/>
      <w:bookmarkEnd w:id="0"/>
      <w:r w:rsidRPr="0067447A">
        <w:rPr>
          <w:rStyle w:val="normaltextrun"/>
          <w:rFonts w:ascii="Arial" w:hAnsi="Arial" w:cs="Arial"/>
        </w:rPr>
        <w:t xml:space="preserve">person centred understanding of the individuals health representation A CSM based intervention when utilised effectively and in a timely manner, could improve the perception on health representation, treatment and self-management adherence. </w:t>
      </w:r>
      <w:r w:rsidRPr="0067447A">
        <w:rPr>
          <w:rStyle w:val="normaltextrun"/>
          <w:rFonts w:ascii="Arial" w:hAnsi="Arial" w:cs="Arial"/>
        </w:rPr>
        <w:lastRenderedPageBreak/>
        <w:t>This essay indicates that CSM intervention can improve health outcomes, health behaviours and treatment adherence, especially for individuals facing a serious illness. It has also shown that the CSM can be improved upon, by incorporating it with other theories, to create a more effective fuller understanding of an individual’s health representation, and thus more effective relevant interventions to support those with negative health representation and behaviours, improving their ability to make positive health behaviour changes and maintain those changes over a longer period of time.    </w:t>
      </w:r>
      <w:r w:rsidRPr="0067447A">
        <w:rPr>
          <w:rStyle w:val="eop"/>
          <w:rFonts w:ascii="Arial" w:hAnsi="Arial" w:cs="Arial"/>
        </w:rPr>
        <w:t> </w:t>
      </w:r>
    </w:p>
    <w:p w14:paraId="0855AD82" w14:textId="02A1E72E" w:rsidR="005D14C5" w:rsidRPr="0067447A" w:rsidRDefault="005D14C5" w:rsidP="0067447A">
      <w:pPr>
        <w:pStyle w:val="paragraph"/>
        <w:spacing w:before="0" w:beforeAutospacing="0" w:after="0" w:afterAutospacing="0" w:line="360" w:lineRule="auto"/>
        <w:ind w:firstLine="720"/>
        <w:textAlignment w:val="baseline"/>
        <w:rPr>
          <w:rFonts w:ascii="Arial" w:hAnsi="Arial" w:cs="Arial"/>
        </w:rPr>
      </w:pPr>
    </w:p>
    <w:p w14:paraId="59EDF831"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195750D6"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45C4DDD6"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2C7F2825"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2533DF45"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52092D03"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4510A8DA"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2B2A8817"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19B3AC7B"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1CECA129"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3CEF5765"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eop"/>
          <w:rFonts w:ascii="Arial" w:hAnsi="Arial" w:cs="Arial"/>
        </w:rPr>
        <w:t> </w:t>
      </w:r>
    </w:p>
    <w:p w14:paraId="44F88BB1" w14:textId="182E7F12" w:rsidR="005D14C5" w:rsidRPr="0067447A" w:rsidRDefault="005D14C5" w:rsidP="0067447A">
      <w:pPr>
        <w:pStyle w:val="paragraph"/>
        <w:spacing w:before="0" w:beforeAutospacing="0" w:after="0" w:afterAutospacing="0" w:line="360" w:lineRule="auto"/>
        <w:textAlignment w:val="baseline"/>
        <w:rPr>
          <w:rStyle w:val="eop"/>
          <w:rFonts w:ascii="Arial" w:hAnsi="Arial" w:cs="Arial"/>
        </w:rPr>
      </w:pPr>
      <w:r w:rsidRPr="0067447A">
        <w:rPr>
          <w:rStyle w:val="eop"/>
          <w:rFonts w:ascii="Arial" w:hAnsi="Arial" w:cs="Arial"/>
        </w:rPr>
        <w:t> </w:t>
      </w:r>
    </w:p>
    <w:p w14:paraId="4ACD8139" w14:textId="48E35494"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543088AE" w14:textId="64F87006"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29EE76D7" w14:textId="3C51D5B8"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2A80D5DA" w14:textId="2B98D627"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215C545C" w14:textId="6E1D1E1E"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6E1956C9" w14:textId="5D2360D1"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31461F3F" w14:textId="6A298E3F"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57430956" w14:textId="41CA0B26"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7F1A81A6" w14:textId="36ECBD22"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332096B2" w14:textId="0442003C"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730FC1E7" w14:textId="3E8EBF64"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05513E91" w14:textId="18D9EEFC"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7BB1F6C3" w14:textId="75548009" w:rsidR="00312ACC" w:rsidRPr="0067447A" w:rsidRDefault="00312ACC" w:rsidP="0067447A">
      <w:pPr>
        <w:pStyle w:val="paragraph"/>
        <w:spacing w:before="0" w:beforeAutospacing="0" w:after="0" w:afterAutospacing="0" w:line="360" w:lineRule="auto"/>
        <w:textAlignment w:val="baseline"/>
        <w:rPr>
          <w:rStyle w:val="eop"/>
          <w:rFonts w:ascii="Arial" w:hAnsi="Arial" w:cs="Arial"/>
        </w:rPr>
      </w:pPr>
    </w:p>
    <w:p w14:paraId="0E13E284" w14:textId="77777777" w:rsidR="005D14C5" w:rsidRPr="0067447A" w:rsidRDefault="005D14C5" w:rsidP="0067447A">
      <w:pPr>
        <w:pStyle w:val="paragraph"/>
        <w:spacing w:before="0" w:beforeAutospacing="0" w:after="0" w:afterAutospacing="0" w:line="360" w:lineRule="auto"/>
        <w:textAlignment w:val="baseline"/>
        <w:rPr>
          <w:rFonts w:ascii="Arial" w:hAnsi="Arial" w:cs="Arial"/>
        </w:rPr>
      </w:pPr>
      <w:r w:rsidRPr="0067447A">
        <w:rPr>
          <w:rStyle w:val="normaltextrun"/>
          <w:rFonts w:ascii="Arial" w:hAnsi="Arial" w:cs="Arial"/>
          <w:b/>
          <w:bCs/>
          <w:u w:val="single"/>
        </w:rPr>
        <w:lastRenderedPageBreak/>
        <w:t>References list </w:t>
      </w:r>
      <w:r w:rsidRPr="0067447A">
        <w:rPr>
          <w:rStyle w:val="eop"/>
          <w:rFonts w:ascii="Arial" w:hAnsi="Arial" w:cs="Arial"/>
        </w:rPr>
        <w:t> </w:t>
      </w:r>
    </w:p>
    <w:p w14:paraId="69456350"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Aujla, N., Walker, M., Sprigg, N., Abrams, K., Massey, A., &amp; Vedhara, K. (2016). Can illness beliefs, from the common-sense model, prospectively predict adherence to self-management behaviours? A systematic review and meta-analysis. </w:t>
      </w:r>
      <w:r w:rsidRPr="0067447A">
        <w:rPr>
          <w:rStyle w:val="normaltextrun"/>
          <w:rFonts w:ascii="Arial" w:hAnsi="Arial" w:cs="Arial"/>
          <w:i/>
          <w:iCs/>
        </w:rPr>
        <w:t>Psychology &amp; health</w:t>
      </w:r>
      <w:r w:rsidRPr="0067447A">
        <w:rPr>
          <w:rStyle w:val="normaltextrun"/>
          <w:rFonts w:ascii="Arial" w:hAnsi="Arial" w:cs="Arial"/>
        </w:rPr>
        <w:t>, </w:t>
      </w:r>
      <w:r w:rsidRPr="0067447A">
        <w:rPr>
          <w:rStyle w:val="normaltextrun"/>
          <w:rFonts w:ascii="Arial" w:hAnsi="Arial" w:cs="Arial"/>
          <w:i/>
          <w:iCs/>
        </w:rPr>
        <w:t>31</w:t>
      </w:r>
      <w:r w:rsidRPr="0067447A">
        <w:rPr>
          <w:rStyle w:val="normaltextrun"/>
          <w:rFonts w:ascii="Arial" w:hAnsi="Arial" w:cs="Arial"/>
        </w:rPr>
        <w:t>(8), 931-958.</w:t>
      </w:r>
      <w:r w:rsidRPr="0067447A">
        <w:rPr>
          <w:rStyle w:val="eop"/>
          <w:rFonts w:ascii="Arial" w:hAnsi="Arial" w:cs="Arial"/>
        </w:rPr>
        <w:t> </w:t>
      </w:r>
    </w:p>
    <w:p w14:paraId="25FFD399" w14:textId="77777777" w:rsidR="0067447A" w:rsidRPr="0067447A" w:rsidRDefault="0067447A" w:rsidP="0067447A">
      <w:pPr>
        <w:pStyle w:val="paragraph"/>
        <w:spacing w:before="0" w:beforeAutospacing="0" w:after="0" w:afterAutospacing="0" w:line="360" w:lineRule="auto"/>
        <w:ind w:left="720" w:hanging="720"/>
        <w:textAlignment w:val="baseline"/>
        <w:rPr>
          <w:rStyle w:val="normaltextrun"/>
          <w:rFonts w:ascii="Arial" w:hAnsi="Arial" w:cs="Arial"/>
        </w:rPr>
      </w:pPr>
      <w:proofErr w:type="spellStart"/>
      <w:r w:rsidRPr="0067447A">
        <w:rPr>
          <w:rStyle w:val="normaltextrun"/>
          <w:rFonts w:ascii="Arial" w:hAnsi="Arial" w:cs="Arial"/>
        </w:rPr>
        <w:t>Brandes</w:t>
      </w:r>
      <w:proofErr w:type="spellEnd"/>
      <w:r w:rsidRPr="0067447A">
        <w:rPr>
          <w:rStyle w:val="normaltextrun"/>
          <w:rFonts w:ascii="Arial" w:hAnsi="Arial" w:cs="Arial"/>
        </w:rPr>
        <w:t>, K., &amp; Mullan, B. (2014). Can the common-sense model predict adherence in chronically ill patients? A meta-analysis. </w:t>
      </w:r>
      <w:r w:rsidRPr="0067447A">
        <w:rPr>
          <w:rStyle w:val="normaltextrun"/>
          <w:rFonts w:ascii="Arial" w:hAnsi="Arial" w:cs="Arial"/>
          <w:i/>
          <w:iCs/>
        </w:rPr>
        <w:t>Health psychology review</w:t>
      </w:r>
      <w:r w:rsidRPr="0067447A">
        <w:rPr>
          <w:rStyle w:val="normaltextrun"/>
          <w:rFonts w:ascii="Arial" w:hAnsi="Arial" w:cs="Arial"/>
        </w:rPr>
        <w:t>, 8(2), 129-153.</w:t>
      </w:r>
    </w:p>
    <w:p w14:paraId="62655EC2"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Breland, J. Y., Wong, J. J., &amp; McAndrew, L. M. (2020). Are Common Sense Model constructs and self-efficacy simultaneously correlated with self-management </w:t>
      </w:r>
      <w:r w:rsidRPr="0067447A">
        <w:rPr>
          <w:rStyle w:val="spellingerror"/>
          <w:rFonts w:ascii="Arial" w:hAnsi="Arial" w:cs="Arial"/>
        </w:rPr>
        <w:t>behaviors</w:t>
      </w:r>
      <w:r w:rsidRPr="0067447A">
        <w:rPr>
          <w:rStyle w:val="normaltextrun"/>
          <w:rFonts w:ascii="Arial" w:hAnsi="Arial" w:cs="Arial"/>
        </w:rPr>
        <w:t> and health outcomes: A systematic review. </w:t>
      </w:r>
      <w:r w:rsidRPr="0067447A">
        <w:rPr>
          <w:rStyle w:val="normaltextrun"/>
          <w:rFonts w:ascii="Arial" w:hAnsi="Arial" w:cs="Arial"/>
          <w:i/>
          <w:iCs/>
        </w:rPr>
        <w:t>Health Psychology Open,</w:t>
      </w:r>
      <w:r w:rsidRPr="0067447A">
        <w:rPr>
          <w:rStyle w:val="normaltextrun"/>
          <w:rFonts w:ascii="Arial" w:hAnsi="Arial" w:cs="Arial"/>
        </w:rPr>
        <w:t> 7(1), 2055102919898846.</w:t>
      </w:r>
      <w:r w:rsidRPr="0067447A">
        <w:rPr>
          <w:rStyle w:val="eop"/>
          <w:rFonts w:ascii="Arial" w:hAnsi="Arial" w:cs="Arial"/>
        </w:rPr>
        <w:t> </w:t>
      </w:r>
    </w:p>
    <w:p w14:paraId="65F131EF"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Cameron, L. D., &amp; </w:t>
      </w:r>
      <w:r w:rsidRPr="0067447A">
        <w:rPr>
          <w:rStyle w:val="spellingerror"/>
          <w:rFonts w:ascii="Arial" w:hAnsi="Arial" w:cs="Arial"/>
        </w:rPr>
        <w:t>Jago</w:t>
      </w:r>
      <w:r w:rsidRPr="0067447A">
        <w:rPr>
          <w:rStyle w:val="normaltextrun"/>
          <w:rFonts w:ascii="Arial" w:hAnsi="Arial" w:cs="Arial"/>
        </w:rPr>
        <w:t>, L. (2008). Emotion regulation interventions: A common</w:t>
      </w:r>
      <w:r w:rsidRPr="0067447A">
        <w:rPr>
          <w:rStyle w:val="normaltextrun"/>
          <w:rFonts w:ascii="Cambria Math" w:hAnsi="Cambria Math" w:cs="Cambria Math"/>
        </w:rPr>
        <w:t>‐</w:t>
      </w:r>
      <w:r w:rsidRPr="0067447A">
        <w:rPr>
          <w:rStyle w:val="normaltextrun"/>
          <w:rFonts w:ascii="Arial" w:hAnsi="Arial" w:cs="Arial"/>
        </w:rPr>
        <w:t>sense model approach. </w:t>
      </w:r>
      <w:r w:rsidRPr="0067447A">
        <w:rPr>
          <w:rStyle w:val="normaltextrun"/>
          <w:rFonts w:ascii="Arial" w:hAnsi="Arial" w:cs="Arial"/>
          <w:i/>
          <w:iCs/>
        </w:rPr>
        <w:t>British Journal of Health Psychology</w:t>
      </w:r>
      <w:r w:rsidRPr="0067447A">
        <w:rPr>
          <w:rStyle w:val="normaltextrun"/>
          <w:rFonts w:ascii="Arial" w:hAnsi="Arial" w:cs="Arial"/>
        </w:rPr>
        <w:t>, </w:t>
      </w:r>
      <w:r w:rsidRPr="0067447A">
        <w:rPr>
          <w:rStyle w:val="normaltextrun"/>
          <w:rFonts w:ascii="Arial" w:hAnsi="Arial" w:cs="Arial"/>
          <w:i/>
          <w:iCs/>
        </w:rPr>
        <w:t>13</w:t>
      </w:r>
      <w:r w:rsidRPr="0067447A">
        <w:rPr>
          <w:rStyle w:val="normaltextrun"/>
          <w:rFonts w:ascii="Arial" w:hAnsi="Arial" w:cs="Arial"/>
        </w:rPr>
        <w:t>(2), 215-221.</w:t>
      </w:r>
      <w:r w:rsidRPr="0067447A">
        <w:rPr>
          <w:rStyle w:val="eop"/>
          <w:rFonts w:ascii="Arial" w:hAnsi="Arial" w:cs="Arial"/>
        </w:rPr>
        <w:t> </w:t>
      </w:r>
    </w:p>
    <w:p w14:paraId="71158885"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Conner, M., &amp; Norman, P. (2017). Health behaviour: Current issues and challenges.</w:t>
      </w:r>
      <w:r w:rsidRPr="0067447A">
        <w:rPr>
          <w:rStyle w:val="eop"/>
          <w:rFonts w:ascii="Arial" w:hAnsi="Arial" w:cs="Arial"/>
        </w:rPr>
        <w:t> </w:t>
      </w:r>
    </w:p>
    <w:p w14:paraId="62234954"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Costanzo, E. S., Lutgendorf, S. K., &amp; Roeder, S. L. (2011). Common</w:t>
      </w:r>
      <w:r w:rsidRPr="0067447A">
        <w:rPr>
          <w:rStyle w:val="normaltextrun"/>
          <w:rFonts w:ascii="Cambria Math" w:hAnsi="Cambria Math" w:cs="Cambria Math"/>
        </w:rPr>
        <w:t>‐</w:t>
      </w:r>
      <w:r w:rsidRPr="0067447A">
        <w:rPr>
          <w:rStyle w:val="normaltextrun"/>
          <w:rFonts w:ascii="Arial" w:hAnsi="Arial" w:cs="Arial"/>
        </w:rPr>
        <w:t>sense beliefs about cancer and health practices among women completing treatment for breast cancer. </w:t>
      </w:r>
      <w:r w:rsidRPr="0067447A">
        <w:rPr>
          <w:rStyle w:val="normaltextrun"/>
          <w:rFonts w:ascii="Arial" w:hAnsi="Arial" w:cs="Arial"/>
          <w:i/>
          <w:iCs/>
        </w:rPr>
        <w:t>Psycho</w:t>
      </w:r>
      <w:r w:rsidRPr="0067447A">
        <w:rPr>
          <w:rStyle w:val="normaltextrun"/>
          <w:rFonts w:ascii="Cambria Math" w:hAnsi="Cambria Math" w:cs="Cambria Math"/>
          <w:i/>
          <w:iCs/>
        </w:rPr>
        <w:t>‐</w:t>
      </w:r>
      <w:r w:rsidRPr="0067447A">
        <w:rPr>
          <w:rStyle w:val="normaltextrun"/>
          <w:rFonts w:ascii="Arial" w:hAnsi="Arial" w:cs="Arial"/>
          <w:i/>
          <w:iCs/>
        </w:rPr>
        <w:t>oncology</w:t>
      </w:r>
      <w:r w:rsidRPr="0067447A">
        <w:rPr>
          <w:rStyle w:val="normaltextrun"/>
          <w:rFonts w:ascii="Arial" w:hAnsi="Arial" w:cs="Arial"/>
        </w:rPr>
        <w:t>, </w:t>
      </w:r>
      <w:r w:rsidRPr="0067447A">
        <w:rPr>
          <w:rStyle w:val="normaltextrun"/>
          <w:rFonts w:ascii="Arial" w:hAnsi="Arial" w:cs="Arial"/>
          <w:i/>
          <w:iCs/>
        </w:rPr>
        <w:t>20</w:t>
      </w:r>
      <w:r w:rsidRPr="0067447A">
        <w:rPr>
          <w:rStyle w:val="normaltextrun"/>
          <w:rFonts w:ascii="Arial" w:hAnsi="Arial" w:cs="Arial"/>
        </w:rPr>
        <w:t>(1), 53-61.</w:t>
      </w:r>
      <w:r w:rsidRPr="0067447A">
        <w:rPr>
          <w:rStyle w:val="eop"/>
          <w:rFonts w:ascii="Arial" w:hAnsi="Arial" w:cs="Arial"/>
        </w:rPr>
        <w:t> </w:t>
      </w:r>
    </w:p>
    <w:p w14:paraId="7EC114D2"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Hagger, M. S., &amp; Orbell, S. (2003). A meta-analytic review of the common-sense model of illness representations. </w:t>
      </w:r>
      <w:r w:rsidRPr="0067447A">
        <w:rPr>
          <w:rStyle w:val="normaltextrun"/>
          <w:rFonts w:ascii="Arial" w:hAnsi="Arial" w:cs="Arial"/>
          <w:i/>
          <w:iCs/>
        </w:rPr>
        <w:t>Psychology and health</w:t>
      </w:r>
      <w:r w:rsidRPr="0067447A">
        <w:rPr>
          <w:rStyle w:val="normaltextrun"/>
          <w:rFonts w:ascii="Arial" w:hAnsi="Arial" w:cs="Arial"/>
        </w:rPr>
        <w:t>, </w:t>
      </w:r>
      <w:r w:rsidRPr="0067447A">
        <w:rPr>
          <w:rStyle w:val="normaltextrun"/>
          <w:rFonts w:ascii="Arial" w:hAnsi="Arial" w:cs="Arial"/>
          <w:i/>
          <w:iCs/>
        </w:rPr>
        <w:t>18</w:t>
      </w:r>
      <w:r w:rsidRPr="0067447A">
        <w:rPr>
          <w:rStyle w:val="normaltextrun"/>
          <w:rFonts w:ascii="Arial" w:hAnsi="Arial" w:cs="Arial"/>
        </w:rPr>
        <w:t>(2), 141-184.</w:t>
      </w:r>
      <w:r w:rsidRPr="0067447A">
        <w:rPr>
          <w:rStyle w:val="eop"/>
          <w:rFonts w:ascii="Arial" w:hAnsi="Arial" w:cs="Arial"/>
        </w:rPr>
        <w:t> </w:t>
      </w:r>
    </w:p>
    <w:p w14:paraId="5048BF6A"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Hagger, M. S., Koch, S., Chatzisarantis, N. L., &amp; Orbell, S. (2017). The </w:t>
      </w:r>
      <w:r w:rsidRPr="0067447A">
        <w:rPr>
          <w:rStyle w:val="contextualspellingandgrammarerror"/>
          <w:rFonts w:ascii="Arial" w:hAnsi="Arial" w:cs="Arial"/>
        </w:rPr>
        <w:t>commonsense</w:t>
      </w:r>
      <w:r w:rsidRPr="0067447A">
        <w:rPr>
          <w:rStyle w:val="normaltextrun"/>
          <w:rFonts w:ascii="Arial" w:hAnsi="Arial" w:cs="Arial"/>
        </w:rPr>
        <w:t> model of self-regulation: Meta-analysis and test of a process model. </w:t>
      </w:r>
      <w:r w:rsidRPr="0067447A">
        <w:rPr>
          <w:rStyle w:val="normaltextrun"/>
          <w:rFonts w:ascii="Arial" w:hAnsi="Arial" w:cs="Arial"/>
          <w:i/>
          <w:iCs/>
        </w:rPr>
        <w:t>Psychological Bulletin</w:t>
      </w:r>
      <w:r w:rsidRPr="0067447A">
        <w:rPr>
          <w:rStyle w:val="normaltextrun"/>
          <w:rFonts w:ascii="Arial" w:hAnsi="Arial" w:cs="Arial"/>
        </w:rPr>
        <w:t>, </w:t>
      </w:r>
      <w:r w:rsidRPr="0067447A">
        <w:rPr>
          <w:rStyle w:val="normaltextrun"/>
          <w:rFonts w:ascii="Arial" w:hAnsi="Arial" w:cs="Arial"/>
          <w:i/>
          <w:iCs/>
        </w:rPr>
        <w:t>143</w:t>
      </w:r>
      <w:r w:rsidRPr="0067447A">
        <w:rPr>
          <w:rStyle w:val="normaltextrun"/>
          <w:rFonts w:ascii="Arial" w:hAnsi="Arial" w:cs="Arial"/>
        </w:rPr>
        <w:t>(11), 1117.</w:t>
      </w:r>
      <w:r w:rsidRPr="0067447A">
        <w:rPr>
          <w:rStyle w:val="eop"/>
          <w:rFonts w:ascii="Arial" w:hAnsi="Arial" w:cs="Arial"/>
        </w:rPr>
        <w:t> </w:t>
      </w:r>
    </w:p>
    <w:p w14:paraId="11E41A8E"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Hare, C. (2017). CANCER-RELATED FATIGUE: THE ROLE OF DEMOGRAPHIC AND MEDICAL FACTORS, SYMPTOM SEVERITY, ILLNESS PERCEPTIONS, AND COPING STRATEGIES IN TESTING LEVENTHAL’S </w:t>
      </w:r>
      <w:r w:rsidRPr="0067447A">
        <w:rPr>
          <w:rStyle w:val="contextualspellingandgrammarerror"/>
          <w:rFonts w:ascii="Arial" w:hAnsi="Arial" w:cs="Arial"/>
        </w:rPr>
        <w:t>COMMON SENSE</w:t>
      </w:r>
      <w:r w:rsidRPr="0067447A">
        <w:rPr>
          <w:rStyle w:val="normaltextrun"/>
          <w:rFonts w:ascii="Arial" w:hAnsi="Arial" w:cs="Arial"/>
        </w:rPr>
        <w:t> MODEL IN OVARIAN CANCER PATIENTS.</w:t>
      </w:r>
      <w:r w:rsidRPr="0067447A">
        <w:rPr>
          <w:rStyle w:val="eop"/>
          <w:rFonts w:ascii="Arial" w:hAnsi="Arial" w:cs="Arial"/>
        </w:rPr>
        <w:t> </w:t>
      </w:r>
    </w:p>
    <w:p w14:paraId="76DB7347"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Heinemann, A. W., Mallinson, T., Keith, R. A., Granger, C. V., Hamilton, B. B., Sherwin, F. S., ... &amp; Szafranski, D. D. (2019). Health and Illness Cognitions. </w:t>
      </w:r>
      <w:r w:rsidRPr="0067447A">
        <w:rPr>
          <w:rStyle w:val="normaltextrun"/>
          <w:rFonts w:ascii="Arial" w:hAnsi="Arial" w:cs="Arial"/>
          <w:i/>
          <w:iCs/>
        </w:rPr>
        <w:t>Cambridge Handbook of Psychology, Health and Medicine</w:t>
      </w:r>
      <w:r w:rsidRPr="0067447A">
        <w:rPr>
          <w:rStyle w:val="normaltextrun"/>
          <w:rFonts w:ascii="Arial" w:hAnsi="Arial" w:cs="Arial"/>
        </w:rPr>
        <w:t>, </w:t>
      </w:r>
      <w:r w:rsidRPr="0067447A">
        <w:rPr>
          <w:rStyle w:val="normaltextrun"/>
          <w:rFonts w:ascii="Arial" w:hAnsi="Arial" w:cs="Arial"/>
          <w:i/>
          <w:iCs/>
        </w:rPr>
        <w:t>1</w:t>
      </w:r>
      <w:r w:rsidRPr="0067447A">
        <w:rPr>
          <w:rStyle w:val="normaltextrun"/>
          <w:rFonts w:ascii="Arial" w:hAnsi="Arial" w:cs="Arial"/>
        </w:rPr>
        <w:t>, 188.</w:t>
      </w:r>
      <w:r w:rsidRPr="0067447A">
        <w:rPr>
          <w:rStyle w:val="eop"/>
          <w:rFonts w:ascii="Arial" w:hAnsi="Arial" w:cs="Arial"/>
        </w:rPr>
        <w:t> </w:t>
      </w:r>
    </w:p>
    <w:p w14:paraId="5BE265C0"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lastRenderedPageBreak/>
        <w:t>Jones, C. J., Smith, H. E., &amp; Llewellyn, C. D. (2016). A systematic review of the effectiveness of interventions using the Common Sense Self-Regulatory Model to improve adherence behaviours. </w:t>
      </w:r>
      <w:r w:rsidRPr="0067447A">
        <w:rPr>
          <w:rStyle w:val="normaltextrun"/>
          <w:rFonts w:ascii="Arial" w:hAnsi="Arial" w:cs="Arial"/>
          <w:i/>
          <w:iCs/>
        </w:rPr>
        <w:t>Journal of Health Psychology</w:t>
      </w:r>
      <w:r w:rsidRPr="0067447A">
        <w:rPr>
          <w:rStyle w:val="normaltextrun"/>
          <w:rFonts w:ascii="Arial" w:hAnsi="Arial" w:cs="Arial"/>
        </w:rPr>
        <w:t>, </w:t>
      </w:r>
      <w:r w:rsidRPr="0067447A">
        <w:rPr>
          <w:rStyle w:val="normaltextrun"/>
          <w:rFonts w:ascii="Arial" w:hAnsi="Arial" w:cs="Arial"/>
          <w:i/>
          <w:iCs/>
        </w:rPr>
        <w:t>21</w:t>
      </w:r>
      <w:r w:rsidRPr="0067447A">
        <w:rPr>
          <w:rStyle w:val="normaltextrun"/>
          <w:rFonts w:ascii="Arial" w:hAnsi="Arial" w:cs="Arial"/>
        </w:rPr>
        <w:t>(11), 2709-2724.</w:t>
      </w:r>
      <w:r w:rsidRPr="0067447A">
        <w:rPr>
          <w:rStyle w:val="eop"/>
          <w:rFonts w:ascii="Arial" w:hAnsi="Arial" w:cs="Arial"/>
        </w:rPr>
        <w:t> </w:t>
      </w:r>
    </w:p>
    <w:p w14:paraId="17665370"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proofErr w:type="spellStart"/>
      <w:r w:rsidRPr="0067447A">
        <w:rPr>
          <w:rStyle w:val="normaltextrun"/>
          <w:rFonts w:ascii="Arial" w:hAnsi="Arial" w:cs="Arial"/>
        </w:rPr>
        <w:t>Karekla</w:t>
      </w:r>
      <w:proofErr w:type="spellEnd"/>
      <w:r w:rsidRPr="0067447A">
        <w:rPr>
          <w:rStyle w:val="normaltextrun"/>
          <w:rFonts w:ascii="Arial" w:hAnsi="Arial" w:cs="Arial"/>
        </w:rPr>
        <w:t>, M., Karademas, E. C., &amp; </w:t>
      </w:r>
      <w:r w:rsidRPr="0067447A">
        <w:rPr>
          <w:rStyle w:val="spellingerror"/>
          <w:rFonts w:ascii="Arial" w:hAnsi="Arial" w:cs="Arial"/>
        </w:rPr>
        <w:t>Gloster</w:t>
      </w:r>
      <w:r w:rsidRPr="0067447A">
        <w:rPr>
          <w:rStyle w:val="normaltextrun"/>
          <w:rFonts w:ascii="Arial" w:hAnsi="Arial" w:cs="Arial"/>
        </w:rPr>
        <w:t>, A. T. (2019). The </w:t>
      </w:r>
      <w:proofErr w:type="gramStart"/>
      <w:r w:rsidRPr="0067447A">
        <w:rPr>
          <w:rStyle w:val="contextualspellingandgrammarerror"/>
          <w:rFonts w:ascii="Arial" w:hAnsi="Arial" w:cs="Arial"/>
        </w:rPr>
        <w:t>Common Sense</w:t>
      </w:r>
      <w:proofErr w:type="gramEnd"/>
      <w:r w:rsidRPr="0067447A">
        <w:rPr>
          <w:rStyle w:val="normaltextrun"/>
          <w:rFonts w:ascii="Arial" w:hAnsi="Arial" w:cs="Arial"/>
        </w:rPr>
        <w:t> Model of Self-Regulation and Acceptance and Commitment Therapy: integrating strategies to guide interventions for chronic illness. </w:t>
      </w:r>
      <w:r w:rsidRPr="0067447A">
        <w:rPr>
          <w:rStyle w:val="normaltextrun"/>
          <w:rFonts w:ascii="Arial" w:hAnsi="Arial" w:cs="Arial"/>
          <w:i/>
          <w:iCs/>
        </w:rPr>
        <w:t>Health psychology review</w:t>
      </w:r>
      <w:r w:rsidRPr="0067447A">
        <w:rPr>
          <w:rStyle w:val="normaltextrun"/>
          <w:rFonts w:ascii="Arial" w:hAnsi="Arial" w:cs="Arial"/>
        </w:rPr>
        <w:t>, </w:t>
      </w:r>
      <w:r w:rsidRPr="0067447A">
        <w:rPr>
          <w:rStyle w:val="normaltextrun"/>
          <w:rFonts w:ascii="Arial" w:hAnsi="Arial" w:cs="Arial"/>
          <w:i/>
          <w:iCs/>
        </w:rPr>
        <w:t>13</w:t>
      </w:r>
      <w:r w:rsidRPr="0067447A">
        <w:rPr>
          <w:rStyle w:val="normaltextrun"/>
          <w:rFonts w:ascii="Arial" w:hAnsi="Arial" w:cs="Arial"/>
        </w:rPr>
        <w:t>(4), 490-503.</w:t>
      </w:r>
      <w:r w:rsidRPr="0067447A">
        <w:rPr>
          <w:rStyle w:val="eop"/>
          <w:rFonts w:ascii="Arial" w:hAnsi="Arial" w:cs="Arial"/>
        </w:rPr>
        <w:t> </w:t>
      </w:r>
    </w:p>
    <w:p w14:paraId="4B9BBD9D"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Kirby, E. R., Kenny, K. E., Broom, A. F., </w:t>
      </w:r>
      <w:r w:rsidRPr="0067447A">
        <w:rPr>
          <w:rStyle w:val="spellingerror"/>
          <w:rFonts w:ascii="Arial" w:hAnsi="Arial" w:cs="Arial"/>
        </w:rPr>
        <w:t>Oliffe</w:t>
      </w:r>
      <w:r w:rsidRPr="0067447A">
        <w:rPr>
          <w:rStyle w:val="normaltextrun"/>
          <w:rFonts w:ascii="Arial" w:hAnsi="Arial" w:cs="Arial"/>
        </w:rPr>
        <w:t>, J. L., Lewis, S., </w:t>
      </w:r>
      <w:r w:rsidRPr="0067447A">
        <w:rPr>
          <w:rStyle w:val="spellingerror"/>
          <w:rFonts w:ascii="Arial" w:hAnsi="Arial" w:cs="Arial"/>
        </w:rPr>
        <w:t>Wyld</w:t>
      </w:r>
      <w:r w:rsidRPr="0067447A">
        <w:rPr>
          <w:rStyle w:val="normaltextrun"/>
          <w:rFonts w:ascii="Arial" w:hAnsi="Arial" w:cs="Arial"/>
        </w:rPr>
        <w:t>, D. K., ... &amp; Lwin, Z. (2020). Responses to a cancer diagnosis: a qualitative patient-centred interview study. </w:t>
      </w:r>
      <w:r w:rsidRPr="0067447A">
        <w:rPr>
          <w:rStyle w:val="normaltextrun"/>
          <w:rFonts w:ascii="Arial" w:hAnsi="Arial" w:cs="Arial"/>
          <w:i/>
          <w:iCs/>
        </w:rPr>
        <w:t>Supportive Care in Cancer</w:t>
      </w:r>
      <w:r w:rsidRPr="0067447A">
        <w:rPr>
          <w:rStyle w:val="normaltextrun"/>
          <w:rFonts w:ascii="Arial" w:hAnsi="Arial" w:cs="Arial"/>
        </w:rPr>
        <w:t>, </w:t>
      </w:r>
      <w:r w:rsidRPr="0067447A">
        <w:rPr>
          <w:rStyle w:val="normaltextrun"/>
          <w:rFonts w:ascii="Arial" w:hAnsi="Arial" w:cs="Arial"/>
          <w:i/>
          <w:iCs/>
        </w:rPr>
        <w:t>28</w:t>
      </w:r>
      <w:r w:rsidRPr="0067447A">
        <w:rPr>
          <w:rStyle w:val="normaltextrun"/>
          <w:rFonts w:ascii="Arial" w:hAnsi="Arial" w:cs="Arial"/>
        </w:rPr>
        <w:t>(1), 229-238.</w:t>
      </w:r>
      <w:r w:rsidRPr="0067447A">
        <w:rPr>
          <w:rStyle w:val="eop"/>
          <w:rFonts w:ascii="Arial" w:hAnsi="Arial" w:cs="Arial"/>
        </w:rPr>
        <w:t> </w:t>
      </w:r>
    </w:p>
    <w:p w14:paraId="30C60647"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Leventhal, H., Phillips, L. A., &amp; Burns, E. (2016). The Common-Sense Model of Self-Regulation (CSM): a dynamic framework for understanding illness self-management. </w:t>
      </w:r>
      <w:r w:rsidRPr="0067447A">
        <w:rPr>
          <w:rStyle w:val="normaltextrun"/>
          <w:rFonts w:ascii="Arial" w:hAnsi="Arial" w:cs="Arial"/>
          <w:i/>
          <w:iCs/>
        </w:rPr>
        <w:t>Journal of </w:t>
      </w:r>
      <w:r w:rsidRPr="0067447A">
        <w:rPr>
          <w:rStyle w:val="spellingerror"/>
          <w:rFonts w:ascii="Arial" w:hAnsi="Arial" w:cs="Arial"/>
          <w:i/>
          <w:iCs/>
        </w:rPr>
        <w:t>behavioral</w:t>
      </w:r>
      <w:r w:rsidRPr="0067447A">
        <w:rPr>
          <w:rStyle w:val="normaltextrun"/>
          <w:rFonts w:ascii="Arial" w:hAnsi="Arial" w:cs="Arial"/>
          <w:i/>
          <w:iCs/>
        </w:rPr>
        <w:t> medicine</w:t>
      </w:r>
      <w:r w:rsidRPr="0067447A">
        <w:rPr>
          <w:rStyle w:val="normaltextrun"/>
          <w:rFonts w:ascii="Arial" w:hAnsi="Arial" w:cs="Arial"/>
        </w:rPr>
        <w:t>, </w:t>
      </w:r>
      <w:r w:rsidRPr="0067447A">
        <w:rPr>
          <w:rStyle w:val="normaltextrun"/>
          <w:rFonts w:ascii="Arial" w:hAnsi="Arial" w:cs="Arial"/>
          <w:i/>
          <w:iCs/>
        </w:rPr>
        <w:t>39</w:t>
      </w:r>
      <w:r w:rsidRPr="0067447A">
        <w:rPr>
          <w:rStyle w:val="normaltextrun"/>
          <w:rFonts w:ascii="Arial" w:hAnsi="Arial" w:cs="Arial"/>
        </w:rPr>
        <w:t>(6), 935-946.</w:t>
      </w:r>
      <w:r w:rsidRPr="0067447A">
        <w:rPr>
          <w:rStyle w:val="eop"/>
          <w:rFonts w:ascii="Arial" w:hAnsi="Arial" w:cs="Arial"/>
        </w:rPr>
        <w:t> </w:t>
      </w:r>
    </w:p>
    <w:p w14:paraId="37EBAE41"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McAndrew, L. M., Martin, J. L., Friedlander, M. L., Shaffer, K., Breland, J. Y., Slotkin, S., &amp; Leventhal, H. (2018). The common sense of </w:t>
      </w:r>
      <w:r w:rsidRPr="0067447A">
        <w:rPr>
          <w:rStyle w:val="spellingerror"/>
          <w:rFonts w:ascii="Arial" w:hAnsi="Arial" w:cs="Arial"/>
        </w:rPr>
        <w:t>counseling</w:t>
      </w:r>
      <w:r w:rsidRPr="0067447A">
        <w:rPr>
          <w:rStyle w:val="normaltextrun"/>
          <w:rFonts w:ascii="Arial" w:hAnsi="Arial" w:cs="Arial"/>
        </w:rPr>
        <w:t> psychology: introducing the Common-Sense Model of self-regulation. </w:t>
      </w:r>
      <w:r w:rsidRPr="0067447A">
        <w:rPr>
          <w:rStyle w:val="normaltextrun"/>
          <w:rFonts w:ascii="Arial" w:hAnsi="Arial" w:cs="Arial"/>
          <w:i/>
          <w:iCs/>
        </w:rPr>
        <w:t>Counselling psychology quarterly,</w:t>
      </w:r>
      <w:r w:rsidRPr="0067447A">
        <w:rPr>
          <w:rStyle w:val="normaltextrun"/>
          <w:rFonts w:ascii="Arial" w:hAnsi="Arial" w:cs="Arial"/>
        </w:rPr>
        <w:t> 31(4), 497-512.</w:t>
      </w:r>
      <w:r w:rsidRPr="0067447A">
        <w:rPr>
          <w:rStyle w:val="eop"/>
          <w:rFonts w:ascii="Arial" w:hAnsi="Arial" w:cs="Arial"/>
        </w:rPr>
        <w:t> </w:t>
      </w:r>
    </w:p>
    <w:p w14:paraId="6788D2FF"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McAndrew, L. M., Musumeci</w:t>
      </w:r>
      <w:r w:rsidRPr="0067447A">
        <w:rPr>
          <w:rStyle w:val="normaltextrun"/>
          <w:rFonts w:ascii="Cambria Math" w:hAnsi="Cambria Math" w:cs="Cambria Math"/>
        </w:rPr>
        <w:t>‐</w:t>
      </w:r>
      <w:r w:rsidRPr="0067447A">
        <w:rPr>
          <w:rStyle w:val="spellingerror"/>
          <w:rFonts w:ascii="Arial" w:hAnsi="Arial" w:cs="Arial"/>
        </w:rPr>
        <w:t>Szabó</w:t>
      </w:r>
      <w:r w:rsidRPr="0067447A">
        <w:rPr>
          <w:rStyle w:val="normaltextrun"/>
          <w:rFonts w:ascii="Arial" w:hAnsi="Arial" w:cs="Arial"/>
        </w:rPr>
        <w:t>, T. J., Mora, P. A., Vileikyte, L., Burns, E., Halm, E. A., ... &amp; Leventhal, H. (2008). Using the </w:t>
      </w:r>
      <w:proofErr w:type="gramStart"/>
      <w:r w:rsidRPr="0067447A">
        <w:rPr>
          <w:rStyle w:val="contextualspellingandgrammarerror"/>
          <w:rFonts w:ascii="Arial" w:hAnsi="Arial" w:cs="Arial"/>
        </w:rPr>
        <w:t>common sense</w:t>
      </w:r>
      <w:proofErr w:type="gramEnd"/>
      <w:r w:rsidRPr="0067447A">
        <w:rPr>
          <w:rStyle w:val="normaltextrun"/>
          <w:rFonts w:ascii="Arial" w:hAnsi="Arial" w:cs="Arial"/>
        </w:rPr>
        <w:t> model to design interventions for the prevention and management of chronic illness threats: from description to process. </w:t>
      </w:r>
      <w:r w:rsidRPr="0067447A">
        <w:rPr>
          <w:rStyle w:val="normaltextrun"/>
          <w:rFonts w:ascii="Arial" w:hAnsi="Arial" w:cs="Arial"/>
          <w:i/>
          <w:iCs/>
        </w:rPr>
        <w:t>British journal of health psychology</w:t>
      </w:r>
      <w:r w:rsidRPr="0067447A">
        <w:rPr>
          <w:rStyle w:val="normaltextrun"/>
          <w:rFonts w:ascii="Arial" w:hAnsi="Arial" w:cs="Arial"/>
        </w:rPr>
        <w:t>, </w:t>
      </w:r>
      <w:r w:rsidRPr="0067447A">
        <w:rPr>
          <w:rStyle w:val="normaltextrun"/>
          <w:rFonts w:ascii="Arial" w:hAnsi="Arial" w:cs="Arial"/>
          <w:i/>
          <w:iCs/>
        </w:rPr>
        <w:t>13</w:t>
      </w:r>
      <w:r w:rsidRPr="0067447A">
        <w:rPr>
          <w:rStyle w:val="normaltextrun"/>
          <w:rFonts w:ascii="Arial" w:hAnsi="Arial" w:cs="Arial"/>
        </w:rPr>
        <w:t>(2), 195-204.</w:t>
      </w:r>
      <w:r w:rsidRPr="0067447A">
        <w:rPr>
          <w:rStyle w:val="eop"/>
          <w:rFonts w:ascii="Arial" w:hAnsi="Arial" w:cs="Arial"/>
        </w:rPr>
        <w:t> </w:t>
      </w:r>
    </w:p>
    <w:p w14:paraId="0713633F"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McAndrew, L. M., </w:t>
      </w:r>
      <w:r w:rsidRPr="0067447A">
        <w:rPr>
          <w:rStyle w:val="spellingerror"/>
          <w:rFonts w:ascii="Arial" w:hAnsi="Arial" w:cs="Arial"/>
        </w:rPr>
        <w:t>Crede</w:t>
      </w:r>
      <w:r w:rsidRPr="0067447A">
        <w:rPr>
          <w:rStyle w:val="normaltextrun"/>
          <w:rFonts w:ascii="Arial" w:hAnsi="Arial" w:cs="Arial"/>
        </w:rPr>
        <w:t>, M., Maestro, K., Slotkin, S., Kimber, J., &amp; Phillips, L. A. (2019). Using the common-sense model to understand health outcomes for medically unexplained symptoms: A meta-analysis. </w:t>
      </w:r>
      <w:r w:rsidRPr="0067447A">
        <w:rPr>
          <w:rStyle w:val="normaltextrun"/>
          <w:rFonts w:ascii="Arial" w:hAnsi="Arial" w:cs="Arial"/>
          <w:i/>
          <w:iCs/>
        </w:rPr>
        <w:t>Health psychology review</w:t>
      </w:r>
      <w:r w:rsidRPr="0067447A">
        <w:rPr>
          <w:rStyle w:val="normaltextrun"/>
          <w:rFonts w:ascii="Arial" w:hAnsi="Arial" w:cs="Arial"/>
        </w:rPr>
        <w:t>, </w:t>
      </w:r>
      <w:r w:rsidRPr="0067447A">
        <w:rPr>
          <w:rStyle w:val="normaltextrun"/>
          <w:rFonts w:ascii="Arial" w:hAnsi="Arial" w:cs="Arial"/>
          <w:i/>
          <w:iCs/>
        </w:rPr>
        <w:t>13</w:t>
      </w:r>
      <w:r w:rsidRPr="0067447A">
        <w:rPr>
          <w:rStyle w:val="normaltextrun"/>
          <w:rFonts w:ascii="Arial" w:hAnsi="Arial" w:cs="Arial"/>
        </w:rPr>
        <w:t>(4), 427-446.</w:t>
      </w:r>
      <w:r w:rsidRPr="0067447A">
        <w:rPr>
          <w:rStyle w:val="eop"/>
          <w:rFonts w:ascii="Arial" w:hAnsi="Arial" w:cs="Arial"/>
        </w:rPr>
        <w:t> </w:t>
      </w:r>
    </w:p>
    <w:p w14:paraId="0DD31CDD"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Moon, Z., Moss-Morris, R., Hunter, M. S., &amp; Hughes, L. D. (2017). Measuring illness representations in breast cancer survivors (BCS) prescribed tamoxifen: Modification and validation of the Revised Illness Perceptions Questionnaire (IPQ-BCS). </w:t>
      </w:r>
      <w:r w:rsidRPr="0067447A">
        <w:rPr>
          <w:rStyle w:val="normaltextrun"/>
          <w:rFonts w:ascii="Arial" w:hAnsi="Arial" w:cs="Arial"/>
          <w:i/>
          <w:iCs/>
        </w:rPr>
        <w:t>Psychology &amp; health</w:t>
      </w:r>
      <w:r w:rsidRPr="0067447A">
        <w:rPr>
          <w:rStyle w:val="normaltextrun"/>
          <w:rFonts w:ascii="Arial" w:hAnsi="Arial" w:cs="Arial"/>
        </w:rPr>
        <w:t>, </w:t>
      </w:r>
      <w:r w:rsidRPr="0067447A">
        <w:rPr>
          <w:rStyle w:val="normaltextrun"/>
          <w:rFonts w:ascii="Arial" w:hAnsi="Arial" w:cs="Arial"/>
          <w:i/>
          <w:iCs/>
        </w:rPr>
        <w:t>32</w:t>
      </w:r>
      <w:r w:rsidRPr="0067447A">
        <w:rPr>
          <w:rStyle w:val="normaltextrun"/>
          <w:rFonts w:ascii="Arial" w:hAnsi="Arial" w:cs="Arial"/>
        </w:rPr>
        <w:t>(4), 439-458.</w:t>
      </w:r>
      <w:r w:rsidRPr="0067447A">
        <w:rPr>
          <w:rStyle w:val="eop"/>
          <w:rFonts w:ascii="Arial" w:hAnsi="Arial" w:cs="Arial"/>
        </w:rPr>
        <w:t> </w:t>
      </w:r>
    </w:p>
    <w:p w14:paraId="77070DDE"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Moss-Morris, R., Weinman, J., Petrie, K., Horne, R., Cameron, L., &amp; Buick, D. (2002). The revised illness perception questionnaire (IPQ-R). </w:t>
      </w:r>
      <w:r w:rsidRPr="0067447A">
        <w:rPr>
          <w:rStyle w:val="normaltextrun"/>
          <w:rFonts w:ascii="Arial" w:hAnsi="Arial" w:cs="Arial"/>
          <w:i/>
          <w:iCs/>
        </w:rPr>
        <w:t>Psychology and health</w:t>
      </w:r>
      <w:r w:rsidRPr="0067447A">
        <w:rPr>
          <w:rStyle w:val="normaltextrun"/>
          <w:rFonts w:ascii="Arial" w:hAnsi="Arial" w:cs="Arial"/>
        </w:rPr>
        <w:t>, </w:t>
      </w:r>
      <w:r w:rsidRPr="0067447A">
        <w:rPr>
          <w:rStyle w:val="normaltextrun"/>
          <w:rFonts w:ascii="Arial" w:hAnsi="Arial" w:cs="Arial"/>
          <w:i/>
          <w:iCs/>
        </w:rPr>
        <w:t>17</w:t>
      </w:r>
      <w:r w:rsidRPr="0067447A">
        <w:rPr>
          <w:rStyle w:val="normaltextrun"/>
          <w:rFonts w:ascii="Arial" w:hAnsi="Arial" w:cs="Arial"/>
        </w:rPr>
        <w:t>(1), 1-16.</w:t>
      </w:r>
      <w:r w:rsidRPr="0067447A">
        <w:rPr>
          <w:rStyle w:val="eop"/>
          <w:rFonts w:ascii="Arial" w:hAnsi="Arial" w:cs="Arial"/>
        </w:rPr>
        <w:t> </w:t>
      </w:r>
    </w:p>
    <w:p w14:paraId="64ABF7B4"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lastRenderedPageBreak/>
        <w:t>Richardson, E. M., </w:t>
      </w:r>
      <w:r w:rsidRPr="0067447A">
        <w:rPr>
          <w:rStyle w:val="spellingerror"/>
          <w:rFonts w:ascii="Arial" w:hAnsi="Arial" w:cs="Arial"/>
        </w:rPr>
        <w:t>Schüz</w:t>
      </w:r>
      <w:r w:rsidRPr="0067447A">
        <w:rPr>
          <w:rStyle w:val="normaltextrun"/>
          <w:rFonts w:ascii="Arial" w:hAnsi="Arial" w:cs="Arial"/>
        </w:rPr>
        <w:t>, N., Sanderson, K., Scott, J. L., &amp; </w:t>
      </w:r>
      <w:r w:rsidRPr="0067447A">
        <w:rPr>
          <w:rStyle w:val="spellingerror"/>
          <w:rFonts w:ascii="Arial" w:hAnsi="Arial" w:cs="Arial"/>
        </w:rPr>
        <w:t>Schüz</w:t>
      </w:r>
      <w:r w:rsidRPr="0067447A">
        <w:rPr>
          <w:rStyle w:val="normaltextrun"/>
          <w:rFonts w:ascii="Arial" w:hAnsi="Arial" w:cs="Arial"/>
        </w:rPr>
        <w:t>, B. (2017). Illness representations, coping, and illness outcomes in people with cancer: a systematic review and meta</w:t>
      </w:r>
      <w:r w:rsidRPr="0067447A">
        <w:rPr>
          <w:rStyle w:val="normaltextrun"/>
          <w:rFonts w:ascii="Cambria Math" w:hAnsi="Cambria Math" w:cs="Cambria Math"/>
        </w:rPr>
        <w:t>‐</w:t>
      </w:r>
      <w:r w:rsidRPr="0067447A">
        <w:rPr>
          <w:rStyle w:val="normaltextrun"/>
          <w:rFonts w:ascii="Arial" w:hAnsi="Arial" w:cs="Arial"/>
        </w:rPr>
        <w:t>analysis. </w:t>
      </w:r>
      <w:r w:rsidRPr="0067447A">
        <w:rPr>
          <w:rStyle w:val="normaltextrun"/>
          <w:rFonts w:ascii="Arial" w:hAnsi="Arial" w:cs="Arial"/>
          <w:i/>
          <w:iCs/>
        </w:rPr>
        <w:t>Psycho</w:t>
      </w:r>
      <w:r w:rsidRPr="0067447A">
        <w:rPr>
          <w:rStyle w:val="normaltextrun"/>
          <w:rFonts w:ascii="Cambria Math" w:hAnsi="Cambria Math" w:cs="Cambria Math"/>
          <w:i/>
          <w:iCs/>
        </w:rPr>
        <w:t>‐</w:t>
      </w:r>
      <w:r w:rsidRPr="0067447A">
        <w:rPr>
          <w:rStyle w:val="normaltextrun"/>
          <w:rFonts w:ascii="Arial" w:hAnsi="Arial" w:cs="Arial"/>
          <w:i/>
          <w:iCs/>
        </w:rPr>
        <w:t>oncology</w:t>
      </w:r>
      <w:r w:rsidRPr="0067447A">
        <w:rPr>
          <w:rStyle w:val="normaltextrun"/>
          <w:rFonts w:ascii="Arial" w:hAnsi="Arial" w:cs="Arial"/>
        </w:rPr>
        <w:t>, </w:t>
      </w:r>
      <w:r w:rsidRPr="0067447A">
        <w:rPr>
          <w:rStyle w:val="normaltextrun"/>
          <w:rFonts w:ascii="Arial" w:hAnsi="Arial" w:cs="Arial"/>
          <w:i/>
          <w:iCs/>
        </w:rPr>
        <w:t>26</w:t>
      </w:r>
      <w:r w:rsidRPr="0067447A">
        <w:rPr>
          <w:rStyle w:val="normaltextrun"/>
          <w:rFonts w:ascii="Arial" w:hAnsi="Arial" w:cs="Arial"/>
        </w:rPr>
        <w:t>(6), 724-737.</w:t>
      </w:r>
      <w:r w:rsidRPr="0067447A">
        <w:rPr>
          <w:rStyle w:val="eop"/>
          <w:rFonts w:ascii="Arial" w:hAnsi="Arial" w:cs="Arial"/>
        </w:rPr>
        <w:t> </w:t>
      </w:r>
    </w:p>
    <w:p w14:paraId="344AB08C" w14:textId="77777777" w:rsidR="0067447A" w:rsidRPr="0067447A" w:rsidRDefault="0067447A" w:rsidP="0067447A">
      <w:pPr>
        <w:pStyle w:val="paragraph"/>
        <w:spacing w:before="0" w:beforeAutospacing="0" w:after="0" w:afterAutospacing="0" w:line="360" w:lineRule="auto"/>
        <w:ind w:left="720" w:hanging="720"/>
        <w:textAlignment w:val="baseline"/>
        <w:rPr>
          <w:rFonts w:ascii="Arial" w:hAnsi="Arial" w:cs="Arial"/>
        </w:rPr>
      </w:pPr>
      <w:r w:rsidRPr="0067447A">
        <w:rPr>
          <w:rStyle w:val="normaltextrun"/>
          <w:rFonts w:ascii="Arial" w:hAnsi="Arial" w:cs="Arial"/>
        </w:rPr>
        <w:t>Traeger, L., Penedo, F. J., Gonzalez, J. S., Dahn, J. R., Lechner, S. C., Schneiderman, N., &amp; Antoni, M. H. (2009). Illness perceptions and emotional well-being in men treated for localized prostate cancer. </w:t>
      </w:r>
      <w:r w:rsidRPr="0067447A">
        <w:rPr>
          <w:rStyle w:val="normaltextrun"/>
          <w:rFonts w:ascii="Arial" w:hAnsi="Arial" w:cs="Arial"/>
          <w:i/>
          <w:iCs/>
        </w:rPr>
        <w:t>Journal of psychosomatic research</w:t>
      </w:r>
      <w:r w:rsidRPr="0067447A">
        <w:rPr>
          <w:rStyle w:val="normaltextrun"/>
          <w:rFonts w:ascii="Arial" w:hAnsi="Arial" w:cs="Arial"/>
        </w:rPr>
        <w:t>, </w:t>
      </w:r>
      <w:r w:rsidRPr="0067447A">
        <w:rPr>
          <w:rStyle w:val="normaltextrun"/>
          <w:rFonts w:ascii="Arial" w:hAnsi="Arial" w:cs="Arial"/>
          <w:i/>
          <w:iCs/>
        </w:rPr>
        <w:t>67</w:t>
      </w:r>
      <w:r w:rsidRPr="0067447A">
        <w:rPr>
          <w:rStyle w:val="normaltextrun"/>
          <w:rFonts w:ascii="Arial" w:hAnsi="Arial" w:cs="Arial"/>
        </w:rPr>
        <w:t>(5), 389-397.</w:t>
      </w:r>
      <w:r w:rsidRPr="0067447A">
        <w:rPr>
          <w:rStyle w:val="eop"/>
          <w:rFonts w:ascii="Arial" w:hAnsi="Arial" w:cs="Arial"/>
        </w:rPr>
        <w:t> </w:t>
      </w:r>
    </w:p>
    <w:p w14:paraId="3063C3E0" w14:textId="77777777" w:rsidR="0067447A" w:rsidRPr="0067447A" w:rsidRDefault="0067447A" w:rsidP="0067447A">
      <w:pPr>
        <w:pStyle w:val="paragraph"/>
        <w:spacing w:before="0" w:beforeAutospacing="0" w:after="0" w:afterAutospacing="0" w:line="360" w:lineRule="auto"/>
        <w:ind w:left="720" w:hanging="720"/>
        <w:textAlignment w:val="baseline"/>
        <w:rPr>
          <w:rStyle w:val="eop"/>
          <w:rFonts w:ascii="Arial" w:hAnsi="Arial" w:cs="Arial"/>
        </w:rPr>
      </w:pPr>
      <w:r w:rsidRPr="0067447A">
        <w:rPr>
          <w:rStyle w:val="normaltextrun"/>
          <w:rFonts w:ascii="Arial" w:hAnsi="Arial" w:cs="Arial"/>
        </w:rPr>
        <w:t>White, L. L., Cohen, M. Z., Berger, A. M., Kupzyk, K. A., &amp; Bierman, P. J. (2019, January). Self-Efficacy for Management of Symptoms and Symptom Distress in Adults </w:t>
      </w:r>
      <w:proofErr w:type="gramStart"/>
      <w:r w:rsidRPr="0067447A">
        <w:rPr>
          <w:rStyle w:val="contextualspellingandgrammarerror"/>
          <w:rFonts w:ascii="Arial" w:hAnsi="Arial" w:cs="Arial"/>
        </w:rPr>
        <w:t>With</w:t>
      </w:r>
      <w:proofErr w:type="gramEnd"/>
      <w:r w:rsidRPr="0067447A">
        <w:rPr>
          <w:rStyle w:val="normaltextrun"/>
          <w:rFonts w:ascii="Arial" w:hAnsi="Arial" w:cs="Arial"/>
        </w:rPr>
        <w:t> Cancer: An Integrative Review. In </w:t>
      </w:r>
      <w:r w:rsidRPr="0067447A">
        <w:rPr>
          <w:rStyle w:val="normaltextrun"/>
          <w:rFonts w:ascii="Arial" w:hAnsi="Arial" w:cs="Arial"/>
          <w:i/>
          <w:iCs/>
        </w:rPr>
        <w:t>Oncology nursing forum</w:t>
      </w:r>
      <w:r w:rsidRPr="0067447A">
        <w:rPr>
          <w:rStyle w:val="normaltextrun"/>
          <w:rFonts w:ascii="Arial" w:hAnsi="Arial" w:cs="Arial"/>
        </w:rPr>
        <w:t> (Vol. 46, No. 1).</w:t>
      </w:r>
    </w:p>
    <w:p w14:paraId="6A6327C0" w14:textId="77777777" w:rsidR="005D14C5" w:rsidRPr="0067447A" w:rsidRDefault="005D14C5" w:rsidP="0067447A">
      <w:pPr>
        <w:pStyle w:val="paragraph"/>
        <w:spacing w:before="0" w:beforeAutospacing="0" w:after="0" w:afterAutospacing="0" w:line="360" w:lineRule="auto"/>
        <w:ind w:left="720" w:hanging="720"/>
        <w:textAlignment w:val="baseline"/>
        <w:rPr>
          <w:rFonts w:ascii="Arial" w:hAnsi="Arial" w:cs="Arial"/>
        </w:rPr>
      </w:pPr>
      <w:r w:rsidRPr="0067447A">
        <w:rPr>
          <w:rStyle w:val="eop"/>
          <w:rFonts w:ascii="Arial" w:hAnsi="Arial" w:cs="Arial"/>
        </w:rPr>
        <w:t> </w:t>
      </w:r>
    </w:p>
    <w:p w14:paraId="78F8E4A9" w14:textId="77777777" w:rsidR="005D14C5" w:rsidRDefault="005D14C5" w:rsidP="005D14C5">
      <w:pPr>
        <w:pStyle w:val="paragraph"/>
        <w:spacing w:before="0" w:beforeAutospacing="0" w:after="0" w:afterAutospacing="0"/>
        <w:ind w:left="720" w:hanging="720"/>
        <w:textAlignment w:val="baseline"/>
        <w:rPr>
          <w:rFonts w:ascii="Segoe UI" w:hAnsi="Segoe UI" w:cs="Segoe UI"/>
          <w:sz w:val="18"/>
          <w:szCs w:val="18"/>
        </w:rPr>
      </w:pPr>
      <w:r>
        <w:rPr>
          <w:rStyle w:val="eop"/>
          <w:sz w:val="28"/>
          <w:szCs w:val="28"/>
        </w:rPr>
        <w:t> </w:t>
      </w:r>
    </w:p>
    <w:p w14:paraId="10181F63" w14:textId="77777777" w:rsidR="005D14C5" w:rsidRDefault="005D14C5"/>
    <w:sectPr w:rsidR="005D14C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81685A" w14:textId="77777777" w:rsidR="00312ACC" w:rsidRDefault="00312ACC" w:rsidP="00312ACC">
      <w:pPr>
        <w:spacing w:after="0" w:line="240" w:lineRule="auto"/>
      </w:pPr>
      <w:r>
        <w:separator/>
      </w:r>
    </w:p>
  </w:endnote>
  <w:endnote w:type="continuationSeparator" w:id="0">
    <w:p w14:paraId="58121ABF" w14:textId="77777777" w:rsidR="00312ACC" w:rsidRDefault="00312ACC" w:rsidP="00312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25D3C" w14:textId="77777777" w:rsidR="00312ACC" w:rsidRDefault="00312ACC" w:rsidP="00312ACC">
      <w:pPr>
        <w:spacing w:after="0" w:line="240" w:lineRule="auto"/>
      </w:pPr>
      <w:r>
        <w:separator/>
      </w:r>
    </w:p>
  </w:footnote>
  <w:footnote w:type="continuationSeparator" w:id="0">
    <w:p w14:paraId="0B84C654" w14:textId="77777777" w:rsidR="00312ACC" w:rsidRDefault="00312ACC" w:rsidP="00312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25EE3" w14:textId="51890B5F" w:rsidR="00312ACC" w:rsidRDefault="00312ACC">
    <w:pPr>
      <w:pStyle w:val="Header"/>
    </w:pPr>
    <w:r>
      <w:t xml:space="preserve">P151932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41455"/>
    <w:multiLevelType w:val="multilevel"/>
    <w:tmpl w:val="87EC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184A16"/>
    <w:multiLevelType w:val="multilevel"/>
    <w:tmpl w:val="F282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215F3"/>
    <w:multiLevelType w:val="multilevel"/>
    <w:tmpl w:val="69542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11206B"/>
    <w:multiLevelType w:val="multilevel"/>
    <w:tmpl w:val="A0462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4C5"/>
    <w:rsid w:val="0018399A"/>
    <w:rsid w:val="00312ACC"/>
    <w:rsid w:val="003E58FF"/>
    <w:rsid w:val="00590D15"/>
    <w:rsid w:val="005D14C5"/>
    <w:rsid w:val="0067447A"/>
    <w:rsid w:val="00A80845"/>
    <w:rsid w:val="00B919C5"/>
    <w:rsid w:val="00BB3CFA"/>
    <w:rsid w:val="00C90289"/>
    <w:rsid w:val="00F10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C31BB"/>
  <w15:chartTrackingRefBased/>
  <w15:docId w15:val="{BCA76216-E30F-4191-A839-E1AB8D3F8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90D1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90D1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D14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D14C5"/>
  </w:style>
  <w:style w:type="character" w:customStyle="1" w:styleId="eop">
    <w:name w:val="eop"/>
    <w:basedOn w:val="DefaultParagraphFont"/>
    <w:rsid w:val="005D14C5"/>
  </w:style>
  <w:style w:type="character" w:customStyle="1" w:styleId="spellingerror">
    <w:name w:val="spellingerror"/>
    <w:basedOn w:val="DefaultParagraphFont"/>
    <w:rsid w:val="005D14C5"/>
  </w:style>
  <w:style w:type="character" w:customStyle="1" w:styleId="advancedproofingissue">
    <w:name w:val="advancedproofingissue"/>
    <w:basedOn w:val="DefaultParagraphFont"/>
    <w:rsid w:val="005D14C5"/>
  </w:style>
  <w:style w:type="character" w:customStyle="1" w:styleId="contextualspellingandgrammarerror">
    <w:name w:val="contextualspellingandgrammarerror"/>
    <w:basedOn w:val="DefaultParagraphFont"/>
    <w:rsid w:val="005D14C5"/>
  </w:style>
  <w:style w:type="paragraph" w:styleId="NormalWeb">
    <w:name w:val="Normal (Web)"/>
    <w:basedOn w:val="Normal"/>
    <w:uiPriority w:val="99"/>
    <w:semiHidden/>
    <w:unhideWhenUsed/>
    <w:rsid w:val="00590D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90D1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90D15"/>
    <w:rPr>
      <w:rFonts w:ascii="Times New Roman" w:eastAsia="Times New Roman" w:hAnsi="Times New Roman" w:cs="Times New Roman"/>
      <w:b/>
      <w:bCs/>
      <w:sz w:val="27"/>
      <w:szCs w:val="27"/>
      <w:lang w:eastAsia="en-GB"/>
    </w:rPr>
  </w:style>
  <w:style w:type="numbering" w:customStyle="1" w:styleId="NoList1">
    <w:name w:val="No List1"/>
    <w:next w:val="NoList"/>
    <w:uiPriority w:val="99"/>
    <w:semiHidden/>
    <w:unhideWhenUsed/>
    <w:rsid w:val="00590D15"/>
  </w:style>
  <w:style w:type="paragraph" w:customStyle="1" w:styleId="msonormal0">
    <w:name w:val="msonormal"/>
    <w:basedOn w:val="Normal"/>
    <w:rsid w:val="00590D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0D15"/>
    <w:rPr>
      <w:b/>
      <w:bCs/>
    </w:rPr>
  </w:style>
  <w:style w:type="character" w:styleId="Hyperlink">
    <w:name w:val="Hyperlink"/>
    <w:basedOn w:val="DefaultParagraphFont"/>
    <w:uiPriority w:val="99"/>
    <w:semiHidden/>
    <w:unhideWhenUsed/>
    <w:rsid w:val="00590D15"/>
    <w:rPr>
      <w:color w:val="0000FF"/>
      <w:u w:val="single"/>
    </w:rPr>
  </w:style>
  <w:style w:type="character" w:styleId="FollowedHyperlink">
    <w:name w:val="FollowedHyperlink"/>
    <w:basedOn w:val="DefaultParagraphFont"/>
    <w:uiPriority w:val="99"/>
    <w:semiHidden/>
    <w:unhideWhenUsed/>
    <w:rsid w:val="00590D15"/>
    <w:rPr>
      <w:color w:val="800080"/>
      <w:u w:val="single"/>
    </w:rPr>
  </w:style>
  <w:style w:type="paragraph" w:customStyle="1" w:styleId="imgview-list-link-nofont">
    <w:name w:val="imgview-list-link-nofont"/>
    <w:basedOn w:val="Normal"/>
    <w:rsid w:val="00590D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mageview-caption">
    <w:name w:val="imageview-caption"/>
    <w:basedOn w:val="DefaultParagraphFont"/>
    <w:rsid w:val="00590D15"/>
  </w:style>
  <w:style w:type="paragraph" w:customStyle="1" w:styleId="clear">
    <w:name w:val="clear"/>
    <w:basedOn w:val="Normal"/>
    <w:rsid w:val="00590D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row">
    <w:name w:val="arrow"/>
    <w:basedOn w:val="DefaultParagraphFont"/>
    <w:rsid w:val="00590D15"/>
  </w:style>
  <w:style w:type="character" w:customStyle="1" w:styleId="color-p1">
    <w:name w:val="color-p1"/>
    <w:basedOn w:val="DefaultParagraphFont"/>
    <w:rsid w:val="00590D15"/>
  </w:style>
  <w:style w:type="paragraph" w:customStyle="1" w:styleId="link-medium">
    <w:name w:val="link-medium"/>
    <w:basedOn w:val="Normal"/>
    <w:rsid w:val="00590D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sbtnleft">
    <w:name w:val="rsbtn_left"/>
    <w:basedOn w:val="DefaultParagraphFont"/>
    <w:rsid w:val="00590D15"/>
  </w:style>
  <w:style w:type="character" w:customStyle="1" w:styleId="rsbtntext">
    <w:name w:val="rsbtn_text"/>
    <w:basedOn w:val="DefaultParagraphFont"/>
    <w:rsid w:val="00590D15"/>
  </w:style>
  <w:style w:type="character" w:customStyle="1" w:styleId="rsbtnexp">
    <w:name w:val="rsbtn_exp"/>
    <w:basedOn w:val="DefaultParagraphFont"/>
    <w:rsid w:val="00590D15"/>
  </w:style>
  <w:style w:type="character" w:customStyle="1" w:styleId="rsbtnplayer">
    <w:name w:val="rsbtn_player"/>
    <w:basedOn w:val="DefaultParagraphFont"/>
    <w:rsid w:val="00590D15"/>
  </w:style>
  <w:style w:type="character" w:customStyle="1" w:styleId="rsbtnvoiceselector">
    <w:name w:val="rsbtn_voiceselector"/>
    <w:basedOn w:val="DefaultParagraphFont"/>
    <w:rsid w:val="00590D15"/>
  </w:style>
  <w:style w:type="paragraph" w:customStyle="1" w:styleId="body-paragraph">
    <w:name w:val="body-paragraph"/>
    <w:basedOn w:val="Normal"/>
    <w:rsid w:val="00590D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dium-bold">
    <w:name w:val="medium-bold"/>
    <w:basedOn w:val="DefaultParagraphFont"/>
    <w:rsid w:val="00590D15"/>
  </w:style>
  <w:style w:type="character" w:styleId="Emphasis">
    <w:name w:val="Emphasis"/>
    <w:basedOn w:val="DefaultParagraphFont"/>
    <w:uiPriority w:val="20"/>
    <w:qFormat/>
    <w:rsid w:val="00590D15"/>
    <w:rPr>
      <w:i/>
      <w:iCs/>
    </w:rPr>
  </w:style>
  <w:style w:type="character" w:customStyle="1" w:styleId="medium-normal">
    <w:name w:val="medium-normal"/>
    <w:basedOn w:val="DefaultParagraphFont"/>
    <w:rsid w:val="00590D15"/>
  </w:style>
  <w:style w:type="paragraph" w:styleId="Header">
    <w:name w:val="header"/>
    <w:basedOn w:val="Normal"/>
    <w:link w:val="HeaderChar"/>
    <w:uiPriority w:val="99"/>
    <w:unhideWhenUsed/>
    <w:rsid w:val="00312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ACC"/>
  </w:style>
  <w:style w:type="paragraph" w:styleId="Footer">
    <w:name w:val="footer"/>
    <w:basedOn w:val="Normal"/>
    <w:link w:val="FooterChar"/>
    <w:uiPriority w:val="99"/>
    <w:unhideWhenUsed/>
    <w:rsid w:val="00312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749544">
      <w:bodyDiv w:val="1"/>
      <w:marLeft w:val="0"/>
      <w:marRight w:val="0"/>
      <w:marTop w:val="0"/>
      <w:marBottom w:val="0"/>
      <w:divBdr>
        <w:top w:val="none" w:sz="0" w:space="0" w:color="auto"/>
        <w:left w:val="none" w:sz="0" w:space="0" w:color="auto"/>
        <w:bottom w:val="none" w:sz="0" w:space="0" w:color="auto"/>
        <w:right w:val="none" w:sz="0" w:space="0" w:color="auto"/>
      </w:divBdr>
      <w:divsChild>
        <w:div w:id="1713317">
          <w:marLeft w:val="0"/>
          <w:marRight w:val="0"/>
          <w:marTop w:val="0"/>
          <w:marBottom w:val="0"/>
          <w:divBdr>
            <w:top w:val="none" w:sz="0" w:space="0" w:color="auto"/>
            <w:left w:val="none" w:sz="0" w:space="0" w:color="auto"/>
            <w:bottom w:val="none" w:sz="0" w:space="0" w:color="auto"/>
            <w:right w:val="none" w:sz="0" w:space="0" w:color="auto"/>
          </w:divBdr>
          <w:divsChild>
            <w:div w:id="2006396698">
              <w:marLeft w:val="0"/>
              <w:marRight w:val="0"/>
              <w:marTop w:val="0"/>
              <w:marBottom w:val="0"/>
              <w:divBdr>
                <w:top w:val="none" w:sz="0" w:space="0" w:color="auto"/>
                <w:left w:val="none" w:sz="0" w:space="0" w:color="auto"/>
                <w:bottom w:val="none" w:sz="0" w:space="0" w:color="auto"/>
                <w:right w:val="none" w:sz="0" w:space="0" w:color="auto"/>
              </w:divBdr>
            </w:div>
          </w:divsChild>
        </w:div>
        <w:div w:id="1795710531">
          <w:marLeft w:val="0"/>
          <w:marRight w:val="0"/>
          <w:marTop w:val="0"/>
          <w:marBottom w:val="300"/>
          <w:divBdr>
            <w:top w:val="single" w:sz="6" w:space="0" w:color="BFBFBF"/>
            <w:left w:val="single" w:sz="6" w:space="0" w:color="BFBFBF"/>
            <w:bottom w:val="single" w:sz="6" w:space="0" w:color="BFBFBF"/>
            <w:right w:val="single" w:sz="6" w:space="0" w:color="BFBFBF"/>
          </w:divBdr>
        </w:div>
        <w:div w:id="1735354903">
          <w:marLeft w:val="0"/>
          <w:marRight w:val="0"/>
          <w:marTop w:val="0"/>
          <w:marBottom w:val="0"/>
          <w:divBdr>
            <w:top w:val="none" w:sz="0" w:space="0" w:color="auto"/>
            <w:left w:val="none" w:sz="0" w:space="0" w:color="auto"/>
            <w:bottom w:val="none" w:sz="0" w:space="0" w:color="auto"/>
            <w:right w:val="none" w:sz="0" w:space="0" w:color="auto"/>
          </w:divBdr>
        </w:div>
        <w:div w:id="181479062">
          <w:marLeft w:val="0"/>
          <w:marRight w:val="320"/>
          <w:marTop w:val="0"/>
          <w:marBottom w:val="320"/>
          <w:divBdr>
            <w:top w:val="single" w:sz="6" w:space="0" w:color="89BBF6"/>
            <w:left w:val="single" w:sz="6" w:space="0" w:color="89BBF6"/>
            <w:bottom w:val="single" w:sz="6" w:space="0" w:color="89BBF6"/>
            <w:right w:val="single" w:sz="6" w:space="0" w:color="89BBF6"/>
          </w:divBdr>
        </w:div>
        <w:div w:id="1659267589">
          <w:marLeft w:val="0"/>
          <w:marRight w:val="0"/>
          <w:marTop w:val="0"/>
          <w:marBottom w:val="150"/>
          <w:divBdr>
            <w:top w:val="none" w:sz="0" w:space="0" w:color="auto"/>
            <w:left w:val="none" w:sz="0" w:space="0" w:color="auto"/>
            <w:bottom w:val="none" w:sz="0" w:space="0" w:color="auto"/>
            <w:right w:val="none" w:sz="0" w:space="0" w:color="auto"/>
          </w:divBdr>
        </w:div>
      </w:divsChild>
    </w:div>
    <w:div w:id="1193305421">
      <w:bodyDiv w:val="1"/>
      <w:marLeft w:val="0"/>
      <w:marRight w:val="0"/>
      <w:marTop w:val="0"/>
      <w:marBottom w:val="0"/>
      <w:divBdr>
        <w:top w:val="none" w:sz="0" w:space="0" w:color="auto"/>
        <w:left w:val="none" w:sz="0" w:space="0" w:color="auto"/>
        <w:bottom w:val="none" w:sz="0" w:space="0" w:color="auto"/>
        <w:right w:val="none" w:sz="0" w:space="0" w:color="auto"/>
      </w:divBdr>
    </w:div>
    <w:div w:id="1946425705">
      <w:bodyDiv w:val="1"/>
      <w:marLeft w:val="0"/>
      <w:marRight w:val="0"/>
      <w:marTop w:val="0"/>
      <w:marBottom w:val="0"/>
      <w:divBdr>
        <w:top w:val="none" w:sz="0" w:space="0" w:color="auto"/>
        <w:left w:val="none" w:sz="0" w:space="0" w:color="auto"/>
        <w:bottom w:val="none" w:sz="0" w:space="0" w:color="auto"/>
        <w:right w:val="none" w:sz="0" w:space="0" w:color="auto"/>
      </w:divBdr>
      <w:divsChild>
        <w:div w:id="279185316">
          <w:marLeft w:val="0"/>
          <w:marRight w:val="0"/>
          <w:marTop w:val="0"/>
          <w:marBottom w:val="0"/>
          <w:divBdr>
            <w:top w:val="none" w:sz="0" w:space="0" w:color="auto"/>
            <w:left w:val="none" w:sz="0" w:space="0" w:color="auto"/>
            <w:bottom w:val="none" w:sz="0" w:space="0" w:color="auto"/>
            <w:right w:val="none" w:sz="0" w:space="0" w:color="auto"/>
          </w:divBdr>
        </w:div>
        <w:div w:id="957492835">
          <w:marLeft w:val="0"/>
          <w:marRight w:val="0"/>
          <w:marTop w:val="0"/>
          <w:marBottom w:val="0"/>
          <w:divBdr>
            <w:top w:val="none" w:sz="0" w:space="0" w:color="auto"/>
            <w:left w:val="none" w:sz="0" w:space="0" w:color="auto"/>
            <w:bottom w:val="none" w:sz="0" w:space="0" w:color="auto"/>
            <w:right w:val="none" w:sz="0" w:space="0" w:color="auto"/>
          </w:divBdr>
        </w:div>
        <w:div w:id="628632578">
          <w:marLeft w:val="0"/>
          <w:marRight w:val="0"/>
          <w:marTop w:val="0"/>
          <w:marBottom w:val="0"/>
          <w:divBdr>
            <w:top w:val="none" w:sz="0" w:space="0" w:color="auto"/>
            <w:left w:val="none" w:sz="0" w:space="0" w:color="auto"/>
            <w:bottom w:val="none" w:sz="0" w:space="0" w:color="auto"/>
            <w:right w:val="none" w:sz="0" w:space="0" w:color="auto"/>
          </w:divBdr>
        </w:div>
        <w:div w:id="1494377215">
          <w:marLeft w:val="0"/>
          <w:marRight w:val="0"/>
          <w:marTop w:val="0"/>
          <w:marBottom w:val="0"/>
          <w:divBdr>
            <w:top w:val="none" w:sz="0" w:space="0" w:color="auto"/>
            <w:left w:val="none" w:sz="0" w:space="0" w:color="auto"/>
            <w:bottom w:val="none" w:sz="0" w:space="0" w:color="auto"/>
            <w:right w:val="none" w:sz="0" w:space="0" w:color="auto"/>
          </w:divBdr>
        </w:div>
        <w:div w:id="89282396">
          <w:marLeft w:val="0"/>
          <w:marRight w:val="0"/>
          <w:marTop w:val="0"/>
          <w:marBottom w:val="0"/>
          <w:divBdr>
            <w:top w:val="none" w:sz="0" w:space="0" w:color="auto"/>
            <w:left w:val="none" w:sz="0" w:space="0" w:color="auto"/>
            <w:bottom w:val="none" w:sz="0" w:space="0" w:color="auto"/>
            <w:right w:val="none" w:sz="0" w:space="0" w:color="auto"/>
          </w:divBdr>
        </w:div>
        <w:div w:id="2057195956">
          <w:marLeft w:val="0"/>
          <w:marRight w:val="0"/>
          <w:marTop w:val="0"/>
          <w:marBottom w:val="0"/>
          <w:divBdr>
            <w:top w:val="none" w:sz="0" w:space="0" w:color="auto"/>
            <w:left w:val="none" w:sz="0" w:space="0" w:color="auto"/>
            <w:bottom w:val="none" w:sz="0" w:space="0" w:color="auto"/>
            <w:right w:val="none" w:sz="0" w:space="0" w:color="auto"/>
          </w:divBdr>
        </w:div>
        <w:div w:id="49349766">
          <w:marLeft w:val="0"/>
          <w:marRight w:val="0"/>
          <w:marTop w:val="0"/>
          <w:marBottom w:val="0"/>
          <w:divBdr>
            <w:top w:val="none" w:sz="0" w:space="0" w:color="auto"/>
            <w:left w:val="none" w:sz="0" w:space="0" w:color="auto"/>
            <w:bottom w:val="none" w:sz="0" w:space="0" w:color="auto"/>
            <w:right w:val="none" w:sz="0" w:space="0" w:color="auto"/>
          </w:divBdr>
        </w:div>
        <w:div w:id="615134577">
          <w:marLeft w:val="0"/>
          <w:marRight w:val="0"/>
          <w:marTop w:val="0"/>
          <w:marBottom w:val="0"/>
          <w:divBdr>
            <w:top w:val="none" w:sz="0" w:space="0" w:color="auto"/>
            <w:left w:val="none" w:sz="0" w:space="0" w:color="auto"/>
            <w:bottom w:val="none" w:sz="0" w:space="0" w:color="auto"/>
            <w:right w:val="none" w:sz="0" w:space="0" w:color="auto"/>
          </w:divBdr>
        </w:div>
        <w:div w:id="1499030249">
          <w:marLeft w:val="0"/>
          <w:marRight w:val="0"/>
          <w:marTop w:val="0"/>
          <w:marBottom w:val="0"/>
          <w:divBdr>
            <w:top w:val="none" w:sz="0" w:space="0" w:color="auto"/>
            <w:left w:val="none" w:sz="0" w:space="0" w:color="auto"/>
            <w:bottom w:val="none" w:sz="0" w:space="0" w:color="auto"/>
            <w:right w:val="none" w:sz="0" w:space="0" w:color="auto"/>
          </w:divBdr>
        </w:div>
        <w:div w:id="652177338">
          <w:marLeft w:val="0"/>
          <w:marRight w:val="0"/>
          <w:marTop w:val="0"/>
          <w:marBottom w:val="0"/>
          <w:divBdr>
            <w:top w:val="none" w:sz="0" w:space="0" w:color="auto"/>
            <w:left w:val="none" w:sz="0" w:space="0" w:color="auto"/>
            <w:bottom w:val="none" w:sz="0" w:space="0" w:color="auto"/>
            <w:right w:val="none" w:sz="0" w:space="0" w:color="auto"/>
          </w:divBdr>
        </w:div>
        <w:div w:id="1440486729">
          <w:marLeft w:val="0"/>
          <w:marRight w:val="0"/>
          <w:marTop w:val="0"/>
          <w:marBottom w:val="0"/>
          <w:divBdr>
            <w:top w:val="none" w:sz="0" w:space="0" w:color="auto"/>
            <w:left w:val="none" w:sz="0" w:space="0" w:color="auto"/>
            <w:bottom w:val="none" w:sz="0" w:space="0" w:color="auto"/>
            <w:right w:val="none" w:sz="0" w:space="0" w:color="auto"/>
          </w:divBdr>
        </w:div>
        <w:div w:id="258873553">
          <w:marLeft w:val="0"/>
          <w:marRight w:val="0"/>
          <w:marTop w:val="0"/>
          <w:marBottom w:val="0"/>
          <w:divBdr>
            <w:top w:val="none" w:sz="0" w:space="0" w:color="auto"/>
            <w:left w:val="none" w:sz="0" w:space="0" w:color="auto"/>
            <w:bottom w:val="none" w:sz="0" w:space="0" w:color="auto"/>
            <w:right w:val="none" w:sz="0" w:space="0" w:color="auto"/>
          </w:divBdr>
        </w:div>
        <w:div w:id="135688498">
          <w:marLeft w:val="0"/>
          <w:marRight w:val="0"/>
          <w:marTop w:val="0"/>
          <w:marBottom w:val="0"/>
          <w:divBdr>
            <w:top w:val="none" w:sz="0" w:space="0" w:color="auto"/>
            <w:left w:val="none" w:sz="0" w:space="0" w:color="auto"/>
            <w:bottom w:val="none" w:sz="0" w:space="0" w:color="auto"/>
            <w:right w:val="none" w:sz="0" w:space="0" w:color="auto"/>
          </w:divBdr>
        </w:div>
        <w:div w:id="1067536904">
          <w:marLeft w:val="0"/>
          <w:marRight w:val="0"/>
          <w:marTop w:val="0"/>
          <w:marBottom w:val="0"/>
          <w:divBdr>
            <w:top w:val="none" w:sz="0" w:space="0" w:color="auto"/>
            <w:left w:val="none" w:sz="0" w:space="0" w:color="auto"/>
            <w:bottom w:val="none" w:sz="0" w:space="0" w:color="auto"/>
            <w:right w:val="none" w:sz="0" w:space="0" w:color="auto"/>
          </w:divBdr>
        </w:div>
        <w:div w:id="302587227">
          <w:marLeft w:val="0"/>
          <w:marRight w:val="0"/>
          <w:marTop w:val="0"/>
          <w:marBottom w:val="0"/>
          <w:divBdr>
            <w:top w:val="none" w:sz="0" w:space="0" w:color="auto"/>
            <w:left w:val="none" w:sz="0" w:space="0" w:color="auto"/>
            <w:bottom w:val="none" w:sz="0" w:space="0" w:color="auto"/>
            <w:right w:val="none" w:sz="0" w:space="0" w:color="auto"/>
          </w:divBdr>
        </w:div>
        <w:div w:id="839320227">
          <w:marLeft w:val="0"/>
          <w:marRight w:val="0"/>
          <w:marTop w:val="0"/>
          <w:marBottom w:val="0"/>
          <w:divBdr>
            <w:top w:val="none" w:sz="0" w:space="0" w:color="auto"/>
            <w:left w:val="none" w:sz="0" w:space="0" w:color="auto"/>
            <w:bottom w:val="none" w:sz="0" w:space="0" w:color="auto"/>
            <w:right w:val="none" w:sz="0" w:space="0" w:color="auto"/>
          </w:divBdr>
        </w:div>
        <w:div w:id="1097603167">
          <w:marLeft w:val="0"/>
          <w:marRight w:val="0"/>
          <w:marTop w:val="0"/>
          <w:marBottom w:val="0"/>
          <w:divBdr>
            <w:top w:val="none" w:sz="0" w:space="0" w:color="auto"/>
            <w:left w:val="none" w:sz="0" w:space="0" w:color="auto"/>
            <w:bottom w:val="none" w:sz="0" w:space="0" w:color="auto"/>
            <w:right w:val="none" w:sz="0" w:space="0" w:color="auto"/>
          </w:divBdr>
        </w:div>
        <w:div w:id="1986661024">
          <w:marLeft w:val="0"/>
          <w:marRight w:val="0"/>
          <w:marTop w:val="0"/>
          <w:marBottom w:val="0"/>
          <w:divBdr>
            <w:top w:val="none" w:sz="0" w:space="0" w:color="auto"/>
            <w:left w:val="none" w:sz="0" w:space="0" w:color="auto"/>
            <w:bottom w:val="none" w:sz="0" w:space="0" w:color="auto"/>
            <w:right w:val="none" w:sz="0" w:space="0" w:color="auto"/>
          </w:divBdr>
        </w:div>
        <w:div w:id="895512797">
          <w:marLeft w:val="0"/>
          <w:marRight w:val="0"/>
          <w:marTop w:val="0"/>
          <w:marBottom w:val="0"/>
          <w:divBdr>
            <w:top w:val="none" w:sz="0" w:space="0" w:color="auto"/>
            <w:left w:val="none" w:sz="0" w:space="0" w:color="auto"/>
            <w:bottom w:val="none" w:sz="0" w:space="0" w:color="auto"/>
            <w:right w:val="none" w:sz="0" w:space="0" w:color="auto"/>
          </w:divBdr>
        </w:div>
        <w:div w:id="1799370936">
          <w:marLeft w:val="0"/>
          <w:marRight w:val="0"/>
          <w:marTop w:val="0"/>
          <w:marBottom w:val="0"/>
          <w:divBdr>
            <w:top w:val="none" w:sz="0" w:space="0" w:color="auto"/>
            <w:left w:val="none" w:sz="0" w:space="0" w:color="auto"/>
            <w:bottom w:val="none" w:sz="0" w:space="0" w:color="auto"/>
            <w:right w:val="none" w:sz="0" w:space="0" w:color="auto"/>
          </w:divBdr>
        </w:div>
        <w:div w:id="3670842">
          <w:marLeft w:val="0"/>
          <w:marRight w:val="0"/>
          <w:marTop w:val="0"/>
          <w:marBottom w:val="0"/>
          <w:divBdr>
            <w:top w:val="none" w:sz="0" w:space="0" w:color="auto"/>
            <w:left w:val="none" w:sz="0" w:space="0" w:color="auto"/>
            <w:bottom w:val="none" w:sz="0" w:space="0" w:color="auto"/>
            <w:right w:val="none" w:sz="0" w:space="0" w:color="auto"/>
          </w:divBdr>
        </w:div>
        <w:div w:id="1059094426">
          <w:marLeft w:val="0"/>
          <w:marRight w:val="0"/>
          <w:marTop w:val="0"/>
          <w:marBottom w:val="0"/>
          <w:divBdr>
            <w:top w:val="none" w:sz="0" w:space="0" w:color="auto"/>
            <w:left w:val="none" w:sz="0" w:space="0" w:color="auto"/>
            <w:bottom w:val="none" w:sz="0" w:space="0" w:color="auto"/>
            <w:right w:val="none" w:sz="0" w:space="0" w:color="auto"/>
          </w:divBdr>
        </w:div>
        <w:div w:id="1883787537">
          <w:marLeft w:val="0"/>
          <w:marRight w:val="0"/>
          <w:marTop w:val="0"/>
          <w:marBottom w:val="0"/>
          <w:divBdr>
            <w:top w:val="none" w:sz="0" w:space="0" w:color="auto"/>
            <w:left w:val="none" w:sz="0" w:space="0" w:color="auto"/>
            <w:bottom w:val="none" w:sz="0" w:space="0" w:color="auto"/>
            <w:right w:val="none" w:sz="0" w:space="0" w:color="auto"/>
          </w:divBdr>
        </w:div>
        <w:div w:id="599068449">
          <w:marLeft w:val="0"/>
          <w:marRight w:val="0"/>
          <w:marTop w:val="0"/>
          <w:marBottom w:val="0"/>
          <w:divBdr>
            <w:top w:val="none" w:sz="0" w:space="0" w:color="auto"/>
            <w:left w:val="none" w:sz="0" w:space="0" w:color="auto"/>
            <w:bottom w:val="none" w:sz="0" w:space="0" w:color="auto"/>
            <w:right w:val="none" w:sz="0" w:space="0" w:color="auto"/>
          </w:divBdr>
        </w:div>
        <w:div w:id="1938364904">
          <w:marLeft w:val="0"/>
          <w:marRight w:val="0"/>
          <w:marTop w:val="0"/>
          <w:marBottom w:val="0"/>
          <w:divBdr>
            <w:top w:val="none" w:sz="0" w:space="0" w:color="auto"/>
            <w:left w:val="none" w:sz="0" w:space="0" w:color="auto"/>
            <w:bottom w:val="none" w:sz="0" w:space="0" w:color="auto"/>
            <w:right w:val="none" w:sz="0" w:space="0" w:color="auto"/>
          </w:divBdr>
        </w:div>
        <w:div w:id="1701006958">
          <w:marLeft w:val="0"/>
          <w:marRight w:val="0"/>
          <w:marTop w:val="0"/>
          <w:marBottom w:val="0"/>
          <w:divBdr>
            <w:top w:val="none" w:sz="0" w:space="0" w:color="auto"/>
            <w:left w:val="none" w:sz="0" w:space="0" w:color="auto"/>
            <w:bottom w:val="none" w:sz="0" w:space="0" w:color="auto"/>
            <w:right w:val="none" w:sz="0" w:space="0" w:color="auto"/>
          </w:divBdr>
        </w:div>
        <w:div w:id="2004385714">
          <w:marLeft w:val="0"/>
          <w:marRight w:val="0"/>
          <w:marTop w:val="0"/>
          <w:marBottom w:val="0"/>
          <w:divBdr>
            <w:top w:val="none" w:sz="0" w:space="0" w:color="auto"/>
            <w:left w:val="none" w:sz="0" w:space="0" w:color="auto"/>
            <w:bottom w:val="none" w:sz="0" w:space="0" w:color="auto"/>
            <w:right w:val="none" w:sz="0" w:space="0" w:color="auto"/>
          </w:divBdr>
        </w:div>
        <w:div w:id="158664961">
          <w:marLeft w:val="0"/>
          <w:marRight w:val="0"/>
          <w:marTop w:val="0"/>
          <w:marBottom w:val="0"/>
          <w:divBdr>
            <w:top w:val="none" w:sz="0" w:space="0" w:color="auto"/>
            <w:left w:val="none" w:sz="0" w:space="0" w:color="auto"/>
            <w:bottom w:val="none" w:sz="0" w:space="0" w:color="auto"/>
            <w:right w:val="none" w:sz="0" w:space="0" w:color="auto"/>
          </w:divBdr>
        </w:div>
        <w:div w:id="152723042">
          <w:marLeft w:val="0"/>
          <w:marRight w:val="0"/>
          <w:marTop w:val="0"/>
          <w:marBottom w:val="0"/>
          <w:divBdr>
            <w:top w:val="none" w:sz="0" w:space="0" w:color="auto"/>
            <w:left w:val="none" w:sz="0" w:space="0" w:color="auto"/>
            <w:bottom w:val="none" w:sz="0" w:space="0" w:color="auto"/>
            <w:right w:val="none" w:sz="0" w:space="0" w:color="auto"/>
          </w:divBdr>
        </w:div>
        <w:div w:id="150104972">
          <w:marLeft w:val="0"/>
          <w:marRight w:val="0"/>
          <w:marTop w:val="0"/>
          <w:marBottom w:val="0"/>
          <w:divBdr>
            <w:top w:val="none" w:sz="0" w:space="0" w:color="auto"/>
            <w:left w:val="none" w:sz="0" w:space="0" w:color="auto"/>
            <w:bottom w:val="none" w:sz="0" w:space="0" w:color="auto"/>
            <w:right w:val="none" w:sz="0" w:space="0" w:color="auto"/>
          </w:divBdr>
        </w:div>
        <w:div w:id="56633528">
          <w:marLeft w:val="0"/>
          <w:marRight w:val="0"/>
          <w:marTop w:val="0"/>
          <w:marBottom w:val="0"/>
          <w:divBdr>
            <w:top w:val="none" w:sz="0" w:space="0" w:color="auto"/>
            <w:left w:val="none" w:sz="0" w:space="0" w:color="auto"/>
            <w:bottom w:val="none" w:sz="0" w:space="0" w:color="auto"/>
            <w:right w:val="none" w:sz="0" w:space="0" w:color="auto"/>
          </w:divBdr>
        </w:div>
        <w:div w:id="574244827">
          <w:marLeft w:val="0"/>
          <w:marRight w:val="0"/>
          <w:marTop w:val="0"/>
          <w:marBottom w:val="0"/>
          <w:divBdr>
            <w:top w:val="none" w:sz="0" w:space="0" w:color="auto"/>
            <w:left w:val="none" w:sz="0" w:space="0" w:color="auto"/>
            <w:bottom w:val="none" w:sz="0" w:space="0" w:color="auto"/>
            <w:right w:val="none" w:sz="0" w:space="0" w:color="auto"/>
          </w:divBdr>
        </w:div>
        <w:div w:id="1001539907">
          <w:marLeft w:val="0"/>
          <w:marRight w:val="0"/>
          <w:marTop w:val="0"/>
          <w:marBottom w:val="0"/>
          <w:divBdr>
            <w:top w:val="none" w:sz="0" w:space="0" w:color="auto"/>
            <w:left w:val="none" w:sz="0" w:space="0" w:color="auto"/>
            <w:bottom w:val="none" w:sz="0" w:space="0" w:color="auto"/>
            <w:right w:val="none" w:sz="0" w:space="0" w:color="auto"/>
          </w:divBdr>
        </w:div>
        <w:div w:id="558246031">
          <w:marLeft w:val="0"/>
          <w:marRight w:val="0"/>
          <w:marTop w:val="0"/>
          <w:marBottom w:val="0"/>
          <w:divBdr>
            <w:top w:val="none" w:sz="0" w:space="0" w:color="auto"/>
            <w:left w:val="none" w:sz="0" w:space="0" w:color="auto"/>
            <w:bottom w:val="none" w:sz="0" w:space="0" w:color="auto"/>
            <w:right w:val="none" w:sz="0" w:space="0" w:color="auto"/>
          </w:divBdr>
        </w:div>
        <w:div w:id="2016029970">
          <w:marLeft w:val="0"/>
          <w:marRight w:val="0"/>
          <w:marTop w:val="0"/>
          <w:marBottom w:val="0"/>
          <w:divBdr>
            <w:top w:val="none" w:sz="0" w:space="0" w:color="auto"/>
            <w:left w:val="none" w:sz="0" w:space="0" w:color="auto"/>
            <w:bottom w:val="none" w:sz="0" w:space="0" w:color="auto"/>
            <w:right w:val="none" w:sz="0" w:space="0" w:color="auto"/>
          </w:divBdr>
        </w:div>
        <w:div w:id="816149949">
          <w:marLeft w:val="0"/>
          <w:marRight w:val="0"/>
          <w:marTop w:val="0"/>
          <w:marBottom w:val="0"/>
          <w:divBdr>
            <w:top w:val="none" w:sz="0" w:space="0" w:color="auto"/>
            <w:left w:val="none" w:sz="0" w:space="0" w:color="auto"/>
            <w:bottom w:val="none" w:sz="0" w:space="0" w:color="auto"/>
            <w:right w:val="none" w:sz="0" w:space="0" w:color="auto"/>
          </w:divBdr>
        </w:div>
        <w:div w:id="1991059070">
          <w:marLeft w:val="0"/>
          <w:marRight w:val="0"/>
          <w:marTop w:val="0"/>
          <w:marBottom w:val="0"/>
          <w:divBdr>
            <w:top w:val="none" w:sz="0" w:space="0" w:color="auto"/>
            <w:left w:val="none" w:sz="0" w:space="0" w:color="auto"/>
            <w:bottom w:val="none" w:sz="0" w:space="0" w:color="auto"/>
            <w:right w:val="none" w:sz="0" w:space="0" w:color="auto"/>
          </w:divBdr>
        </w:div>
        <w:div w:id="1031761631">
          <w:marLeft w:val="0"/>
          <w:marRight w:val="0"/>
          <w:marTop w:val="0"/>
          <w:marBottom w:val="0"/>
          <w:divBdr>
            <w:top w:val="none" w:sz="0" w:space="0" w:color="auto"/>
            <w:left w:val="none" w:sz="0" w:space="0" w:color="auto"/>
            <w:bottom w:val="none" w:sz="0" w:space="0" w:color="auto"/>
            <w:right w:val="none" w:sz="0" w:space="0" w:color="auto"/>
          </w:divBdr>
        </w:div>
        <w:div w:id="190342248">
          <w:marLeft w:val="0"/>
          <w:marRight w:val="0"/>
          <w:marTop w:val="0"/>
          <w:marBottom w:val="0"/>
          <w:divBdr>
            <w:top w:val="none" w:sz="0" w:space="0" w:color="auto"/>
            <w:left w:val="none" w:sz="0" w:space="0" w:color="auto"/>
            <w:bottom w:val="none" w:sz="0" w:space="0" w:color="auto"/>
            <w:right w:val="none" w:sz="0" w:space="0" w:color="auto"/>
          </w:divBdr>
        </w:div>
        <w:div w:id="294913725">
          <w:marLeft w:val="0"/>
          <w:marRight w:val="0"/>
          <w:marTop w:val="0"/>
          <w:marBottom w:val="0"/>
          <w:divBdr>
            <w:top w:val="none" w:sz="0" w:space="0" w:color="auto"/>
            <w:left w:val="none" w:sz="0" w:space="0" w:color="auto"/>
            <w:bottom w:val="none" w:sz="0" w:space="0" w:color="auto"/>
            <w:right w:val="none" w:sz="0" w:space="0" w:color="auto"/>
          </w:divBdr>
        </w:div>
        <w:div w:id="2003464572">
          <w:marLeft w:val="0"/>
          <w:marRight w:val="0"/>
          <w:marTop w:val="0"/>
          <w:marBottom w:val="0"/>
          <w:divBdr>
            <w:top w:val="none" w:sz="0" w:space="0" w:color="auto"/>
            <w:left w:val="none" w:sz="0" w:space="0" w:color="auto"/>
            <w:bottom w:val="none" w:sz="0" w:space="0" w:color="auto"/>
            <w:right w:val="none" w:sz="0" w:space="0" w:color="auto"/>
          </w:divBdr>
        </w:div>
        <w:div w:id="1588225999">
          <w:marLeft w:val="0"/>
          <w:marRight w:val="0"/>
          <w:marTop w:val="0"/>
          <w:marBottom w:val="0"/>
          <w:divBdr>
            <w:top w:val="none" w:sz="0" w:space="0" w:color="auto"/>
            <w:left w:val="none" w:sz="0" w:space="0" w:color="auto"/>
            <w:bottom w:val="none" w:sz="0" w:space="0" w:color="auto"/>
            <w:right w:val="none" w:sz="0" w:space="0" w:color="auto"/>
          </w:divBdr>
        </w:div>
        <w:div w:id="581766098">
          <w:marLeft w:val="0"/>
          <w:marRight w:val="0"/>
          <w:marTop w:val="0"/>
          <w:marBottom w:val="0"/>
          <w:divBdr>
            <w:top w:val="none" w:sz="0" w:space="0" w:color="auto"/>
            <w:left w:val="none" w:sz="0" w:space="0" w:color="auto"/>
            <w:bottom w:val="none" w:sz="0" w:space="0" w:color="auto"/>
            <w:right w:val="none" w:sz="0" w:space="0" w:color="auto"/>
          </w:divBdr>
        </w:div>
        <w:div w:id="23141846">
          <w:marLeft w:val="0"/>
          <w:marRight w:val="0"/>
          <w:marTop w:val="0"/>
          <w:marBottom w:val="0"/>
          <w:divBdr>
            <w:top w:val="none" w:sz="0" w:space="0" w:color="auto"/>
            <w:left w:val="none" w:sz="0" w:space="0" w:color="auto"/>
            <w:bottom w:val="none" w:sz="0" w:space="0" w:color="auto"/>
            <w:right w:val="none" w:sz="0" w:space="0" w:color="auto"/>
          </w:divBdr>
        </w:div>
        <w:div w:id="886525307">
          <w:marLeft w:val="0"/>
          <w:marRight w:val="0"/>
          <w:marTop w:val="0"/>
          <w:marBottom w:val="0"/>
          <w:divBdr>
            <w:top w:val="none" w:sz="0" w:space="0" w:color="auto"/>
            <w:left w:val="none" w:sz="0" w:space="0" w:color="auto"/>
            <w:bottom w:val="none" w:sz="0" w:space="0" w:color="auto"/>
            <w:right w:val="none" w:sz="0" w:space="0" w:color="auto"/>
          </w:divBdr>
        </w:div>
        <w:div w:id="2142647307">
          <w:marLeft w:val="0"/>
          <w:marRight w:val="0"/>
          <w:marTop w:val="0"/>
          <w:marBottom w:val="0"/>
          <w:divBdr>
            <w:top w:val="none" w:sz="0" w:space="0" w:color="auto"/>
            <w:left w:val="none" w:sz="0" w:space="0" w:color="auto"/>
            <w:bottom w:val="none" w:sz="0" w:space="0" w:color="auto"/>
            <w:right w:val="none" w:sz="0" w:space="0" w:color="auto"/>
          </w:divBdr>
        </w:div>
        <w:div w:id="825317507">
          <w:marLeft w:val="0"/>
          <w:marRight w:val="0"/>
          <w:marTop w:val="0"/>
          <w:marBottom w:val="0"/>
          <w:divBdr>
            <w:top w:val="none" w:sz="0" w:space="0" w:color="auto"/>
            <w:left w:val="none" w:sz="0" w:space="0" w:color="auto"/>
            <w:bottom w:val="none" w:sz="0" w:space="0" w:color="auto"/>
            <w:right w:val="none" w:sz="0" w:space="0" w:color="auto"/>
          </w:divBdr>
        </w:div>
        <w:div w:id="808474747">
          <w:marLeft w:val="0"/>
          <w:marRight w:val="0"/>
          <w:marTop w:val="0"/>
          <w:marBottom w:val="0"/>
          <w:divBdr>
            <w:top w:val="none" w:sz="0" w:space="0" w:color="auto"/>
            <w:left w:val="none" w:sz="0" w:space="0" w:color="auto"/>
            <w:bottom w:val="none" w:sz="0" w:space="0" w:color="auto"/>
            <w:right w:val="none" w:sz="0" w:space="0" w:color="auto"/>
          </w:divBdr>
        </w:div>
        <w:div w:id="182327426">
          <w:marLeft w:val="0"/>
          <w:marRight w:val="0"/>
          <w:marTop w:val="0"/>
          <w:marBottom w:val="0"/>
          <w:divBdr>
            <w:top w:val="none" w:sz="0" w:space="0" w:color="auto"/>
            <w:left w:val="none" w:sz="0" w:space="0" w:color="auto"/>
            <w:bottom w:val="none" w:sz="0" w:space="0" w:color="auto"/>
            <w:right w:val="none" w:sz="0" w:space="0" w:color="auto"/>
          </w:divBdr>
        </w:div>
        <w:div w:id="804658990">
          <w:marLeft w:val="0"/>
          <w:marRight w:val="0"/>
          <w:marTop w:val="0"/>
          <w:marBottom w:val="0"/>
          <w:divBdr>
            <w:top w:val="none" w:sz="0" w:space="0" w:color="auto"/>
            <w:left w:val="none" w:sz="0" w:space="0" w:color="auto"/>
            <w:bottom w:val="none" w:sz="0" w:space="0" w:color="auto"/>
            <w:right w:val="none" w:sz="0" w:space="0" w:color="auto"/>
          </w:divBdr>
        </w:div>
        <w:div w:id="1070737558">
          <w:marLeft w:val="0"/>
          <w:marRight w:val="0"/>
          <w:marTop w:val="0"/>
          <w:marBottom w:val="0"/>
          <w:divBdr>
            <w:top w:val="none" w:sz="0" w:space="0" w:color="auto"/>
            <w:left w:val="none" w:sz="0" w:space="0" w:color="auto"/>
            <w:bottom w:val="none" w:sz="0" w:space="0" w:color="auto"/>
            <w:right w:val="none" w:sz="0" w:space="0" w:color="auto"/>
          </w:divBdr>
        </w:div>
        <w:div w:id="191043924">
          <w:marLeft w:val="0"/>
          <w:marRight w:val="0"/>
          <w:marTop w:val="0"/>
          <w:marBottom w:val="0"/>
          <w:divBdr>
            <w:top w:val="none" w:sz="0" w:space="0" w:color="auto"/>
            <w:left w:val="none" w:sz="0" w:space="0" w:color="auto"/>
            <w:bottom w:val="none" w:sz="0" w:space="0" w:color="auto"/>
            <w:right w:val="none" w:sz="0" w:space="0" w:color="auto"/>
          </w:divBdr>
        </w:div>
        <w:div w:id="817310491">
          <w:marLeft w:val="0"/>
          <w:marRight w:val="0"/>
          <w:marTop w:val="0"/>
          <w:marBottom w:val="0"/>
          <w:divBdr>
            <w:top w:val="none" w:sz="0" w:space="0" w:color="auto"/>
            <w:left w:val="none" w:sz="0" w:space="0" w:color="auto"/>
            <w:bottom w:val="none" w:sz="0" w:space="0" w:color="auto"/>
            <w:right w:val="none" w:sz="0" w:space="0" w:color="auto"/>
          </w:divBdr>
        </w:div>
        <w:div w:id="856889439">
          <w:marLeft w:val="0"/>
          <w:marRight w:val="0"/>
          <w:marTop w:val="0"/>
          <w:marBottom w:val="0"/>
          <w:divBdr>
            <w:top w:val="none" w:sz="0" w:space="0" w:color="auto"/>
            <w:left w:val="none" w:sz="0" w:space="0" w:color="auto"/>
            <w:bottom w:val="none" w:sz="0" w:space="0" w:color="auto"/>
            <w:right w:val="none" w:sz="0" w:space="0" w:color="auto"/>
          </w:divBdr>
        </w:div>
        <w:div w:id="1990747366">
          <w:marLeft w:val="0"/>
          <w:marRight w:val="0"/>
          <w:marTop w:val="0"/>
          <w:marBottom w:val="0"/>
          <w:divBdr>
            <w:top w:val="none" w:sz="0" w:space="0" w:color="auto"/>
            <w:left w:val="none" w:sz="0" w:space="0" w:color="auto"/>
            <w:bottom w:val="none" w:sz="0" w:space="0" w:color="auto"/>
            <w:right w:val="none" w:sz="0" w:space="0" w:color="auto"/>
          </w:divBdr>
        </w:div>
        <w:div w:id="1871187217">
          <w:marLeft w:val="0"/>
          <w:marRight w:val="0"/>
          <w:marTop w:val="0"/>
          <w:marBottom w:val="0"/>
          <w:divBdr>
            <w:top w:val="none" w:sz="0" w:space="0" w:color="auto"/>
            <w:left w:val="none" w:sz="0" w:space="0" w:color="auto"/>
            <w:bottom w:val="none" w:sz="0" w:space="0" w:color="auto"/>
            <w:right w:val="none" w:sz="0" w:space="0" w:color="auto"/>
          </w:divBdr>
        </w:div>
        <w:div w:id="1576890894">
          <w:marLeft w:val="0"/>
          <w:marRight w:val="0"/>
          <w:marTop w:val="0"/>
          <w:marBottom w:val="0"/>
          <w:divBdr>
            <w:top w:val="none" w:sz="0" w:space="0" w:color="auto"/>
            <w:left w:val="none" w:sz="0" w:space="0" w:color="auto"/>
            <w:bottom w:val="none" w:sz="0" w:space="0" w:color="auto"/>
            <w:right w:val="none" w:sz="0" w:space="0" w:color="auto"/>
          </w:divBdr>
        </w:div>
        <w:div w:id="817261626">
          <w:marLeft w:val="0"/>
          <w:marRight w:val="0"/>
          <w:marTop w:val="0"/>
          <w:marBottom w:val="0"/>
          <w:divBdr>
            <w:top w:val="none" w:sz="0" w:space="0" w:color="auto"/>
            <w:left w:val="none" w:sz="0" w:space="0" w:color="auto"/>
            <w:bottom w:val="none" w:sz="0" w:space="0" w:color="auto"/>
            <w:right w:val="none" w:sz="0" w:space="0" w:color="auto"/>
          </w:divBdr>
        </w:div>
        <w:div w:id="482503515">
          <w:marLeft w:val="0"/>
          <w:marRight w:val="0"/>
          <w:marTop w:val="0"/>
          <w:marBottom w:val="0"/>
          <w:divBdr>
            <w:top w:val="none" w:sz="0" w:space="0" w:color="auto"/>
            <w:left w:val="none" w:sz="0" w:space="0" w:color="auto"/>
            <w:bottom w:val="none" w:sz="0" w:space="0" w:color="auto"/>
            <w:right w:val="none" w:sz="0" w:space="0" w:color="auto"/>
          </w:divBdr>
        </w:div>
        <w:div w:id="972566212">
          <w:marLeft w:val="0"/>
          <w:marRight w:val="0"/>
          <w:marTop w:val="0"/>
          <w:marBottom w:val="0"/>
          <w:divBdr>
            <w:top w:val="none" w:sz="0" w:space="0" w:color="auto"/>
            <w:left w:val="none" w:sz="0" w:space="0" w:color="auto"/>
            <w:bottom w:val="none" w:sz="0" w:space="0" w:color="auto"/>
            <w:right w:val="none" w:sz="0" w:space="0" w:color="auto"/>
          </w:divBdr>
        </w:div>
        <w:div w:id="627786655">
          <w:marLeft w:val="0"/>
          <w:marRight w:val="0"/>
          <w:marTop w:val="0"/>
          <w:marBottom w:val="0"/>
          <w:divBdr>
            <w:top w:val="none" w:sz="0" w:space="0" w:color="auto"/>
            <w:left w:val="none" w:sz="0" w:space="0" w:color="auto"/>
            <w:bottom w:val="none" w:sz="0" w:space="0" w:color="auto"/>
            <w:right w:val="none" w:sz="0" w:space="0" w:color="auto"/>
          </w:divBdr>
        </w:div>
        <w:div w:id="1202013849">
          <w:marLeft w:val="0"/>
          <w:marRight w:val="0"/>
          <w:marTop w:val="0"/>
          <w:marBottom w:val="0"/>
          <w:divBdr>
            <w:top w:val="none" w:sz="0" w:space="0" w:color="auto"/>
            <w:left w:val="none" w:sz="0" w:space="0" w:color="auto"/>
            <w:bottom w:val="none" w:sz="0" w:space="0" w:color="auto"/>
            <w:right w:val="none" w:sz="0" w:space="0" w:color="auto"/>
          </w:divBdr>
        </w:div>
        <w:div w:id="1835297424">
          <w:marLeft w:val="0"/>
          <w:marRight w:val="0"/>
          <w:marTop w:val="0"/>
          <w:marBottom w:val="0"/>
          <w:divBdr>
            <w:top w:val="none" w:sz="0" w:space="0" w:color="auto"/>
            <w:left w:val="none" w:sz="0" w:space="0" w:color="auto"/>
            <w:bottom w:val="none" w:sz="0" w:space="0" w:color="auto"/>
            <w:right w:val="none" w:sz="0" w:space="0" w:color="auto"/>
          </w:divBdr>
        </w:div>
        <w:div w:id="1359114529">
          <w:marLeft w:val="0"/>
          <w:marRight w:val="0"/>
          <w:marTop w:val="0"/>
          <w:marBottom w:val="0"/>
          <w:divBdr>
            <w:top w:val="none" w:sz="0" w:space="0" w:color="auto"/>
            <w:left w:val="none" w:sz="0" w:space="0" w:color="auto"/>
            <w:bottom w:val="none" w:sz="0" w:space="0" w:color="auto"/>
            <w:right w:val="none" w:sz="0" w:space="0" w:color="auto"/>
          </w:divBdr>
        </w:div>
        <w:div w:id="951135373">
          <w:marLeft w:val="0"/>
          <w:marRight w:val="0"/>
          <w:marTop w:val="0"/>
          <w:marBottom w:val="0"/>
          <w:divBdr>
            <w:top w:val="none" w:sz="0" w:space="0" w:color="auto"/>
            <w:left w:val="none" w:sz="0" w:space="0" w:color="auto"/>
            <w:bottom w:val="none" w:sz="0" w:space="0" w:color="auto"/>
            <w:right w:val="none" w:sz="0" w:space="0" w:color="auto"/>
          </w:divBdr>
        </w:div>
        <w:div w:id="895435682">
          <w:marLeft w:val="0"/>
          <w:marRight w:val="0"/>
          <w:marTop w:val="0"/>
          <w:marBottom w:val="0"/>
          <w:divBdr>
            <w:top w:val="none" w:sz="0" w:space="0" w:color="auto"/>
            <w:left w:val="none" w:sz="0" w:space="0" w:color="auto"/>
            <w:bottom w:val="none" w:sz="0" w:space="0" w:color="auto"/>
            <w:right w:val="none" w:sz="0" w:space="0" w:color="auto"/>
          </w:divBdr>
        </w:div>
        <w:div w:id="770976830">
          <w:marLeft w:val="0"/>
          <w:marRight w:val="0"/>
          <w:marTop w:val="0"/>
          <w:marBottom w:val="0"/>
          <w:divBdr>
            <w:top w:val="none" w:sz="0" w:space="0" w:color="auto"/>
            <w:left w:val="none" w:sz="0" w:space="0" w:color="auto"/>
            <w:bottom w:val="none" w:sz="0" w:space="0" w:color="auto"/>
            <w:right w:val="none" w:sz="0" w:space="0" w:color="auto"/>
          </w:divBdr>
        </w:div>
        <w:div w:id="1748529670">
          <w:marLeft w:val="0"/>
          <w:marRight w:val="0"/>
          <w:marTop w:val="0"/>
          <w:marBottom w:val="0"/>
          <w:divBdr>
            <w:top w:val="none" w:sz="0" w:space="0" w:color="auto"/>
            <w:left w:val="none" w:sz="0" w:space="0" w:color="auto"/>
            <w:bottom w:val="none" w:sz="0" w:space="0" w:color="auto"/>
            <w:right w:val="none" w:sz="0" w:space="0" w:color="auto"/>
          </w:divBdr>
        </w:div>
        <w:div w:id="1735854862">
          <w:marLeft w:val="0"/>
          <w:marRight w:val="0"/>
          <w:marTop w:val="0"/>
          <w:marBottom w:val="0"/>
          <w:divBdr>
            <w:top w:val="none" w:sz="0" w:space="0" w:color="auto"/>
            <w:left w:val="none" w:sz="0" w:space="0" w:color="auto"/>
            <w:bottom w:val="none" w:sz="0" w:space="0" w:color="auto"/>
            <w:right w:val="none" w:sz="0" w:space="0" w:color="auto"/>
          </w:divBdr>
        </w:div>
        <w:div w:id="341787845">
          <w:marLeft w:val="0"/>
          <w:marRight w:val="0"/>
          <w:marTop w:val="0"/>
          <w:marBottom w:val="0"/>
          <w:divBdr>
            <w:top w:val="none" w:sz="0" w:space="0" w:color="auto"/>
            <w:left w:val="none" w:sz="0" w:space="0" w:color="auto"/>
            <w:bottom w:val="none" w:sz="0" w:space="0" w:color="auto"/>
            <w:right w:val="none" w:sz="0" w:space="0" w:color="auto"/>
          </w:divBdr>
        </w:div>
        <w:div w:id="1627467661">
          <w:marLeft w:val="0"/>
          <w:marRight w:val="0"/>
          <w:marTop w:val="0"/>
          <w:marBottom w:val="0"/>
          <w:divBdr>
            <w:top w:val="none" w:sz="0" w:space="0" w:color="auto"/>
            <w:left w:val="none" w:sz="0" w:space="0" w:color="auto"/>
            <w:bottom w:val="none" w:sz="0" w:space="0" w:color="auto"/>
            <w:right w:val="none" w:sz="0" w:space="0" w:color="auto"/>
          </w:divBdr>
        </w:div>
        <w:div w:id="1102148904">
          <w:marLeft w:val="0"/>
          <w:marRight w:val="0"/>
          <w:marTop w:val="0"/>
          <w:marBottom w:val="0"/>
          <w:divBdr>
            <w:top w:val="none" w:sz="0" w:space="0" w:color="auto"/>
            <w:left w:val="none" w:sz="0" w:space="0" w:color="auto"/>
            <w:bottom w:val="none" w:sz="0" w:space="0" w:color="auto"/>
            <w:right w:val="none" w:sz="0" w:space="0" w:color="auto"/>
          </w:divBdr>
        </w:div>
        <w:div w:id="804934237">
          <w:marLeft w:val="0"/>
          <w:marRight w:val="0"/>
          <w:marTop w:val="0"/>
          <w:marBottom w:val="0"/>
          <w:divBdr>
            <w:top w:val="none" w:sz="0" w:space="0" w:color="auto"/>
            <w:left w:val="none" w:sz="0" w:space="0" w:color="auto"/>
            <w:bottom w:val="none" w:sz="0" w:space="0" w:color="auto"/>
            <w:right w:val="none" w:sz="0" w:space="0" w:color="auto"/>
          </w:divBdr>
        </w:div>
        <w:div w:id="1529296750">
          <w:marLeft w:val="0"/>
          <w:marRight w:val="0"/>
          <w:marTop w:val="0"/>
          <w:marBottom w:val="0"/>
          <w:divBdr>
            <w:top w:val="none" w:sz="0" w:space="0" w:color="auto"/>
            <w:left w:val="none" w:sz="0" w:space="0" w:color="auto"/>
            <w:bottom w:val="none" w:sz="0" w:space="0" w:color="auto"/>
            <w:right w:val="none" w:sz="0" w:space="0" w:color="auto"/>
          </w:divBdr>
        </w:div>
        <w:div w:id="243883930">
          <w:marLeft w:val="0"/>
          <w:marRight w:val="0"/>
          <w:marTop w:val="0"/>
          <w:marBottom w:val="0"/>
          <w:divBdr>
            <w:top w:val="none" w:sz="0" w:space="0" w:color="auto"/>
            <w:left w:val="none" w:sz="0" w:space="0" w:color="auto"/>
            <w:bottom w:val="none" w:sz="0" w:space="0" w:color="auto"/>
            <w:right w:val="none" w:sz="0" w:space="0" w:color="auto"/>
          </w:divBdr>
        </w:div>
        <w:div w:id="1082602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11</Pages>
  <Words>3232</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janesm404@gmail.com</dc:creator>
  <cp:keywords/>
  <dc:description/>
  <cp:lastModifiedBy>janesm404@gmail.com</cp:lastModifiedBy>
  <cp:revision>1</cp:revision>
  <dcterms:created xsi:type="dcterms:W3CDTF">2020-03-03T17:01:00Z</dcterms:created>
  <dcterms:modified xsi:type="dcterms:W3CDTF">2020-03-03T18:38:00Z</dcterms:modified>
</cp:coreProperties>
</file>