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40" w:after="0" w:line="360"/>
        <w:ind w:right="0" w:left="0" w:firstLine="0"/>
        <w:jc w:val="center"/>
        <w:rPr>
          <w:rFonts w:ascii="Arial" w:hAnsi="Arial" w:cs="Arial" w:eastAsia="Arial"/>
          <w:b/>
          <w:color w:val="auto"/>
          <w:spacing w:val="0"/>
          <w:position w:val="0"/>
          <w:sz w:val="36"/>
          <w:shd w:fill="auto" w:val="clear"/>
        </w:rPr>
      </w:pPr>
      <w:r>
        <w:rPr>
          <w:rFonts w:ascii="Arial" w:hAnsi="Arial" w:cs="Arial" w:eastAsia="Arial"/>
          <w:b/>
          <w:color w:val="auto"/>
          <w:spacing w:val="0"/>
          <w:position w:val="0"/>
          <w:sz w:val="36"/>
          <w:shd w:fill="auto" w:val="clear"/>
        </w:rPr>
        <w:t xml:space="preserve">Zameer Ramzan</w:t>
      </w:r>
    </w:p>
    <w:p>
      <w:pPr>
        <w:spacing w:before="40" w:after="0" w:line="360"/>
        <w:ind w:right="0" w:left="0" w:firstLine="0"/>
        <w:jc w:val="center"/>
        <w:rPr>
          <w:rFonts w:ascii="Arial" w:hAnsi="Arial" w:cs="Arial" w:eastAsia="Arial"/>
          <w:b/>
          <w:color w:val="auto"/>
          <w:spacing w:val="0"/>
          <w:position w:val="0"/>
          <w:sz w:val="36"/>
          <w:shd w:fill="auto" w:val="clear"/>
        </w:rPr>
      </w:pPr>
      <w:r>
        <w:rPr>
          <w:rFonts w:ascii="Arial" w:hAnsi="Arial" w:cs="Arial" w:eastAsia="Arial"/>
          <w:b/>
          <w:color w:val="auto"/>
          <w:spacing w:val="0"/>
          <w:position w:val="0"/>
          <w:sz w:val="36"/>
          <w:shd w:fill="auto" w:val="clear"/>
        </w:rPr>
        <w:t xml:space="preserve">2128773</w:t>
      </w:r>
    </w:p>
    <w:p>
      <w:pPr>
        <w:spacing w:before="40" w:after="0" w:line="360"/>
        <w:ind w:right="0" w:left="0" w:firstLine="0"/>
        <w:jc w:val="center"/>
        <w:rPr>
          <w:rFonts w:ascii="Arial" w:hAnsi="Arial" w:cs="Arial" w:eastAsia="Arial"/>
          <w:b/>
          <w:color w:val="auto"/>
          <w:spacing w:val="0"/>
          <w:position w:val="0"/>
          <w:sz w:val="36"/>
          <w:shd w:fill="auto" w:val="clear"/>
        </w:rPr>
      </w:pPr>
    </w:p>
    <w:p>
      <w:pPr>
        <w:spacing w:before="40" w:after="0" w:line="360"/>
        <w:ind w:right="0" w:left="0" w:firstLine="0"/>
        <w:jc w:val="center"/>
        <w:rPr>
          <w:rFonts w:ascii="Arial" w:hAnsi="Arial" w:cs="Arial" w:eastAsia="Arial"/>
          <w:b/>
          <w:color w:val="auto"/>
          <w:spacing w:val="0"/>
          <w:position w:val="0"/>
          <w:sz w:val="36"/>
          <w:shd w:fill="auto" w:val="clear"/>
        </w:rPr>
      </w:pPr>
    </w:p>
    <w:p>
      <w:pPr>
        <w:spacing w:before="40" w:after="0" w:line="360"/>
        <w:ind w:right="0" w:left="0" w:firstLine="0"/>
        <w:jc w:val="center"/>
        <w:rPr>
          <w:rFonts w:ascii="Arial" w:hAnsi="Arial" w:cs="Arial" w:eastAsia="Arial"/>
          <w:b/>
          <w:color w:val="auto"/>
          <w:spacing w:val="0"/>
          <w:position w:val="0"/>
          <w:sz w:val="36"/>
          <w:shd w:fill="auto" w:val="clear"/>
        </w:rPr>
      </w:pPr>
      <w:r>
        <w:rPr>
          <w:rFonts w:ascii="Arial" w:hAnsi="Arial" w:cs="Arial" w:eastAsia="Arial"/>
          <w:b/>
          <w:color w:val="auto"/>
          <w:spacing w:val="0"/>
          <w:position w:val="0"/>
          <w:sz w:val="36"/>
          <w:shd w:fill="auto" w:val="clear"/>
        </w:rPr>
        <w:t xml:space="preserve">Module Code and Title: Academic</w:t>
      </w:r>
      <w:r>
        <w:rPr>
          <w:rFonts w:ascii="Arial" w:hAnsi="Arial" w:cs="Arial" w:eastAsia="Arial"/>
          <w:b/>
          <w:color w:val="auto"/>
          <w:spacing w:val="-6"/>
          <w:position w:val="0"/>
          <w:sz w:val="36"/>
          <w:shd w:fill="auto" w:val="clear"/>
        </w:rPr>
        <w:t xml:space="preserve"> </w:t>
      </w:r>
      <w:r>
        <w:rPr>
          <w:rFonts w:ascii="Arial" w:hAnsi="Arial" w:cs="Arial" w:eastAsia="Arial"/>
          <w:b/>
          <w:color w:val="auto"/>
          <w:spacing w:val="0"/>
          <w:position w:val="0"/>
          <w:sz w:val="36"/>
          <w:shd w:fill="auto" w:val="clear"/>
        </w:rPr>
        <w:t xml:space="preserve">and</w:t>
      </w:r>
      <w:r>
        <w:rPr>
          <w:rFonts w:ascii="Arial" w:hAnsi="Arial" w:cs="Arial" w:eastAsia="Arial"/>
          <w:b/>
          <w:color w:val="auto"/>
          <w:spacing w:val="-6"/>
          <w:position w:val="0"/>
          <w:sz w:val="36"/>
          <w:shd w:fill="auto" w:val="clear"/>
        </w:rPr>
        <w:t xml:space="preserve"> </w:t>
      </w:r>
      <w:r>
        <w:rPr>
          <w:rFonts w:ascii="Arial" w:hAnsi="Arial" w:cs="Arial" w:eastAsia="Arial"/>
          <w:b/>
          <w:color w:val="auto"/>
          <w:spacing w:val="0"/>
          <w:position w:val="0"/>
          <w:sz w:val="36"/>
          <w:shd w:fill="auto" w:val="clear"/>
        </w:rPr>
        <w:t xml:space="preserve">Employability</w:t>
      </w:r>
      <w:r>
        <w:rPr>
          <w:rFonts w:ascii="Arial" w:hAnsi="Arial" w:cs="Arial" w:eastAsia="Arial"/>
          <w:b/>
          <w:color w:val="auto"/>
          <w:spacing w:val="-5"/>
          <w:position w:val="0"/>
          <w:sz w:val="36"/>
          <w:shd w:fill="auto" w:val="clear"/>
        </w:rPr>
        <w:t xml:space="preserve"> </w:t>
      </w:r>
      <w:r>
        <w:rPr>
          <w:rFonts w:ascii="Arial" w:hAnsi="Arial" w:cs="Arial" w:eastAsia="Arial"/>
          <w:b/>
          <w:color w:val="auto"/>
          <w:spacing w:val="-2"/>
          <w:position w:val="0"/>
          <w:sz w:val="36"/>
          <w:shd w:fill="auto" w:val="clear"/>
        </w:rPr>
        <w:t xml:space="preserve">Skills</w:t>
      </w:r>
      <w:r>
        <w:rPr>
          <w:rFonts w:ascii="Arial" w:hAnsi="Arial" w:cs="Arial" w:eastAsia="Arial"/>
          <w:b/>
          <w:color w:val="auto"/>
          <w:spacing w:val="0"/>
          <w:position w:val="0"/>
          <w:sz w:val="36"/>
          <w:shd w:fill="auto" w:val="clear"/>
        </w:rPr>
        <w:t xml:space="preserve"> </w:t>
      </w:r>
    </w:p>
    <w:p>
      <w:pPr>
        <w:spacing w:before="40" w:after="0" w:line="360"/>
        <w:ind w:right="0" w:left="0" w:firstLine="0"/>
        <w:jc w:val="center"/>
        <w:rPr>
          <w:rFonts w:ascii="Arial" w:hAnsi="Arial" w:cs="Arial" w:eastAsia="Arial"/>
          <w:b/>
          <w:color w:val="auto"/>
          <w:spacing w:val="0"/>
          <w:position w:val="0"/>
          <w:sz w:val="36"/>
          <w:shd w:fill="auto" w:val="clear"/>
        </w:rPr>
      </w:pPr>
    </w:p>
    <w:p>
      <w:pPr>
        <w:spacing w:before="40" w:after="0" w:line="360"/>
        <w:ind w:right="0" w:left="0" w:firstLine="0"/>
        <w:jc w:val="center"/>
        <w:rPr>
          <w:rFonts w:ascii="Arial" w:hAnsi="Arial" w:cs="Arial" w:eastAsia="Arial"/>
          <w:color w:val="auto"/>
          <w:spacing w:val="0"/>
          <w:position w:val="0"/>
          <w:sz w:val="36"/>
          <w:shd w:fill="auto" w:val="clear"/>
        </w:rPr>
      </w:pPr>
    </w:p>
    <w:p>
      <w:pPr>
        <w:spacing w:before="40" w:after="0" w:line="360"/>
        <w:ind w:right="0" w:left="0" w:firstLine="0"/>
        <w:jc w:val="center"/>
        <w:rPr>
          <w:rFonts w:ascii="Arial" w:hAnsi="Arial" w:cs="Arial" w:eastAsia="Arial"/>
          <w:color w:val="auto"/>
          <w:spacing w:val="0"/>
          <w:position w:val="0"/>
          <w:sz w:val="36"/>
          <w:shd w:fill="auto" w:val="clear"/>
        </w:rPr>
      </w:pPr>
      <w:r>
        <w:rPr>
          <w:rFonts w:ascii="Arial" w:hAnsi="Arial" w:cs="Arial" w:eastAsia="Arial"/>
          <w:color w:val="auto"/>
          <w:spacing w:val="0"/>
          <w:position w:val="0"/>
          <w:sz w:val="36"/>
          <w:shd w:fill="auto" w:val="clear"/>
        </w:rPr>
        <w:t xml:space="preserve">Individual Report</w:t>
      </w:r>
    </w:p>
    <w:p>
      <w:pPr>
        <w:spacing w:before="0" w:after="160" w:line="360"/>
        <w:ind w:right="0" w:left="0" w:firstLine="0"/>
        <w:jc w:val="left"/>
        <w:rPr>
          <w:rFonts w:ascii="Arial" w:hAnsi="Arial" w:cs="Arial" w:eastAsia="Arial"/>
          <w:color w:val="2F5496"/>
          <w:spacing w:val="0"/>
          <w:position w:val="0"/>
          <w:sz w:val="22"/>
          <w:shd w:fill="auto" w:val="clear"/>
        </w:rPr>
      </w:pPr>
      <w:r>
        <w:rPr>
          <w:rFonts w:ascii="Arial" w:hAnsi="Arial" w:cs="Arial" w:eastAsia="Arial"/>
          <w:color w:val="2F5496"/>
          <w:spacing w:val="0"/>
          <w:position w:val="0"/>
          <w:sz w:val="22"/>
          <w:shd w:fill="auto" w:val="clear"/>
        </w:rPr>
        <w:t xml:space="preserve"> </w:t>
      </w:r>
    </w:p>
    <w:p>
      <w:pPr>
        <w:spacing w:before="0" w:after="160" w:line="360"/>
        <w:ind w:right="0" w:left="0" w:firstLine="0"/>
        <w:jc w:val="left"/>
        <w:rPr>
          <w:rFonts w:ascii="Arial" w:hAnsi="Arial" w:cs="Arial" w:eastAsia="Arial"/>
          <w:color w:val="2F5496"/>
          <w:spacing w:val="0"/>
          <w:position w:val="0"/>
          <w:sz w:val="22"/>
          <w:shd w:fill="auto" w:val="clear"/>
        </w:rPr>
      </w:pPr>
    </w:p>
    <w:p>
      <w:pPr>
        <w:spacing w:before="0" w:after="16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360"/>
        <w:ind w:right="0" w:left="0" w:firstLine="0"/>
        <w:jc w:val="left"/>
        <w:rPr>
          <w:rFonts w:ascii="Arial" w:hAnsi="Arial" w:cs="Arial" w:eastAsia="Arial"/>
          <w:color w:val="2F5496"/>
          <w:spacing w:val="0"/>
          <w:position w:val="0"/>
          <w:sz w:val="22"/>
          <w:shd w:fill="auto" w:val="clear"/>
        </w:rPr>
      </w:pPr>
    </w:p>
    <w:p>
      <w:pPr>
        <w:keepNext w:val="true"/>
        <w:keepLines w:val="true"/>
        <w:spacing w:before="240" w:after="0" w:line="360"/>
        <w:ind w:right="0" w:left="0" w:firstLine="0"/>
        <w:jc w:val="both"/>
        <w:rPr>
          <w:rFonts w:ascii="Arial" w:hAnsi="Arial" w:cs="Arial" w:eastAsia="Arial"/>
          <w:color w:val="2F5496"/>
          <w:spacing w:val="0"/>
          <w:position w:val="0"/>
          <w:sz w:val="22"/>
          <w:shd w:fill="auto" w:val="clear"/>
        </w:rPr>
      </w:pPr>
      <w:r>
        <w:rPr>
          <w:rFonts w:ascii="Arial" w:hAnsi="Arial" w:cs="Arial" w:eastAsia="Arial"/>
          <w:color w:val="2F5496"/>
          <w:spacing w:val="0"/>
          <w:position w:val="0"/>
          <w:sz w:val="22"/>
          <w:shd w:fill="auto" w:val="clear"/>
        </w:rPr>
        <w:t xml:space="preserve">Introduction </w:t>
      </w:r>
    </w:p>
    <w:p>
      <w:pPr>
        <w:spacing w:before="4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Human motivation is a psychological pattern that  includes engaging in desired behaviours including establishing, leading, deepening, and sustaining a passion or goal. A manager's most important task is to motivate the team and workforce to attain corporate goals with great efficiency, and competence. Motivation focuses on giving individuals what they desire at work. Managers must give people what they want to fulfil goals. Positive incentives should promote efficiency, competence, and service (Maina et al., 2022). Motivation has caught the attention of academicians and behaviourists in organisational contexts including motivating ideas, models, and methodologies. This study examines motivational best practises.  Motivation allows individuals to accomplish their objectives, adopt a positive approach, advance, enhance their self-esteem , actively explore their potential, and take responsibility of their own development and skills. This research will highlight effective workplace motivational tactics. </w:t>
      </w:r>
    </w:p>
    <w:p>
      <w:pPr>
        <w:spacing w:before="40" w:after="0" w:line="360"/>
        <w:ind w:right="0" w:left="0" w:firstLine="0"/>
        <w:jc w:val="both"/>
        <w:rPr>
          <w:rFonts w:ascii="Arial" w:hAnsi="Arial" w:cs="Arial" w:eastAsia="Arial"/>
          <w:color w:val="2F5496"/>
          <w:spacing w:val="0"/>
          <w:position w:val="0"/>
          <w:sz w:val="22"/>
          <w:shd w:fill="auto" w:val="clear"/>
        </w:rPr>
      </w:pPr>
    </w:p>
    <w:p>
      <w:pPr>
        <w:keepNext w:val="true"/>
        <w:keepLines w:val="true"/>
        <w:spacing w:before="240" w:after="0" w:line="360"/>
        <w:ind w:right="0" w:left="0" w:firstLine="0"/>
        <w:jc w:val="both"/>
        <w:rPr>
          <w:rFonts w:ascii="Arial" w:hAnsi="Arial" w:cs="Arial" w:eastAsia="Arial"/>
          <w:color w:val="2F5496"/>
          <w:spacing w:val="0"/>
          <w:position w:val="0"/>
          <w:sz w:val="22"/>
          <w:shd w:fill="auto" w:val="clear"/>
        </w:rPr>
      </w:pPr>
      <w:r>
        <w:rPr>
          <w:rFonts w:ascii="Arial" w:hAnsi="Arial" w:cs="Arial" w:eastAsia="Arial"/>
          <w:color w:val="2F5496"/>
          <w:spacing w:val="0"/>
          <w:position w:val="0"/>
          <w:sz w:val="22"/>
          <w:shd w:fill="auto" w:val="clear"/>
        </w:rPr>
        <w:t xml:space="preserve">Effective Motivation ways</w:t>
      </w:r>
    </w:p>
    <w:p>
      <w:pPr>
        <w:spacing w:before="4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Motivation guides and begins goal-oriented activity. It helps people to do duties anticipated by their superiors. Each individual is driven by a need of society recognising their efforts (Rayner and Morgan, 2018). Positive reinforcement is a popular motivator. Incentive systems, profit-sharing, yearly bonuses, and other remuneration may motivate and inspire.</w:t>
      </w:r>
    </w:p>
    <w:p>
      <w:pPr>
        <w:spacing w:before="40" w:after="0" w:line="360"/>
        <w:ind w:right="0" w:left="0" w:firstLine="0"/>
        <w:jc w:val="center"/>
        <w:rPr>
          <w:rFonts w:ascii="Arial" w:hAnsi="Arial" w:cs="Arial" w:eastAsia="Arial"/>
          <w:color w:val="auto"/>
          <w:spacing w:val="0"/>
          <w:position w:val="0"/>
          <w:sz w:val="22"/>
          <w:shd w:fill="auto" w:val="clear"/>
        </w:rPr>
      </w:pPr>
      <w:r>
        <w:object w:dxaOrig="5041" w:dyaOrig="5993">
          <v:rect xmlns:o="urn:schemas-microsoft-com:office:office" xmlns:v="urn:schemas-microsoft-com:vml" id="rectole0000000000" style="width:252.050000pt;height:299.6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40" w:after="0" w:line="36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Figure-1: Employee Motivation (Rietsema, 2022).</w:t>
      </w:r>
    </w:p>
    <w:p>
      <w:pPr>
        <w:keepNext w:val="true"/>
        <w:keepLines w:val="true"/>
        <w:spacing w:before="240" w:after="0" w:line="360"/>
        <w:ind w:right="0" w:left="0" w:firstLine="0"/>
        <w:jc w:val="both"/>
        <w:rPr>
          <w:rFonts w:ascii="Arial" w:hAnsi="Arial" w:cs="Arial" w:eastAsia="Arial"/>
          <w:color w:val="2F5496"/>
          <w:spacing w:val="0"/>
          <w:position w:val="0"/>
          <w:sz w:val="22"/>
          <w:shd w:fill="auto" w:val="clear"/>
        </w:rPr>
      </w:pPr>
      <w:r>
        <w:rPr>
          <w:rFonts w:ascii="Arial" w:hAnsi="Arial" w:cs="Arial" w:eastAsia="Arial"/>
          <w:color w:val="2F5496"/>
          <w:spacing w:val="0"/>
          <w:position w:val="0"/>
          <w:sz w:val="22"/>
          <w:shd w:fill="auto" w:val="clear"/>
        </w:rPr>
        <w:t xml:space="preserve">Pay and Benefits</w:t>
      </w:r>
    </w:p>
    <w:p>
      <w:pPr>
        <w:spacing w:before="4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All other methods of persuading employees to work hard are said to be founded on the groundwork of payment.   It motivates employees directly or indirectly. As a result of this motivation, the goals and expectations for the task for which individuals are compensated are met. Pay is a reward that falls under the umbrella of monetary compensation. It boosts worker productivity and performance while meeting organisational needs. Night shifts, overtime, filling in for an absent employees should have financial rewards (Pegler, 2012). People usually choose the higher-paying job. Employees want to earn more for their work. Maslow and Herzberg's theory of motivation says salary affects employee motivation. Maslow's motivation theory puts money below self-esteem requirements.</w:t>
      </w:r>
    </w:p>
    <w:p>
      <w:pPr>
        <w:spacing w:before="40" w:after="0" w:line="360"/>
        <w:ind w:right="0" w:left="0" w:firstLine="0"/>
        <w:jc w:val="both"/>
        <w:rPr>
          <w:rFonts w:ascii="Arial" w:hAnsi="Arial" w:cs="Arial" w:eastAsia="Arial"/>
          <w:color w:val="auto"/>
          <w:spacing w:val="0"/>
          <w:position w:val="0"/>
          <w:sz w:val="22"/>
          <w:shd w:fill="auto" w:val="clear"/>
        </w:rPr>
      </w:pPr>
    </w:p>
    <w:p>
      <w:pPr>
        <w:spacing w:before="4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When service time and inflation are taken into account, the pay should climb annually. Base pay changes if one is given more responsibility. A company's pay budget is a major factor in determining how to recruit, motivate, and retain employees while keeping costs down. There are two options: a one-time bonus or an adjustment to the basic pay. When determining the performance component of a pay raise, a matrix system or formula is commonly used to provide a grade to each performance category (Scott et al., 2019). A comparison ratio is used to compute each employee's salary compared to the grade centre. Comparability ratio for a middle-income worker is 100%.</w:t>
      </w:r>
    </w:p>
    <w:p>
      <w:pPr>
        <w:keepNext w:val="true"/>
        <w:keepLines w:val="true"/>
        <w:spacing w:before="240" w:after="0" w:line="360"/>
        <w:ind w:right="0" w:left="0" w:firstLine="0"/>
        <w:jc w:val="both"/>
        <w:rPr>
          <w:rFonts w:ascii="Arial" w:hAnsi="Arial" w:cs="Arial" w:eastAsia="Arial"/>
          <w:color w:val="2F5496"/>
          <w:spacing w:val="0"/>
          <w:position w:val="0"/>
          <w:sz w:val="22"/>
          <w:shd w:fill="auto" w:val="clear"/>
        </w:rPr>
      </w:pPr>
      <w:r>
        <w:rPr>
          <w:rFonts w:ascii="Arial" w:hAnsi="Arial" w:cs="Arial" w:eastAsia="Arial"/>
          <w:color w:val="2F5496"/>
          <w:spacing w:val="0"/>
          <w:position w:val="0"/>
          <w:sz w:val="22"/>
          <w:shd w:fill="auto" w:val="clear"/>
        </w:rPr>
        <w:t xml:space="preserve">Extra Holidays</w:t>
      </w:r>
    </w:p>
    <w:p>
      <w:pPr>
        <w:spacing w:before="4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Few companies utilise vacations as incentives. To relieve their employees' busy schedules, employers send them on vacation, encourage them to spend time with them, or organise a trip. Since employees only receive these leaves with managers' consent or per business guidelines, the corporation should monetarily cover them creating paid leaves  (Luthra, 2015).  </w:t>
      </w:r>
    </w:p>
    <w:p>
      <w:pPr>
        <w:spacing w:before="4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Paid vacation and holiday disputes emerge when rights aren't written down. If employees can take frequent vacations, they may feel more respected and motivated, which will boost their performance (Suarta et al., 2018). Employees who take frequent breaks are less likely to have accidents and experience stress. To ensure that everyone knows the rules and procedures, organisations should include paid vacation laws in employee employment contracts. If management wants workers to be treated properly, they should implement a consistent personal leave approach. A policy and procedures reduce the likelihood of conflicts. If the employee follows the necessary processes and gives the company ample notice, the request for annual leave should get more likely to be approved. Sick leave and employee turnover may be reduced by increasing employee appreciation, which lowers the misuse of sick leave.</w:t>
      </w:r>
    </w:p>
    <w:p>
      <w:pPr>
        <w:keepNext w:val="true"/>
        <w:keepLines w:val="true"/>
        <w:spacing w:before="240" w:after="0" w:line="360"/>
        <w:ind w:right="0" w:left="0" w:firstLine="0"/>
        <w:jc w:val="both"/>
        <w:rPr>
          <w:rFonts w:ascii="Arial" w:hAnsi="Arial" w:cs="Arial" w:eastAsia="Arial"/>
          <w:color w:val="2F5496"/>
          <w:spacing w:val="0"/>
          <w:position w:val="0"/>
          <w:sz w:val="22"/>
          <w:shd w:fill="auto" w:val="clear"/>
        </w:rPr>
      </w:pPr>
      <w:r>
        <w:rPr>
          <w:rFonts w:ascii="Arial" w:hAnsi="Arial" w:cs="Arial" w:eastAsia="Arial"/>
          <w:color w:val="2F5496"/>
          <w:spacing w:val="0"/>
          <w:position w:val="0"/>
          <w:sz w:val="22"/>
          <w:shd w:fill="auto" w:val="clear"/>
        </w:rPr>
        <w:t xml:space="preserve">Working Conditions</w:t>
      </w:r>
    </w:p>
    <w:p>
      <w:pPr>
        <w:spacing w:before="4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Workers need a pleasant work environment. These include a relaxed business culture or work environment. This boosts motivation. The company must cultivate open communication among workers, respect their rights as employees, and allow them to voice their thoughts and participate in dialogues without disparaging one other's histories, cultural beliefs, or social position.   It helps people focus on their work and reduces harassment.  Employers must organise shifts or rotate teams to distribute the burden among employees. Herzberg's two-factor theory addresses this by dividing factors of work environment into 'satisfiers' and "dissatisfiers".  The first section covers removing dissatisfier elements like favouritism (Fernandez-Aviles et al.,2020). Favoritism demotivates employees. They don't like working when none of their efforts are recognised.  The second category includes motivating factors such as job pleasure, a merit-based recognition and reward system, and career progression opportunities.   The workplace affects employee satisfaction.</w:t>
      </w:r>
    </w:p>
    <w:p>
      <w:pPr>
        <w:spacing w:before="40" w:after="0" w:line="360"/>
        <w:ind w:right="0" w:left="0" w:firstLine="0"/>
        <w:jc w:val="both"/>
        <w:rPr>
          <w:rFonts w:ascii="Arial" w:hAnsi="Arial" w:cs="Arial" w:eastAsia="Arial"/>
          <w:color w:val="auto"/>
          <w:spacing w:val="0"/>
          <w:position w:val="0"/>
          <w:sz w:val="22"/>
          <w:shd w:fill="auto" w:val="clear"/>
        </w:rPr>
      </w:pPr>
    </w:p>
    <w:p>
      <w:pPr>
        <w:keepNext w:val="true"/>
        <w:keepLines w:val="true"/>
        <w:spacing w:before="240" w:after="0" w:line="360"/>
        <w:ind w:right="0" w:left="0" w:firstLine="0"/>
        <w:jc w:val="both"/>
        <w:rPr>
          <w:rFonts w:ascii="Arial" w:hAnsi="Arial" w:cs="Arial" w:eastAsia="Arial"/>
          <w:color w:val="2F5496"/>
          <w:spacing w:val="0"/>
          <w:position w:val="0"/>
          <w:sz w:val="22"/>
          <w:shd w:fill="auto" w:val="clear"/>
        </w:rPr>
      </w:pPr>
      <w:r>
        <w:rPr>
          <w:rFonts w:ascii="Arial" w:hAnsi="Arial" w:cs="Arial" w:eastAsia="Arial"/>
          <w:color w:val="2F5496"/>
          <w:spacing w:val="0"/>
          <w:position w:val="0"/>
          <w:sz w:val="22"/>
          <w:shd w:fill="auto" w:val="clear"/>
        </w:rPr>
        <w:t xml:space="preserve">Rewards and compensation</w:t>
      </w:r>
    </w:p>
    <w:p>
      <w:pPr>
        <w:spacing w:before="4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today's business atmosphere, rewards and recognition are prized since managers and leaders have less ways to influence employee behaviour. In tight circumstances, public recognition may enhance staff morale. These praise strategies are important. Employee motivation is improved when their work and efficiency are rewarded promptly. Maslow's hierarchy of requirements includes self-realisation as a precondition for all other wants and aspirations. Family, friends, and society may help individuals achieve their goals by applauding and supporting them (Reed, 2019). Even unearned incentives make a person feel that his efforts are valuable. Employees should receive feedback and be recognised. Recognition shows employees that their work fulfils supervisors' and leaders' standards. A few words of thanks may serve as the perfect motivator for staff employees and spark enthusiasm.</w:t>
      </w:r>
    </w:p>
    <w:p>
      <w:pPr>
        <w:spacing w:before="4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Despite significant studies on merit pay, people who have worked under a merit pay system have had minimal chance to share their opinions (Bhagra and Sharma, 2018). A  publication reflects on workers' perspectives of a newly introduced performance-based compensation scheme at a big corporation. Support for merit-based pay was high in that publication. So, rewarding workers and helping them appreciate their work may boost morale. </w:t>
      </w:r>
    </w:p>
    <w:p>
      <w:pPr>
        <w:spacing w:before="40" w:after="0" w:line="360"/>
        <w:ind w:right="0" w:left="0" w:firstLine="0"/>
        <w:jc w:val="both"/>
        <w:rPr>
          <w:rFonts w:ascii="Arial" w:hAnsi="Arial" w:cs="Arial" w:eastAsia="Arial"/>
          <w:color w:val="2F5496"/>
          <w:spacing w:val="0"/>
          <w:position w:val="0"/>
          <w:sz w:val="22"/>
          <w:shd w:fill="auto" w:val="clear"/>
        </w:rPr>
      </w:pPr>
    </w:p>
    <w:p>
      <w:pPr>
        <w:keepNext w:val="true"/>
        <w:keepLines w:val="true"/>
        <w:spacing w:before="240" w:after="0" w:line="360"/>
        <w:ind w:right="0" w:left="0" w:firstLine="0"/>
        <w:jc w:val="both"/>
        <w:rPr>
          <w:rFonts w:ascii="Arial" w:hAnsi="Arial" w:cs="Arial" w:eastAsia="Arial"/>
          <w:color w:val="2F5496"/>
          <w:spacing w:val="0"/>
          <w:position w:val="0"/>
          <w:sz w:val="22"/>
          <w:shd w:fill="auto" w:val="clear"/>
        </w:rPr>
      </w:pPr>
      <w:r>
        <w:rPr>
          <w:rFonts w:ascii="Arial" w:hAnsi="Arial" w:cs="Arial" w:eastAsia="Arial"/>
          <w:color w:val="2F5496"/>
          <w:spacing w:val="0"/>
          <w:position w:val="0"/>
          <w:sz w:val="22"/>
          <w:shd w:fill="auto" w:val="clear"/>
        </w:rPr>
        <w:t xml:space="preserve">Conclusion </w:t>
      </w:r>
    </w:p>
    <w:p>
      <w:pPr>
        <w:spacing w:before="4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Management should base remuneration choices on how effectively employees perform everyday or achieve their objectives. A competent management team should create a pay plan that engages and motivates employees. A commercial organisation's ambition is crucial for progressing with a distinctive structure and a fresh approach to motivation. To boost employee enthusiasm, here are some ways.  Incentive programmes are the major way to recognise and reward employees' efforts. These may be presents, medals, or cash. Promotion is another way to recognise employees' efforts. When workers are promoted inside the organisation for their performance, this makes them work harder and progress. When employees are well-organised, have goals, and work for company goals, they get success. Success may motivate employees. Well-organised people may achieve their goals and find success, which promotes company goals.</w:t>
      </w:r>
    </w:p>
    <w:p>
      <w:pPr>
        <w:spacing w:before="40" w:after="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360"/>
        <w:ind w:right="0" w:left="0" w:firstLine="0"/>
        <w:jc w:val="left"/>
        <w:rPr>
          <w:rFonts w:ascii="Arial" w:hAnsi="Arial" w:cs="Arial" w:eastAsia="Arial"/>
          <w:color w:val="2F5496"/>
          <w:spacing w:val="0"/>
          <w:position w:val="0"/>
          <w:sz w:val="22"/>
          <w:shd w:fill="auto" w:val="clear"/>
        </w:rPr>
      </w:pPr>
    </w:p>
    <w:p>
      <w:pPr>
        <w:keepNext w:val="true"/>
        <w:keepLines w:val="true"/>
        <w:spacing w:before="240" w:after="0" w:line="360"/>
        <w:ind w:right="0" w:left="0" w:firstLine="0"/>
        <w:jc w:val="both"/>
        <w:rPr>
          <w:rFonts w:ascii="Arial" w:hAnsi="Arial" w:cs="Arial" w:eastAsia="Arial"/>
          <w:color w:val="2F5496"/>
          <w:spacing w:val="0"/>
          <w:position w:val="0"/>
          <w:sz w:val="22"/>
          <w:shd w:fill="auto" w:val="clear"/>
        </w:rPr>
      </w:pPr>
      <w:r>
        <w:rPr>
          <w:rFonts w:ascii="Arial" w:hAnsi="Arial" w:cs="Arial" w:eastAsia="Arial"/>
          <w:color w:val="2F5496"/>
          <w:spacing w:val="0"/>
          <w:position w:val="0"/>
          <w:sz w:val="22"/>
          <w:shd w:fill="auto" w:val="clear"/>
        </w:rPr>
        <w:t xml:space="preserve">References</w:t>
      </w:r>
    </w:p>
    <w:p>
      <w:pPr>
        <w:spacing w:before="40" w:after="0" w:line="360"/>
        <w:ind w:right="0" w:left="0" w:firstLine="0"/>
        <w:jc w:val="both"/>
        <w:rPr>
          <w:rFonts w:ascii="Arial" w:hAnsi="Arial" w:cs="Arial" w:eastAsia="Arial"/>
          <w:color w:val="auto"/>
          <w:spacing w:val="0"/>
          <w:position w:val="0"/>
          <w:sz w:val="22"/>
          <w:shd w:fill="auto" w:val="clear"/>
        </w:rPr>
      </w:pPr>
    </w:p>
    <w:p>
      <w:pPr>
        <w:spacing w:before="4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Bhagra, A. and Sharma, D.K., 2018. Changing paradigm of employability skills in the global business world: A review. IUP Journal of Soft Skills, 12(2), pp.7-24.</w:t>
      </w:r>
    </w:p>
    <w:p>
      <w:pPr>
        <w:spacing w:before="4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Fernandez-Aviles, D., De Antonio, A. and Villalba-Mora, E., 2020. A Systematic Mapping Study on the Use of Motivational Theories in the Design of Motivational Software. IEEE Access, 8, pp.176840-176863. </w:t>
      </w:r>
    </w:p>
    <w:p>
      <w:pPr>
        <w:spacing w:before="4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Luthra, A., 2015. P-143: Classification of behaviors in dementia based in ”motivational” and ”needs based” theories. European Geriatric Medicine, 6, p.S70.</w:t>
      </w:r>
    </w:p>
    <w:p>
      <w:pPr>
        <w:spacing w:before="4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Maina, M.F., Guàrdia Ortiz, L., Mancini, F. and Martinez Melo, M., 2022. A microcredentialing methodology for improved recognition of HE employability skills. International Journal of Educational Technology in Higher Education, 19(1), pp.1-22.</w:t>
      </w:r>
    </w:p>
    <w:p>
      <w:pPr>
        <w:spacing w:before="4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Pegler, C., 2012. Herzberg, hygiene and the motivation to reuse: Towards a three-factor theory to explain motivation to share and use OER. Journal of Interactive Media in Education, 2012(1), p.4.</w:t>
      </w:r>
    </w:p>
    <w:p>
      <w:pPr>
        <w:spacing w:before="4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Rayner, J. and Morgan, D., 2018. An empirical study of ‘green’workplace behaviours: Ability, motivation and opportunity. Asia Pacific Journal of Human Resources, 56(1), pp.56-78. </w:t>
      </w:r>
    </w:p>
    <w:p>
      <w:pPr>
        <w:spacing w:before="4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Reed, P., 2019. Learning and Motivation, Editorial. Learning and Motivation, 65, p.A1.</w:t>
      </w:r>
    </w:p>
    <w:p>
      <w:pPr>
        <w:spacing w:before="4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Rietsema, D., 2022. Proven Ways to Motivate Employees. [online] Matchr. </w:t>
      </w:r>
    </w:p>
    <w:p>
      <w:pPr>
        <w:spacing w:before="4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Scott, F.J., Connell, P., Thomson, L.A. and Willison, D., 2019. Empowering students by enhancing their employability skills. Journal of Further and Higher Education, 43(5), pp.692-707.</w:t>
      </w:r>
    </w:p>
    <w:p>
      <w:pPr>
        <w:spacing w:before="4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Suarta, I.M., Suwintana, I.K., Sudhana, I.F.P. and Hariyanti, N.K.D., 2018. Employability skills for entry level workers: a content analysis of job advertisements in Indonesia. Journal of Technical Education and Training, 10(2).</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