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6B0CA4" wp14:paraId="61C16A71" wp14:textId="080784C0">
      <w:pPr>
        <w:pStyle w:val="Heading1"/>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1D6D305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Student name: Jacqueline </w:t>
      </w:r>
      <w:r w:rsidRPr="6B6B0CA4" w:rsidR="1D6D305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Boahemaa</w:t>
      </w:r>
    </w:p>
    <w:p xmlns:wp14="http://schemas.microsoft.com/office/word/2010/wordml" w:rsidP="6B6B0CA4" wp14:paraId="49EAF9C5" wp14:textId="3BCB7C58">
      <w:pPr>
        <w:pStyle w:val="Normal"/>
        <w:spacing w:line="360" w:lineRule="auto"/>
        <w:rPr>
          <w:b w:val="1"/>
          <w:bCs w:val="1"/>
          <w:noProof w:val="0"/>
          <w:lang w:val="en-GB"/>
        </w:rPr>
      </w:pPr>
      <w:r w:rsidRPr="6B6B0CA4" w:rsidR="1D6D3057">
        <w:rPr>
          <w:b w:val="1"/>
          <w:bCs w:val="1"/>
          <w:noProof w:val="0"/>
          <w:lang w:val="en-GB"/>
        </w:rPr>
        <w:t xml:space="preserve">Student </w:t>
      </w:r>
      <w:r w:rsidRPr="6B6B0CA4" w:rsidR="1D6D3057">
        <w:rPr>
          <w:b w:val="1"/>
          <w:bCs w:val="1"/>
          <w:noProof w:val="0"/>
          <w:lang w:val="en-GB"/>
        </w:rPr>
        <w:t>number:</w:t>
      </w:r>
      <w:r w:rsidRPr="6B6B0CA4" w:rsidR="1D6D3057">
        <w:rPr>
          <w:b w:val="1"/>
          <w:bCs w:val="1"/>
          <w:noProof w:val="0"/>
          <w:lang w:val="en-GB"/>
        </w:rPr>
        <w:t xml:space="preserve"> 2423860</w:t>
      </w:r>
    </w:p>
    <w:p xmlns:wp14="http://schemas.microsoft.com/office/word/2010/wordml" w:rsidP="6B6B0CA4" wp14:paraId="3C3C23AD" wp14:textId="2DA544EC">
      <w:pPr>
        <w:pStyle w:val="Normal"/>
        <w:spacing w:line="360" w:lineRule="auto"/>
        <w:rPr>
          <w:b w:val="1"/>
          <w:bCs w:val="1"/>
          <w:noProof w:val="0"/>
          <w:lang w:val="en-GB"/>
        </w:rPr>
      </w:pPr>
      <w:r w:rsidRPr="6B6B0CA4" w:rsidR="1D6D3057">
        <w:rPr>
          <w:b w:val="1"/>
          <w:bCs w:val="1"/>
          <w:noProof w:val="0"/>
          <w:lang w:val="en-GB"/>
        </w:rPr>
        <w:t>Module code: BMP5016</w:t>
      </w:r>
    </w:p>
    <w:p xmlns:wp14="http://schemas.microsoft.com/office/word/2010/wordml" w:rsidP="6B6B0CA4" wp14:paraId="5DE6BF92" wp14:textId="1486B8A9">
      <w:pPr>
        <w:pStyle w:val="Normal"/>
        <w:spacing w:line="360" w:lineRule="auto"/>
        <w:rPr>
          <w:b w:val="1"/>
          <w:bCs w:val="1"/>
          <w:noProof w:val="0"/>
          <w:lang w:val="en-GB"/>
        </w:rPr>
      </w:pPr>
      <w:r w:rsidRPr="6B6B0CA4" w:rsidR="1D6D3057">
        <w:rPr>
          <w:b w:val="1"/>
          <w:bCs w:val="1"/>
          <w:noProof w:val="0"/>
          <w:lang w:val="en-GB"/>
        </w:rPr>
        <w:t xml:space="preserve">Module: Principles </w:t>
      </w:r>
      <w:r w:rsidRPr="6B6B0CA4" w:rsidR="1D6D3057">
        <w:rPr>
          <w:b w:val="1"/>
          <w:bCs w:val="1"/>
          <w:noProof w:val="0"/>
          <w:lang w:val="en-GB"/>
        </w:rPr>
        <w:t>of Health</w:t>
      </w:r>
      <w:r w:rsidRPr="6B6B0CA4" w:rsidR="1D6D3057">
        <w:rPr>
          <w:b w:val="1"/>
          <w:bCs w:val="1"/>
          <w:noProof w:val="0"/>
          <w:lang w:val="en-GB"/>
        </w:rPr>
        <w:t xml:space="preserve"> and Social care practice</w:t>
      </w:r>
    </w:p>
    <w:p xmlns:wp14="http://schemas.microsoft.com/office/word/2010/wordml" w:rsidP="6B6B0CA4" wp14:paraId="1A8D1D76" wp14:textId="20E0C966">
      <w:pPr>
        <w:pStyle w:val="Normal"/>
        <w:spacing w:line="360" w:lineRule="auto"/>
        <w:rPr>
          <w:b w:val="1"/>
          <w:bCs w:val="1"/>
          <w:noProof w:val="0"/>
          <w:lang w:val="en-GB"/>
        </w:rPr>
      </w:pPr>
      <w:r w:rsidRPr="6B6B0CA4" w:rsidR="1D6D3057">
        <w:rPr>
          <w:b w:val="1"/>
          <w:bCs w:val="1"/>
          <w:noProof w:val="0"/>
          <w:lang w:val="en-GB"/>
        </w:rPr>
        <w:t>Lecturer: Dr Mark Gallagher-Read</w:t>
      </w:r>
    </w:p>
    <w:p xmlns:wp14="http://schemas.microsoft.com/office/word/2010/wordml" w:rsidP="6B6B0CA4" wp14:paraId="77983373" wp14:textId="5753F1A7">
      <w:pPr>
        <w:pStyle w:val="Normal"/>
        <w:rPr>
          <w:noProof w:val="0"/>
          <w:lang w:val="en-GB"/>
        </w:rPr>
      </w:pPr>
    </w:p>
    <w:p xmlns:wp14="http://schemas.microsoft.com/office/word/2010/wordml" w:rsidP="6B6B0CA4" wp14:paraId="275C4019" wp14:textId="7ADE4929">
      <w:pPr>
        <w:pStyle w:val="Heading1"/>
        <w:spacing w:before="261" w:beforeAutospacing="off" w:after="261"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Evaluation of Person-Centred Care and Partnership Working in UK Health and Social Care</w:t>
      </w:r>
    </w:p>
    <w:p xmlns:wp14="http://schemas.microsoft.com/office/word/2010/wordml" w:rsidP="6B6B0CA4" wp14:paraId="59D6A1B6" wp14:textId="6738705E">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Introduction</w:t>
      </w:r>
    </w:p>
    <w:p xmlns:wp14="http://schemas.microsoft.com/office/word/2010/wordml" w:rsidP="6B6B0CA4" wp14:paraId="5B27535B" wp14:textId="3208366A">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is easy to agree with ideas like person-centred care and partnership working in theory. They sound reasonable, almost obvious.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 course,</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 should revolve around the individual and professionals should work together. But the moment you step into an actual care environment, especially something like a nursing home, those ideas become more complicated and harder to hold onto consistently.</w:t>
      </w:r>
    </w:p>
    <w:p xmlns:wp14="http://schemas.microsoft.com/office/word/2010/wordml" w:rsidP="6B6B0CA4" wp14:paraId="035EBE9D" wp14:textId="6D09374F">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is a gap, sometimes subtle, sometimes obvious, between what policy promises and what practice delivers. In the UK, frameworks such as the Care Act 2014 and the Health and Care Act 2022 place strong emphasis on individual wellbeing and integrated services. Yet everyday care is shaped by time pressures, staffing levels, and human judgment.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question is not whether person-centred care (PCC) and partnership working (PW) are valuable. They clearly are. The real question is how they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actually function</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together, and what gets lost along the way.</w:t>
      </w:r>
    </w:p>
    <w:p xmlns:wp14="http://schemas.microsoft.com/office/word/2010/wordml" w:rsidP="6B6B0CA4" wp14:paraId="674C7B3E" wp14:textId="283B50C6">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Person-Centred Care: Meaning, Benefits and Limitations</w:t>
      </w:r>
    </w:p>
    <w:p xmlns:wp14="http://schemas.microsoft.com/office/word/2010/wordml" w:rsidP="6B6B0CA4" wp14:paraId="57F24402" wp14:textId="3E0E3777">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Person-centred care is often described as care that respects and responds to the individual’s preferences,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needs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values, ensuring that this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guide</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 decisions (Coulter, 2016). That definition sounds clear enough, but in practice, it requires a shift in how care is delivered. It means moving away from seeing someone as “a dementia patient in room 12” and towards recognising them as a person with a life that existed long before care services became involved.</w:t>
      </w:r>
    </w:p>
    <w:p xmlns:wp14="http://schemas.microsoft.com/office/word/2010/wordml" w:rsidP="6B6B0CA4" wp14:paraId="4624D92A" wp14:textId="123BFAB0">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Angela Coulter argues that PCC involves treating patients as “equal partners” in their care, rather than passive recipients (Coulter, 2016). That idea of partnership is interesting because it blurs the line between PCC and broader collaborative care. It suggests that PCC is not just about kindness or dignity, but about power. Who makes decisions, and whose voice matters.</w:t>
      </w:r>
    </w:p>
    <w:p xmlns:wp14="http://schemas.microsoft.com/office/word/2010/wordml" w:rsidP="6B6B0CA4" wp14:paraId="1CDF4F72" wp14:textId="7A2EF1E1">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benefits of PCC are well documented. It is associated with improved well-being, stronger relationships between staff and service users, and even greater cost-effectiveness (Ekman et al., 2011). In dementia care, for instance, small adjustments based on personal history can significantly reduce distress (Edvardsson, Winblad and Sandman, 2008). A resident who becomes agitated in the morning may not be “difficult” at all. They may simply be reacting to a routine that conflicts with their lifelong habits.</w:t>
      </w:r>
    </w:p>
    <w:p xmlns:wp14="http://schemas.microsoft.com/office/word/2010/wordml" w:rsidP="6B6B0CA4" wp14:paraId="78C48381" wp14:textId="3BA0DC02">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Still, PCC is not without limitations. One issue is that it assumes time and flexibility, both of which are often in short supply. Care environments tend to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routines. Meals are served at set times. Medication rounds follow strict schedules. Trying to personalise everything can disrupt these systems.</w:t>
      </w:r>
    </w:p>
    <w:p xmlns:wp14="http://schemas.microsoft.com/office/word/2010/wordml" w:rsidP="6B6B0CA4" wp14:paraId="0957F938" wp14:textId="74E71A61">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is also a deeper tension. PCC promotes autonomy, but care providers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remain</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responsible for safety. These priorities do not always align. Allowing a resident to walk independently might respect their autonomy, but it also increases the risk of falls. Deciding where to draw the line is not straightforward. It requires judgement, and sometimes that judgement varies between staff.</w:t>
      </w:r>
    </w:p>
    <w:p xmlns:wp14="http://schemas.microsoft.com/office/word/2010/wordml" w:rsidP="6B6B0CA4" wp14:paraId="7CC55710" wp14:textId="5243BDFA">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Some researchers have described this as a “paradox” of person-centred care. While it aims to empower individuals, it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within structured systems that can limit genuine choice (Lloyd et al., 2017). In other words, PCC can be both transformative and constrained at the same time.</w:t>
      </w:r>
    </w:p>
    <w:p xmlns:wp14="http://schemas.microsoft.com/office/word/2010/wordml" w:rsidP="6B6B0CA4" wp14:paraId="31AF7FBF" wp14:textId="51498F4B">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Theoretical Foundations of Person-Centred Care</w:t>
      </w:r>
    </w:p>
    <w:p xmlns:wp14="http://schemas.microsoft.com/office/word/2010/wordml" w:rsidP="6B6B0CA4" wp14:paraId="0301CEA2" wp14:textId="196084B1">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Maslow’s hierarchy of needs is often used to explain PCC, and for good reason. It reminds us that human beings need more than physical care. They need belonging,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respect</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 sense of identity (Maslow, 1943).</w:t>
      </w:r>
    </w:p>
    <w:p xmlns:wp14="http://schemas.microsoft.com/office/word/2010/wordml" w:rsidP="6B6B0CA4" wp14:paraId="462833A3" wp14:textId="2E87829D">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a nursing home, it is easy to focus on the lower levels of the hierarchy. Ensuring residents are fed, clean and safe. These needs are essential, but they are not sufficient. A resident may be physically well cared for and still feel isolated or ignored. That gap matters.</w:t>
      </w:r>
    </w:p>
    <w:p xmlns:wp14="http://schemas.microsoft.com/office/word/2010/wordml" w:rsidP="6B6B0CA4" wp14:paraId="7C9E7D00" wp14:textId="085F6129">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At the same time, Maslow’s model has its limitations. It presents needs as a hierarchy, suggesting that basic needs must be met before higher ones become relevant. People often prioritise dignity or independence even when their physical needs are compromised. A resident might refuse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personal care because they value privacy more than convenience. Maslow does not fully capture that complexity.</w:t>
      </w:r>
    </w:p>
    <w:p xmlns:wp14="http://schemas.microsoft.com/office/word/2010/wordml" w:rsidP="6B6B0CA4" wp14:paraId="6CC91F96" wp14:textId="0BEF31BE">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Another useful perspective comes from person-centred care frameworks that emphasise co-production and shared decision-making (Lloyd et al., 2017). These approaches suggest that care should be created collaboratively rather than delivered to a passive individual. This aligns with the idea that people are not simply recipients of care but active participants in shaping it.</w:t>
      </w:r>
    </w:p>
    <w:p xmlns:wp14="http://schemas.microsoft.com/office/word/2010/wordml" w:rsidP="6B6B0CA4" wp14:paraId="6DD7C1E5" wp14:textId="112B1F43">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means, in practice, care planning must be informed by dialogue with residents, taking into consideration their preferences, life story, and personal values. These small actions can have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big impact</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residents’ wellbeing. However, this may not be easy to achieve in practice because of the constraints of time. This further supports the need to foster a culture of individuality and relationship-based care.</w:t>
      </w:r>
    </w:p>
    <w:p xmlns:wp14="http://schemas.microsoft.com/office/word/2010/wordml" w:rsidP="6B6B0CA4" wp14:paraId="3F309083" wp14:textId="0CC81AA7">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Ethical Foundations of Health and Social Care</w:t>
      </w:r>
    </w:p>
    <w:p xmlns:wp14="http://schemas.microsoft.com/office/word/2010/wordml" w:rsidP="6B6B0CA4" wp14:paraId="508BDE89" wp14:textId="60D4A660">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Ethics sits quietly beneath everything in health and social care. It is not always discussed openly, but it influences decisions constantly. The four principles outlined by Beauchamp and Childress (2019), autonomy, beneficence, non-maleficence and justice, provide a useful framework.</w:t>
      </w:r>
    </w:p>
    <w:p xmlns:wp14="http://schemas.microsoft.com/office/word/2010/wordml" w:rsidP="6B6B0CA4" wp14:paraId="0BDFB4B8" wp14:textId="226C3714">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Autonomy is particularly relevant in PCC. It involves respecting the individual’s right to make decisions about their own life. However, autonomy is not absolute. It must be balanced with beneficence, acting in the person’s best interest, and non-maleficence, avoiding harm.</w:t>
      </w:r>
    </w:p>
    <w:p xmlns:wp14="http://schemas.microsoft.com/office/word/2010/wordml" w:rsidP="6B6B0CA4" wp14:paraId="17CB1D26" wp14:textId="2E3FE1E4">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Mental Capacity Act 2005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legal guidance on how to navigate these situations. It emphasises that capacity should be assumed unless proven otherwise and that decisions must be made in the least restrictive way possible. This sounds clear, but in practice, capacity can fluctuate, especially in conditions like dementia.</w:t>
      </w:r>
    </w:p>
    <w:p xmlns:wp14="http://schemas.microsoft.com/office/word/2010/wordml" w:rsidP="6B6B0CA4" wp14:paraId="098496C0" wp14:textId="120CF87E">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Justice, the principle of fairness, introduces another layer of complexity. Resources in health and social care are limited. Providing highly individualised care for one person may reduce the time available for others. Ethical practice, therefore, involves difficult trade-offs.</w:t>
      </w:r>
    </w:p>
    <w:p xmlns:wp14="http://schemas.microsoft.com/office/word/2010/wordml" w:rsidP="6B6B0CA4" wp14:paraId="1AA0BE0F" wp14:textId="62658217">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What becomes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apparent</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that ethical decision-making is rarely about finding the “right” answer. It is more about weighing competing priorities and making the most reasonable decision in each context.</w:t>
      </w:r>
    </w:p>
    <w:p xmlns:wp14="http://schemas.microsoft.com/office/word/2010/wordml" w:rsidP="6B6B0CA4" wp14:paraId="0CF1D449" wp14:textId="47DB1927">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Moreover, ethical dilemmas may be subject to the viewpoints and philosophies of both the professional and the service user. These may not necessarily be the same. For instance, the user may choose to live in a way that the professional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deems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be risky. This may cause tension between the two. Additionally, the user may be from a cultural background that may affect the decision-making process. This would then add more complexity to the situation. Moreover, the multidisciplinary team may not agree about what would be the “best” course of action. This would then call for compromise. Therefore, reflective practice would be essential in such a situation. The professional would be able to evaluate the situation and think of alternative courses of action.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Ultimately, ethical</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practice is an ongoing process.</w:t>
      </w:r>
    </w:p>
    <w:p xmlns:wp14="http://schemas.microsoft.com/office/word/2010/wordml" w:rsidP="6B6B0CA4" wp14:paraId="19BFB886" wp14:textId="1C484BF9">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Evaluating Partnership Working</w:t>
      </w:r>
    </w:p>
    <w:p xmlns:wp14="http://schemas.microsoft.com/office/word/2010/wordml" w:rsidP="6B6B0CA4" wp14:paraId="0BA76BD0" wp14:textId="7E41FCE9">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Partnership working is often presented as a solution to fragmented care. The idea is simple. If professionals communicate and collaborate effectively, care becomes more coordinated and efficient.</w:t>
      </w:r>
    </w:p>
    <w:p xmlns:wp14="http://schemas.microsoft.com/office/word/2010/wordml" w:rsidP="6B6B0CA4" wp14:paraId="71A397A6" wp14:textId="78E787CA">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Health and Care Act 2022 formalise this approach through integrated care systems. These systems aim to bring together health services, social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care</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community organisations to improve outcomes (Department of Health and Social Care, 2022).</w:t>
      </w:r>
    </w:p>
    <w:p xmlns:wp14="http://schemas.microsoft.com/office/word/2010/wordml" w:rsidP="6B6B0CA4" wp14:paraId="079F9542" wp14:textId="0235D696">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Research supports the value of collaboration. It can improve patient outcomes, reduce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duplication</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enhance continuity of care (Reeves et al., 2017; Glasby and Dickinson, 2014). However, the reality is less straightforward.</w:t>
      </w:r>
    </w:p>
    <w:p xmlns:wp14="http://schemas.microsoft.com/office/word/2010/wordml" w:rsidP="6B6B0CA4" wp14:paraId="6F40D67F" wp14:textId="7285F7D4">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Partnership working depends heavily on communication, and communication is often where things break down. Different professionals may use different systems,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terminology</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or priorities. A healthcare assistant might notice a subtle change in a resident’s behaviour, but if that observation is not communicated effectively, it may be overlooked.</w:t>
      </w:r>
    </w:p>
    <w:p xmlns:wp14="http://schemas.microsoft.com/office/word/2010/wordml" w:rsidP="6B6B0CA4" wp14:paraId="4003E24E" wp14:textId="48938F8D">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There is also the issue of hierarchy. Some voices carry more weight than others. Doctors and nurses are often seen as decision-makers, while healthcare assistants may feel less confident contributing, despite having valuable insights.</w:t>
      </w:r>
    </w:p>
    <w:p xmlns:wp14="http://schemas.microsoft.com/office/word/2010/wordml" w:rsidP="6B6B0CA4" wp14:paraId="4DE3B374" wp14:textId="742357E7">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Interestingly, research suggests that partnership is not only formal but also informal. Relationships,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trust</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everyday interactions play a significant role in how collaboration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actually functions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(Wolf et al., 2017). This means that partnership working cannot be fully achieved through policy alone. It depends on culture.</w:t>
      </w:r>
    </w:p>
    <w:p xmlns:wp14="http://schemas.microsoft.com/office/word/2010/wordml" w:rsidP="6B6B0CA4" wp14:paraId="75770FFB" wp14:textId="11D8549F">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Partnership Working in Practice</w:t>
      </w:r>
    </w:p>
    <w:p xmlns:wp14="http://schemas.microsoft.com/office/word/2010/wordml" w:rsidP="6B6B0CA4" wp14:paraId="4E0E772E" wp14:textId="0D4C7AE2">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a nursing home setting, partnership working becomes visible in everyday situations. Consider a resident whose behaviour suddenly changes. They become withdrawn, eat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less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seem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generally low</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mood.</w:t>
      </w:r>
    </w:p>
    <w:p xmlns:wp14="http://schemas.microsoft.com/office/word/2010/wordml" w:rsidP="6B6B0CA4" wp14:paraId="714DAE28" wp14:textId="6819299E">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healthcare assistant might notice this first. That observation is passed to a nurse, who may arrange a GP review. Family members might then provide context,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perhaps the</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resident recently experienced a loss or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significant change</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6B6B0CA4" wp14:paraId="362059CF" wp14:textId="3BBBD1E9">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Each person contributes a piece of understanding. Without that collaboration, the situation might be misinterpreted as a purely clinical issue. Instead, it becomes clear that emotional factors are involved.</w:t>
      </w:r>
    </w:p>
    <w:p xmlns:wp14="http://schemas.microsoft.com/office/word/2010/wordml" w:rsidP="6B6B0CA4" wp14:paraId="3271CADB" wp14:textId="3F7484BE">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example highlights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important point</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Partnership working is not just about professionals. It includes families and, where possible, the individuals themselves. Their input often changes the direction of care.</w:t>
      </w:r>
    </w:p>
    <w:p xmlns:wp14="http://schemas.microsoft.com/office/word/2010/wordml" w:rsidP="6B6B0CA4" wp14:paraId="0B162D3E" wp14:textId="68BACDE7">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 these processes rely on effective communication. If information is delayed or incomplete, decisions may not reflect the full picture. In that sense, partnership working is both essential and fragile.</w:t>
      </w:r>
    </w:p>
    <w:p xmlns:wp14="http://schemas.microsoft.com/office/word/2010/wordml" w:rsidP="6B6B0CA4" wp14:paraId="17AFACEB" wp14:textId="56028CB0">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Policy and Legislation</w:t>
      </w:r>
    </w:p>
    <w:p xmlns:wp14="http://schemas.microsoft.com/office/word/2010/wordml" w:rsidP="6B6B0CA4" wp14:paraId="45AAB172" wp14:textId="2ACE1B47">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6B6B0CA4" w:rsidR="41C7E99F">
        <w:rPr>
          <w:rFonts w:ascii="Arial" w:hAnsi="Arial" w:eastAsia="Arial" w:cs="Arial" w:asciiTheme="minorAscii" w:hAnsiTheme="minorAscii" w:eastAsiaTheme="minorAscii" w:cstheme="minorAscii"/>
          <w:noProof w:val="0"/>
          <w:sz w:val="22"/>
          <w:szCs w:val="22"/>
          <w:lang w:val="en-GB"/>
        </w:rPr>
        <w:t>The UK has significant legislation in place in support of both PCC and partnership working. For instance, the Care Act 2014 has placed wellbeing at the heart of care delivery, and the Health and Care Act 2022 has encouraged integration in service delivery.</w:t>
      </w:r>
    </w:p>
    <w:p xmlns:wp14="http://schemas.microsoft.com/office/word/2010/wordml" w:rsidP="6B6B0CA4" wp14:paraId="247259D7" wp14:textId="2907A9CE">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6B6B0CA4" w:rsidR="41C7E99F">
        <w:rPr>
          <w:rFonts w:ascii="Arial" w:hAnsi="Arial" w:eastAsia="Arial" w:cs="Arial" w:asciiTheme="minorAscii" w:hAnsiTheme="minorAscii" w:eastAsiaTheme="minorAscii" w:cstheme="minorAscii"/>
          <w:noProof w:val="0"/>
          <w:sz w:val="22"/>
          <w:szCs w:val="22"/>
          <w:lang w:val="en-GB"/>
        </w:rPr>
        <w:t>The Mental Capacity Act 2005 has ensured that there is consideration of ethical principles in decision-making processes, especially in cases involving capacity.</w:t>
      </w:r>
    </w:p>
    <w:p xmlns:wp14="http://schemas.microsoft.com/office/word/2010/wordml" w:rsidP="6B6B0CA4" wp14:paraId="79F46FE5" wp14:textId="64D6762D">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6B6B0CA4" w:rsidR="41C7E99F">
        <w:rPr>
          <w:rFonts w:ascii="Arial" w:hAnsi="Arial" w:eastAsia="Arial" w:cs="Arial" w:asciiTheme="minorAscii" w:hAnsiTheme="minorAscii" w:eastAsiaTheme="minorAscii" w:cstheme="minorAscii"/>
          <w:noProof w:val="0"/>
          <w:sz w:val="22"/>
          <w:szCs w:val="22"/>
          <w:lang w:val="en-GB"/>
        </w:rPr>
        <w:t xml:space="preserve">The above frameworks have provided a robust foundation for the delivery of care. Nevertheless, it is important to note that even with the presence of supportive legislation, its implementation in practice is still questionable. This has been </w:t>
      </w:r>
      <w:r w:rsidRPr="6B6B0CA4" w:rsidR="41C7E99F">
        <w:rPr>
          <w:rFonts w:ascii="Arial" w:hAnsi="Arial" w:eastAsia="Arial" w:cs="Arial" w:asciiTheme="minorAscii" w:hAnsiTheme="minorAscii" w:eastAsiaTheme="minorAscii" w:cstheme="minorAscii"/>
          <w:noProof w:val="0"/>
          <w:sz w:val="22"/>
          <w:szCs w:val="22"/>
          <w:lang w:val="en-GB"/>
        </w:rPr>
        <w:t>evident</w:t>
      </w:r>
      <w:r w:rsidRPr="6B6B0CA4" w:rsidR="41C7E99F">
        <w:rPr>
          <w:rFonts w:ascii="Arial" w:hAnsi="Arial" w:eastAsia="Arial" w:cs="Arial" w:asciiTheme="minorAscii" w:hAnsiTheme="minorAscii" w:eastAsiaTheme="minorAscii" w:cstheme="minorAscii"/>
          <w:noProof w:val="0"/>
          <w:sz w:val="22"/>
          <w:szCs w:val="22"/>
          <w:lang w:val="en-GB"/>
        </w:rPr>
        <w:t xml:space="preserve"> in various settings where there has been a disconnect between the legislative framework and its application in real-life situations. For instance, there have been situations where staff have acknowledged the legislative framework in place but have found it hard to apply it in situations due to various pressures. For instance, there has been a lack of time for communication, which is significant in the delivery of person-centred care. </w:t>
      </w:r>
    </w:p>
    <w:p xmlns:wp14="http://schemas.microsoft.com/office/word/2010/wordml" w:rsidP="6B6B0CA4" wp14:paraId="0F203513" wp14:textId="3DB22102">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6B6B0CA4" w:rsidR="41C7E99F">
        <w:rPr>
          <w:rFonts w:ascii="Arial" w:hAnsi="Arial" w:eastAsia="Arial" w:cs="Arial" w:asciiTheme="minorAscii" w:hAnsiTheme="minorAscii" w:eastAsiaTheme="minorAscii" w:cstheme="minorAscii"/>
          <w:noProof w:val="0"/>
          <w:sz w:val="22"/>
          <w:szCs w:val="22"/>
          <w:lang w:val="en-GB"/>
        </w:rPr>
        <w:t xml:space="preserve">In addition, there have been situations where partnership working has been </w:t>
      </w:r>
      <w:r w:rsidRPr="6B6B0CA4" w:rsidR="41C7E99F">
        <w:rPr>
          <w:rFonts w:ascii="Arial" w:hAnsi="Arial" w:eastAsia="Arial" w:cs="Arial" w:asciiTheme="minorAscii" w:hAnsiTheme="minorAscii" w:eastAsiaTheme="minorAscii" w:cstheme="minorAscii"/>
          <w:noProof w:val="0"/>
          <w:sz w:val="22"/>
          <w:szCs w:val="22"/>
          <w:lang w:val="en-GB"/>
        </w:rPr>
        <w:t>impacted</w:t>
      </w:r>
      <w:r w:rsidRPr="6B6B0CA4" w:rsidR="41C7E99F">
        <w:rPr>
          <w:rFonts w:ascii="Arial" w:hAnsi="Arial" w:eastAsia="Arial" w:cs="Arial" w:asciiTheme="minorAscii" w:hAnsiTheme="minorAscii" w:eastAsiaTheme="minorAscii" w:cstheme="minorAscii"/>
          <w:noProof w:val="0"/>
          <w:sz w:val="22"/>
          <w:szCs w:val="22"/>
          <w:lang w:val="en-GB"/>
        </w:rPr>
        <w:t xml:space="preserve"> by poor information-sharing mechanisms and professional roles, leading to fragmented care for service users. As a result, there has been a disconnect in the quality of service being provided to service users. Therefore, it is essential for organizations to consider </w:t>
      </w:r>
      <w:r w:rsidRPr="6B6B0CA4" w:rsidR="41C7E99F">
        <w:rPr>
          <w:rFonts w:ascii="Arial" w:hAnsi="Arial" w:eastAsia="Arial" w:cs="Arial" w:asciiTheme="minorAscii" w:hAnsiTheme="minorAscii" w:eastAsiaTheme="minorAscii" w:cstheme="minorAscii"/>
          <w:noProof w:val="0"/>
          <w:sz w:val="22"/>
          <w:szCs w:val="22"/>
          <w:lang w:val="en-GB"/>
        </w:rPr>
        <w:t>various ways</w:t>
      </w:r>
      <w:r w:rsidRPr="6B6B0CA4" w:rsidR="41C7E99F">
        <w:rPr>
          <w:rFonts w:ascii="Arial" w:hAnsi="Arial" w:eastAsia="Arial" w:cs="Arial" w:asciiTheme="minorAscii" w:hAnsiTheme="minorAscii" w:eastAsiaTheme="minorAscii" w:cstheme="minorAscii"/>
          <w:noProof w:val="0"/>
          <w:sz w:val="22"/>
          <w:szCs w:val="22"/>
          <w:lang w:val="en-GB"/>
        </w:rPr>
        <w:t xml:space="preserve"> of addressing the challenges facing the delivery of quality care. For instance, there is a need for continuous training, leadership, and a culture that values partnership working. In addition, it is crucial for organizations to consider </w:t>
      </w:r>
      <w:r w:rsidRPr="6B6B0CA4" w:rsidR="41C7E99F">
        <w:rPr>
          <w:rFonts w:ascii="Arial" w:hAnsi="Arial" w:eastAsia="Arial" w:cs="Arial" w:asciiTheme="minorAscii" w:hAnsiTheme="minorAscii" w:eastAsiaTheme="minorAscii" w:cstheme="minorAscii"/>
          <w:noProof w:val="0"/>
          <w:sz w:val="22"/>
          <w:szCs w:val="22"/>
          <w:lang w:val="en-GB"/>
        </w:rPr>
        <w:t>monitoring</w:t>
      </w:r>
      <w:r w:rsidRPr="6B6B0CA4" w:rsidR="41C7E99F">
        <w:rPr>
          <w:rFonts w:ascii="Arial" w:hAnsi="Arial" w:eastAsia="Arial" w:cs="Arial" w:asciiTheme="minorAscii" w:hAnsiTheme="minorAscii" w:eastAsiaTheme="minorAscii" w:cstheme="minorAscii"/>
          <w:noProof w:val="0"/>
          <w:sz w:val="22"/>
          <w:szCs w:val="22"/>
          <w:lang w:val="en-GB"/>
        </w:rPr>
        <w:t xml:space="preserve"> and evaluating the application of the principles in the legislative framework to ensure they are not only understood but also applied in real-life situations.</w:t>
      </w:r>
    </w:p>
    <w:p xmlns:wp14="http://schemas.microsoft.com/office/word/2010/wordml" w:rsidP="6B6B0CA4" wp14:paraId="36277E09" wp14:textId="0CC91218">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Recommendations for Future Development</w:t>
      </w:r>
    </w:p>
    <w:p xmlns:wp14="http://schemas.microsoft.com/office/word/2010/wordml" w:rsidP="6B6B0CA4" wp14:paraId="2492A07F" wp14:textId="00EC7FFD">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Improving PCC and partnership working requires more than policy adjustments. It requires practical changes.</w:t>
      </w:r>
    </w:p>
    <w:p xmlns:wp14="http://schemas.microsoft.com/office/word/2010/wordml" w:rsidP="6B6B0CA4" wp14:paraId="75BD22BE" wp14:textId="7ACFBE66">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Staffing is a key issue. Without sufficient staff, PCC becomes difficult to sustain. Time is needed for meaningful interaction, and that time must be protected.</w:t>
      </w:r>
    </w:p>
    <w:p xmlns:wp14="http://schemas.microsoft.com/office/word/2010/wordml" w:rsidP="6B6B0CA4" wp14:paraId="6B57726A" wp14:textId="1D9E859A">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Training should also focus more on communication and ethical reasoning. Technical skills are important, but they are not enough. Staff need confidence to engage in collaborative decision-making.</w:t>
      </w:r>
    </w:p>
    <w:p xmlns:wp14="http://schemas.microsoft.com/office/word/2010/wordml" w:rsidP="6B6B0CA4" wp14:paraId="30D76353" wp14:textId="489A82AF">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Digital systems could improve information sharing, although they must be designed carefully to avoid becoming another barrier.</w:t>
      </w:r>
    </w:p>
    <w:p xmlns:wp14="http://schemas.microsoft.com/office/word/2010/wordml" w:rsidP="6B6B0CA4" wp14:paraId="3BFB9004" wp14:textId="35D44182">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Finally, the role of healthcare assistants should be recognised more fully. They often have the most direct contact with service users and can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valuable insights. Strengthening their role within teams could improve both PCC and partnership working.</w:t>
      </w:r>
    </w:p>
    <w:p xmlns:wp14="http://schemas.microsoft.com/office/word/2010/wordml" w:rsidP="6B6B0CA4" wp14:paraId="06F2683D" wp14:textId="337D2F80">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Conclusion</w:t>
      </w:r>
    </w:p>
    <w:p xmlns:wp14="http://schemas.microsoft.com/office/word/2010/wordml" w:rsidP="6B6B0CA4" wp14:paraId="5CFEDD3A" wp14:textId="653190DC">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Person-centred care and partnership working are central to health and social care in the UK. They are supported by legislation, reinforced by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policy</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widely accepted in principle.</w:t>
      </w:r>
    </w:p>
    <w:p xmlns:wp14="http://schemas.microsoft.com/office/word/2010/wordml" w:rsidP="6B6B0CA4" wp14:paraId="025FBEAF" wp14:textId="69164691">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Yet their implementation is shaped by real-world constraints. Time,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resources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organisational culture all influence how these principles are applied.</w:t>
      </w:r>
    </w:p>
    <w:p xmlns:wp14="http://schemas.microsoft.com/office/word/2010/wordml" w:rsidP="6B6B0CA4" wp14:paraId="1F0B6652" wp14:textId="3B4A179E">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What becomes clear is that PCC and partnership working are not separate ideas. They depend on each other. Person-centred care requires collaboration, and partnership working is most effective when it focuses on the individual.</w:t>
      </w:r>
    </w:p>
    <w:p xmlns:wp14="http://schemas.microsoft.com/office/word/2010/wordml" w:rsidP="6B6B0CA4" wp14:paraId="369A9AF3" wp14:textId="2D1A1FD6">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Neither approach is perfect. Both involve challenges and compromises. </w:t>
      </w:r>
    </w:p>
    <w:p xmlns:wp14="http://schemas.microsoft.com/office/word/2010/wordml" w:rsidP="6B6B0CA4" wp14:paraId="5FB88368" wp14:textId="6E00E425">
      <w:pPr>
        <w:pStyle w:val="Heading2"/>
        <w:spacing w:before="243" w:beforeAutospacing="off" w:after="243"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Reference List</w:t>
      </w:r>
    </w:p>
    <w:p xmlns:wp14="http://schemas.microsoft.com/office/word/2010/wordml" w:rsidP="6B6B0CA4" wp14:paraId="1B45FDE3" wp14:textId="26940941">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Beauchamp, T.L. and Childress, J.F. (2019)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Principles of Biomedical Ethics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Oxford: Oxford University Press.</w:t>
      </w:r>
    </w:p>
    <w:p xmlns:wp14="http://schemas.microsoft.com/office/word/2010/wordml" w:rsidP="6B6B0CA4" wp14:paraId="5ED5BE25" wp14:textId="00344466">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Care Act 2014. London: The Stationery Office.</w:t>
      </w:r>
    </w:p>
    <w:p xmlns:wp14="http://schemas.microsoft.com/office/word/2010/wordml" w:rsidP="6B6B0CA4" wp14:paraId="20E29C70" wp14:textId="299CDA43">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Coulter, A. (2016) ‘Person-centred care: what is it?’,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Future Hospital Journal</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3(2), pp. 114–116.</w:t>
      </w:r>
    </w:p>
    <w:p xmlns:wp14="http://schemas.microsoft.com/office/word/2010/wordml" w:rsidP="6B6B0CA4" wp14:paraId="551BA89C" wp14:textId="4A242323">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Department of Health and Social Care (2022)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Health and Care Act 2022</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London: DHSC.</w:t>
      </w:r>
    </w:p>
    <w:p xmlns:wp14="http://schemas.microsoft.com/office/word/2010/wordml" w:rsidP="6B6B0CA4" wp14:paraId="6E2BDF26" wp14:textId="556AFFEF">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Edvardsson, D., Winblad, B. and Sandman, P.O. (2008) ‘Person-centred care of people with dementia’,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Clinical Nursing</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17(4), pp. 531–538.</w:t>
      </w:r>
    </w:p>
    <w:p xmlns:wp14="http://schemas.microsoft.com/office/word/2010/wordml" w:rsidP="6B6B0CA4" wp14:paraId="05546639" wp14:textId="3042AB0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Ekman, I. et al. (2011) ‘Person-centred care—ready for prime time’,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European Journal of Cardiovascular Nursing</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10(4), pp. 248–251.</w:t>
      </w:r>
    </w:p>
    <w:p xmlns:wp14="http://schemas.microsoft.com/office/word/2010/wordml" w:rsidP="6B6B0CA4" wp14:paraId="3314699F" wp14:textId="52CE9D94">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Glasby, J. and Dickinson, H. (2014)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Partnership Working in Health and Social Care</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Bristol: Policy Press.</w:t>
      </w:r>
    </w:p>
    <w:p xmlns:wp14="http://schemas.microsoft.com/office/word/2010/wordml" w:rsidP="6B6B0CA4" wp14:paraId="28875B18" wp14:textId="4F215536">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Lloyd, H. et al. (2017) ‘Person-centred coordinated care’,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Health Research Policy and Systems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15.</w:t>
      </w:r>
    </w:p>
    <w:p xmlns:wp14="http://schemas.microsoft.com/office/word/2010/wordml" w:rsidP="6B6B0CA4" wp14:paraId="2CEF0AA7" wp14:textId="7E56CFB8">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Manley, </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McCormack, B. (2008) ‘Person-centred care: Theory into practice’,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Nursing Standard</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22(34), pp. 35–40.</w:t>
      </w:r>
    </w:p>
    <w:p xmlns:wp14="http://schemas.microsoft.com/office/word/2010/wordml" w:rsidP="6B6B0CA4" wp14:paraId="17DF991F" wp14:textId="11C376C0">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Maslow, A.H. (1943) ‘A theory of human motivation’,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Psychological Review</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50(4), pp. 370–396.</w:t>
      </w:r>
    </w:p>
    <w:p xmlns:wp14="http://schemas.microsoft.com/office/word/2010/wordml" w:rsidP="6B6B0CA4" wp14:paraId="4709B1FD" wp14:textId="64CE0177">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Mental Capacity Act 2005. London: The Stationery Office.</w:t>
      </w:r>
    </w:p>
    <w:p xmlns:wp14="http://schemas.microsoft.com/office/word/2010/wordml" w:rsidP="6B6B0CA4" wp14:paraId="12F0A215" wp14:textId="29C2C7B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Moore, H.L. et al. (2023) ‘Person-centred care in UK training’,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BMC Medical Education</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23.</w:t>
      </w:r>
    </w:p>
    <w:p xmlns:wp14="http://schemas.microsoft.com/office/word/2010/wordml" w:rsidP="6B6B0CA4" wp14:paraId="60BDCB53" wp14:textId="3B86F25A">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NICE (2018)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Dementia: Assessment, Management and Support (NG97)</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London: NICE.</w:t>
      </w:r>
    </w:p>
    <w:p xmlns:wp14="http://schemas.microsoft.com/office/word/2010/wordml" w:rsidP="6B6B0CA4" wp14:paraId="26EC4746" wp14:textId="0CE29C75">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England (2022)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Integrated Care Systems Framework</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London: NHS England.</w:t>
      </w:r>
    </w:p>
    <w:p xmlns:wp14="http://schemas.microsoft.com/office/word/2010/wordml" w:rsidP="6B6B0CA4" wp14:paraId="313DCE55" wp14:textId="11A0764E">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Reeves, S. et al. (2017) ‘Interprofessional collaboration’,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Cochrane Database of Systematic Reviews</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6.</w:t>
      </w:r>
    </w:p>
    <w:p xmlns:wp14="http://schemas.microsoft.com/office/word/2010/wordml" w:rsidP="6B6B0CA4" wp14:paraId="441EE672" wp14:textId="079AEC7B">
      <w:pPr>
        <w:spacing w:before="195" w:beforeAutospacing="off" w:after="195"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Wolf, A. et al. (2017) ‘The realities of partnership in person-centred care’, </w:t>
      </w:r>
      <w:r w:rsidRPr="6B6B0CA4" w:rsidR="41C7E99F">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BMJ Open</w:t>
      </w:r>
      <w:r w:rsidRPr="6B6B0CA4" w:rsidR="41C7E9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7(7).</w:t>
      </w:r>
    </w:p>
    <w:p xmlns:wp14="http://schemas.microsoft.com/office/word/2010/wordml" wp14:paraId="5E5787A5" wp14:textId="517AAE68"/>
    <w:sectPr>
      <w:pgSz w:w="11906" w:h="16838" w:orient="portrait"/>
      <w:pgMar w:top="1440" w:right="1440" w:bottom="1440" w:left="1440" w:header="720" w:footer="720" w:gutter="0"/>
      <w:cols w:space="720"/>
      <w:docGrid w:linePitch="360"/>
      <w:headerReference w:type="default" r:id="Rf65ba1d5e05a47c8"/>
      <w:footerReference w:type="default" r:id="R6ac954660a3449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6B0CA4" w:rsidTr="6B6B0CA4" w14:paraId="3327CA3F">
      <w:trPr>
        <w:trHeight w:val="300"/>
      </w:trPr>
      <w:tc>
        <w:tcPr>
          <w:tcW w:w="3005" w:type="dxa"/>
          <w:tcMar/>
        </w:tcPr>
        <w:p w:rsidR="6B6B0CA4" w:rsidP="6B6B0CA4" w:rsidRDefault="6B6B0CA4" w14:paraId="261C75AF" w14:textId="1FA149DE">
          <w:pPr>
            <w:pStyle w:val="Header"/>
            <w:bidi w:val="0"/>
            <w:ind w:left="-115"/>
            <w:jc w:val="left"/>
          </w:pPr>
        </w:p>
      </w:tc>
      <w:tc>
        <w:tcPr>
          <w:tcW w:w="3005" w:type="dxa"/>
          <w:tcMar/>
        </w:tcPr>
        <w:p w:rsidR="6B6B0CA4" w:rsidP="6B6B0CA4" w:rsidRDefault="6B6B0CA4" w14:paraId="57AC43DE" w14:textId="43519F18">
          <w:pPr>
            <w:pStyle w:val="Header"/>
            <w:bidi w:val="0"/>
            <w:jc w:val="center"/>
          </w:pPr>
        </w:p>
      </w:tc>
      <w:tc>
        <w:tcPr>
          <w:tcW w:w="3005" w:type="dxa"/>
          <w:tcMar/>
        </w:tcPr>
        <w:p w:rsidR="6B6B0CA4" w:rsidP="6B6B0CA4" w:rsidRDefault="6B6B0CA4" w14:paraId="5C9F0A68" w14:textId="6A6C7DEF">
          <w:pPr>
            <w:pStyle w:val="Header"/>
            <w:bidi w:val="0"/>
            <w:ind w:right="-115"/>
            <w:jc w:val="right"/>
          </w:pPr>
        </w:p>
      </w:tc>
    </w:tr>
  </w:tbl>
  <w:p w:rsidR="6B6B0CA4" w:rsidRDefault="6B6B0CA4" w14:paraId="3CC8F3CD" w14:textId="22316521"/>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6B0CA4" w:rsidTr="6B6B0CA4" w14:paraId="7BF310DE">
      <w:trPr>
        <w:trHeight w:val="300"/>
      </w:trPr>
      <w:tc>
        <w:tcPr>
          <w:tcW w:w="3005" w:type="dxa"/>
          <w:tcMar/>
        </w:tcPr>
        <w:p w:rsidR="6B6B0CA4" w:rsidP="6B6B0CA4" w:rsidRDefault="6B6B0CA4" w14:paraId="6206074D" w14:textId="15F53CA1">
          <w:pPr>
            <w:pStyle w:val="Header"/>
            <w:bidi w:val="0"/>
            <w:ind w:left="-115"/>
            <w:jc w:val="left"/>
          </w:pPr>
        </w:p>
      </w:tc>
      <w:tc>
        <w:tcPr>
          <w:tcW w:w="3005" w:type="dxa"/>
          <w:tcMar/>
        </w:tcPr>
        <w:p w:rsidR="6B6B0CA4" w:rsidP="6B6B0CA4" w:rsidRDefault="6B6B0CA4" w14:paraId="53FDD4AE" w14:textId="588B4E29">
          <w:pPr>
            <w:pStyle w:val="Header"/>
            <w:bidi w:val="0"/>
            <w:jc w:val="center"/>
          </w:pPr>
        </w:p>
      </w:tc>
      <w:tc>
        <w:tcPr>
          <w:tcW w:w="3005" w:type="dxa"/>
          <w:tcMar/>
        </w:tcPr>
        <w:p w:rsidR="6B6B0CA4" w:rsidP="6B6B0CA4" w:rsidRDefault="6B6B0CA4" w14:paraId="17BAB2DC" w14:textId="1D417FD1">
          <w:pPr>
            <w:pStyle w:val="Header"/>
            <w:bidi w:val="0"/>
            <w:ind w:right="-115"/>
            <w:jc w:val="right"/>
          </w:pPr>
        </w:p>
      </w:tc>
    </w:tr>
  </w:tbl>
  <w:p w:rsidR="6B6B0CA4" w:rsidP="6B6B0CA4" w:rsidRDefault="6B6B0CA4" w14:paraId="02BFBF71" w14:textId="1572E799">
    <w:pPr>
      <w:pStyle w:val="Header"/>
      <w:bidi w:val="0"/>
    </w:pPr>
  </w:p>
</w:hdr>
</file>

<file path=word/intelligence2.xml><?xml version="1.0" encoding="utf-8"?>
<int2:intelligence xmlns:int2="http://schemas.microsoft.com/office/intelligence/2020/intelligence">
  <int2:observations>
    <int2:textHash int2:hashCode="dQTh4s02yDfgYD" int2:id="Cb8WaYai">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A6EADE"/>
    <w:rsid w:val="017E9AA3"/>
    <w:rsid w:val="056D2AD7"/>
    <w:rsid w:val="15341EC6"/>
    <w:rsid w:val="1D6D3057"/>
    <w:rsid w:val="21A6EADE"/>
    <w:rsid w:val="23D677F3"/>
    <w:rsid w:val="2D9F221F"/>
    <w:rsid w:val="3275B907"/>
    <w:rsid w:val="41C7E99F"/>
    <w:rsid w:val="434C4208"/>
    <w:rsid w:val="4D674A78"/>
    <w:rsid w:val="535EC012"/>
    <w:rsid w:val="583C6163"/>
    <w:rsid w:val="6B6B0CA4"/>
    <w:rsid w:val="6C39C922"/>
    <w:rsid w:val="6FE0F1C0"/>
    <w:rsid w:val="77641D8B"/>
    <w:rsid w:val="7A459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6EADE"/>
  <w15:chartTrackingRefBased/>
  <w15:docId w15:val="{3DAD06A2-5F08-4338-BB54-70FE8601BF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B6B0CA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65ba1d5e05a47c8" /><Relationship Type="http://schemas.openxmlformats.org/officeDocument/2006/relationships/footer" Target="/word/footer.xml" Id="R6ac954660a3449b6" /><Relationship Type="http://schemas.microsoft.com/office/2020/10/relationships/intelligence" Target="/word/intelligence2.xml" Id="R99ce4514dd6542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Jacqueline Boahemaa</dc:creator>
  <keywords/>
  <dc:description/>
  <lastModifiedBy>Jacqueline Boahemaa</lastModifiedBy>
  <revision>2</revision>
  <dcterms:created xsi:type="dcterms:W3CDTF">2026-04-01T23:08:28.1799080Z</dcterms:created>
  <dcterms:modified xsi:type="dcterms:W3CDTF">2026-04-02T11:06:18.7537891Z</dcterms:modified>
</coreProperties>
</file>