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CA531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106D2D9E" w14:textId="77777777" w:rsidR="007600AF" w:rsidRPr="006C0F0C" w:rsidRDefault="00CD33A8" w:rsidP="007600AF">
      <w:pPr>
        <w:rPr>
          <w:rFonts w:ascii="Arial" w:hAnsi="Arial" w:cs="Aria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7600AF" w:rsidRPr="0048424D">
        <w:rPr>
          <w:rFonts w:ascii="Arial" w:hAnsi="Arial" w:cs="Arial"/>
          <w:sz w:val="28"/>
          <w:szCs w:val="28"/>
        </w:rPr>
        <w:t>Introduction to Public Health</w:t>
      </w:r>
    </w:p>
    <w:p w14:paraId="0ECA8DF6" w14:textId="77777777" w:rsidR="009C1A9F" w:rsidRPr="006C0F0C" w:rsidRDefault="00CD33A8" w:rsidP="009C1A9F">
      <w:pPr>
        <w:rPr>
          <w:rFonts w:ascii="Arial" w:hAnsi="Arial" w:cs="Arial"/>
        </w:rPr>
      </w:pPr>
      <w:r w:rsidRPr="00CD33A8">
        <w:rPr>
          <w:rFonts w:ascii="Arial" w:hAnsi="Arial" w:cs="Arial"/>
          <w:b/>
          <w:bCs/>
          <w:sz w:val="28"/>
          <w:szCs w:val="28"/>
        </w:rPr>
        <w:t>Module code</w:t>
      </w:r>
      <w:r w:rsidRPr="00CD33A8">
        <w:rPr>
          <w:rFonts w:ascii="Arial" w:hAnsi="Arial" w:cs="Arial"/>
          <w:sz w:val="28"/>
          <w:szCs w:val="28"/>
        </w:rPr>
        <w:t>:</w:t>
      </w:r>
      <w:r w:rsidR="00595791">
        <w:rPr>
          <w:rFonts w:ascii="Arial" w:hAnsi="Arial" w:cs="Arial"/>
          <w:sz w:val="28"/>
          <w:szCs w:val="28"/>
        </w:rPr>
        <w:t xml:space="preserve"> </w:t>
      </w:r>
      <w:r w:rsidR="009C1A9F" w:rsidRPr="0048424D">
        <w:rPr>
          <w:rFonts w:ascii="Arial" w:hAnsi="Arial" w:cs="Arial"/>
          <w:sz w:val="28"/>
          <w:szCs w:val="28"/>
        </w:rPr>
        <w:t>LCHS4008_LON</w:t>
      </w:r>
    </w:p>
    <w:p w14:paraId="1F158E6A" w14:textId="77777777" w:rsidR="0048424D" w:rsidRPr="0048424D" w:rsidRDefault="00074402" w:rsidP="0055290A">
      <w:pPr>
        <w:tabs>
          <w:tab w:val="left" w:pos="6540"/>
        </w:tabs>
        <w:spacing w:line="360" w:lineRule="auto"/>
        <w:rPr>
          <w:rFonts w:ascii="Arial" w:hAnsi="Arial" w:cs="Arial"/>
          <w:szCs w:val="24"/>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FA3B83" w:rsidRPr="00FA3B83">
        <w:t xml:space="preserve"> </w:t>
      </w:r>
      <w:r w:rsidR="00FA3B83" w:rsidRPr="0048424D">
        <w:rPr>
          <w:rFonts w:ascii="Arial" w:hAnsi="Arial" w:cs="Arial"/>
          <w:sz w:val="28"/>
          <w:szCs w:val="28"/>
          <w:lang w:val="nl-NL"/>
        </w:rPr>
        <w:t>Stefana Ioana Ion</w:t>
      </w:r>
      <w:r w:rsidR="0048424D" w:rsidRPr="0048424D">
        <w:rPr>
          <w:rFonts w:ascii="Arial" w:hAnsi="Arial" w:cs="Arial"/>
          <w:sz w:val="28"/>
          <w:szCs w:val="28"/>
          <w:lang w:val="nl-NL"/>
        </w:rPr>
        <w:t xml:space="preserve"> </w:t>
      </w:r>
    </w:p>
    <w:p w14:paraId="52865ABB" w14:textId="38FEB940" w:rsidR="0055290A" w:rsidRDefault="00074402" w:rsidP="0055290A">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FA3B83">
        <w:rPr>
          <w:rFonts w:ascii="Arial" w:hAnsi="Arial" w:cs="Arial"/>
          <w:sz w:val="28"/>
          <w:szCs w:val="28"/>
          <w:lang w:val="nl-NL"/>
        </w:rPr>
        <w:t xml:space="preserve"> </w:t>
      </w:r>
      <w:r w:rsidR="00FA3B83" w:rsidRPr="0048424D">
        <w:rPr>
          <w:rFonts w:ascii="Arial" w:hAnsi="Arial" w:cs="Arial"/>
          <w:sz w:val="28"/>
          <w:szCs w:val="28"/>
          <w:lang w:val="nl-NL"/>
        </w:rPr>
        <w:t>2509671</w:t>
      </w:r>
      <w:r w:rsidR="0055290A" w:rsidRPr="0048424D">
        <w:rPr>
          <w:rFonts w:ascii="Arial" w:hAnsi="Arial" w:cs="Arial"/>
          <w:sz w:val="28"/>
          <w:szCs w:val="28"/>
          <w:lang w:val="nl-NL"/>
        </w:rPr>
        <w:t xml:space="preserve"> </w:t>
      </w:r>
    </w:p>
    <w:p w14:paraId="7EDDA885" w14:textId="0753997E" w:rsidR="0055290A" w:rsidRPr="0055290A" w:rsidRDefault="008E3943" w:rsidP="0055290A">
      <w:pPr>
        <w:tabs>
          <w:tab w:val="left" w:pos="6540"/>
        </w:tabs>
        <w:spacing w:line="360" w:lineRule="auto"/>
        <w:rPr>
          <w:rFonts w:ascii="Arial" w:hAnsi="Arial" w:cs="Arial"/>
          <w:sz w:val="28"/>
          <w:szCs w:val="28"/>
          <w:lang w:val="nl-NL"/>
        </w:rPr>
      </w:pPr>
      <w:r>
        <w:rPr>
          <w:rFonts w:ascii="Arial" w:hAnsi="Arial" w:cs="Arial"/>
          <w:b/>
          <w:bCs/>
          <w:sz w:val="28"/>
          <w:szCs w:val="28"/>
        </w:rPr>
        <w:t>Lecturer’s name</w:t>
      </w:r>
      <w:r w:rsidR="00074402" w:rsidRPr="00CD33A8">
        <w:rPr>
          <w:rFonts w:ascii="Arial" w:hAnsi="Arial" w:cs="Arial"/>
          <w:sz w:val="28"/>
          <w:szCs w:val="28"/>
        </w:rPr>
        <w:t>:</w:t>
      </w:r>
      <w:r w:rsidR="009C1A9F">
        <w:rPr>
          <w:rFonts w:ascii="Arial" w:hAnsi="Arial" w:cs="Arial"/>
          <w:sz w:val="28"/>
          <w:szCs w:val="28"/>
        </w:rPr>
        <w:t xml:space="preserve"> </w:t>
      </w:r>
      <w:r w:rsidR="0055290A" w:rsidRPr="0048424D">
        <w:rPr>
          <w:rFonts w:ascii="Arial" w:hAnsi="Arial" w:cs="Arial"/>
          <w:sz w:val="28"/>
          <w:szCs w:val="28"/>
        </w:rPr>
        <w:t>Patronella Ganza</w:t>
      </w:r>
    </w:p>
    <w:p w14:paraId="1A0B2D2B" w14:textId="1896E43D" w:rsidR="00074402" w:rsidRPr="00CD33A8" w:rsidRDefault="00074402" w:rsidP="00CD33A8">
      <w:pPr>
        <w:tabs>
          <w:tab w:val="left" w:pos="6540"/>
        </w:tabs>
        <w:spacing w:line="360" w:lineRule="auto"/>
        <w:rPr>
          <w:rFonts w:ascii="Arial" w:hAnsi="Arial" w:cs="Arial"/>
          <w:sz w:val="28"/>
          <w:szCs w:val="28"/>
        </w:rPr>
      </w:pP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sdt>
      <w:sdtPr>
        <w:rPr>
          <w:rFonts w:ascii="Times New Roman" w:eastAsiaTheme="minorHAnsi" w:hAnsi="Times New Roman" w:cstheme="minorBidi"/>
          <w:b w:val="0"/>
          <w:bCs w:val="0"/>
          <w:color w:val="auto"/>
          <w:sz w:val="24"/>
          <w:szCs w:val="22"/>
          <w:lang w:eastAsia="en-US"/>
        </w:rPr>
        <w:id w:val="1807817126"/>
        <w:docPartObj>
          <w:docPartGallery w:val="Table of Contents"/>
          <w:docPartUnique/>
        </w:docPartObj>
      </w:sdtPr>
      <w:sdtEndPr/>
      <w:sdtContent>
        <w:p w14:paraId="7AA875EF" w14:textId="4EA89ECC" w:rsidR="00A22ABD" w:rsidRPr="0048424D" w:rsidRDefault="00A22ABD" w:rsidP="00593C31">
          <w:pPr>
            <w:pStyle w:val="TOCHeading"/>
            <w:rPr>
              <w:rFonts w:ascii="Arial" w:hAnsi="Arial" w:cs="Arial"/>
              <w:szCs w:val="28"/>
            </w:rPr>
          </w:pPr>
          <w:r w:rsidRPr="0048424D">
            <w:rPr>
              <w:rFonts w:ascii="Arial" w:hAnsi="Arial" w:cs="Arial"/>
              <w:szCs w:val="28"/>
            </w:rPr>
            <w:t>Contents</w:t>
          </w:r>
        </w:p>
        <w:p w14:paraId="5F5F0DA6" w14:textId="77777777" w:rsidR="0048424D" w:rsidRDefault="0048424D">
          <w:pPr>
            <w:pStyle w:val="TOC1"/>
            <w:tabs>
              <w:tab w:val="right" w:leader="dot" w:pos="9016"/>
            </w:tabs>
            <w:rPr>
              <w:rFonts w:ascii="Arial" w:hAnsi="Arial" w:cs="Arial"/>
              <w:sz w:val="28"/>
              <w:szCs w:val="28"/>
            </w:rPr>
          </w:pPr>
        </w:p>
        <w:p w14:paraId="743ECA8D" w14:textId="127CF8BC" w:rsidR="00A22ABD" w:rsidRPr="0048424D" w:rsidRDefault="00A22ABD">
          <w:pPr>
            <w:pStyle w:val="TOC1"/>
            <w:tabs>
              <w:tab w:val="right" w:leader="dot" w:pos="9016"/>
            </w:tabs>
            <w:rPr>
              <w:rFonts w:ascii="Arial" w:hAnsi="Arial" w:cs="Arial"/>
              <w:noProof/>
              <w:sz w:val="28"/>
              <w:szCs w:val="28"/>
            </w:rPr>
          </w:pPr>
          <w:r w:rsidRPr="0048424D">
            <w:rPr>
              <w:rFonts w:ascii="Arial" w:hAnsi="Arial" w:cs="Arial"/>
              <w:sz w:val="28"/>
              <w:szCs w:val="28"/>
            </w:rPr>
            <w:fldChar w:fldCharType="begin"/>
          </w:r>
          <w:r w:rsidRPr="0048424D">
            <w:rPr>
              <w:rFonts w:ascii="Arial" w:hAnsi="Arial" w:cs="Arial"/>
              <w:sz w:val="28"/>
              <w:szCs w:val="28"/>
            </w:rPr>
            <w:instrText xml:space="preserve"> TOC \o "1-3" \h \z \u </w:instrText>
          </w:r>
          <w:r w:rsidRPr="0048424D">
            <w:rPr>
              <w:rFonts w:ascii="Arial" w:hAnsi="Arial" w:cs="Arial"/>
              <w:sz w:val="28"/>
              <w:szCs w:val="28"/>
            </w:rPr>
            <w:fldChar w:fldCharType="separate"/>
          </w:r>
          <w:hyperlink w:anchor="_Toc227508503" w:history="1">
            <w:r w:rsidRPr="0048424D">
              <w:rPr>
                <w:rStyle w:val="Hyperlink"/>
                <w:rFonts w:ascii="Arial" w:hAnsi="Arial" w:cs="Arial"/>
                <w:noProof/>
                <w:sz w:val="28"/>
                <w:szCs w:val="28"/>
              </w:rPr>
              <w:t>Introduction</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_Toc227508503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3</w:t>
            </w:r>
            <w:r w:rsidRPr="0048424D">
              <w:rPr>
                <w:rFonts w:ascii="Arial" w:hAnsi="Arial" w:cs="Arial"/>
                <w:noProof/>
                <w:webHidden/>
                <w:sz w:val="28"/>
                <w:szCs w:val="28"/>
              </w:rPr>
              <w:fldChar w:fldCharType="end"/>
            </w:r>
          </w:hyperlink>
        </w:p>
        <w:p w14:paraId="27ED7C4F" w14:textId="779A765C" w:rsidR="00A22ABD" w:rsidRPr="0048424D" w:rsidRDefault="00A22ABD">
          <w:pPr>
            <w:pStyle w:val="TOC1"/>
            <w:tabs>
              <w:tab w:val="right" w:leader="dot" w:pos="9016"/>
            </w:tabs>
            <w:rPr>
              <w:rFonts w:ascii="Arial" w:hAnsi="Arial" w:cs="Arial"/>
              <w:noProof/>
              <w:sz w:val="28"/>
              <w:szCs w:val="28"/>
            </w:rPr>
          </w:pPr>
          <w:hyperlink w:anchor="_Toc227508504" w:history="1">
            <w:r w:rsidRPr="0048424D">
              <w:rPr>
                <w:rStyle w:val="Hyperlink"/>
                <w:rFonts w:ascii="Arial" w:hAnsi="Arial" w:cs="Arial"/>
                <w:noProof/>
                <w:sz w:val="28"/>
                <w:szCs w:val="28"/>
              </w:rPr>
              <w:t>1.0 Approaches Used to Measure and Monitor Stroke</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_Toc227508504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3</w:t>
            </w:r>
            <w:r w:rsidRPr="0048424D">
              <w:rPr>
                <w:rFonts w:ascii="Arial" w:hAnsi="Arial" w:cs="Arial"/>
                <w:noProof/>
                <w:webHidden/>
                <w:sz w:val="28"/>
                <w:szCs w:val="28"/>
              </w:rPr>
              <w:fldChar w:fldCharType="end"/>
            </w:r>
          </w:hyperlink>
        </w:p>
        <w:p w14:paraId="5CC6AA8E" w14:textId="68068349" w:rsidR="00A22ABD" w:rsidRPr="0048424D" w:rsidRDefault="00A22ABD">
          <w:pPr>
            <w:pStyle w:val="TOC1"/>
            <w:tabs>
              <w:tab w:val="right" w:leader="dot" w:pos="9016"/>
            </w:tabs>
            <w:rPr>
              <w:rFonts w:ascii="Arial" w:hAnsi="Arial" w:cs="Arial"/>
              <w:noProof/>
              <w:sz w:val="28"/>
              <w:szCs w:val="28"/>
            </w:rPr>
          </w:pPr>
          <w:hyperlink w:anchor="_Toc227508505" w:history="1">
            <w:r w:rsidRPr="0048424D">
              <w:rPr>
                <w:rStyle w:val="Hyperlink"/>
                <w:rFonts w:ascii="Arial" w:hAnsi="Arial" w:cs="Arial"/>
                <w:noProof/>
                <w:sz w:val="28"/>
                <w:szCs w:val="28"/>
              </w:rPr>
              <w:t>2.0 Control of Stroke</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_Toc227508505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4</w:t>
            </w:r>
            <w:r w:rsidRPr="0048424D">
              <w:rPr>
                <w:rFonts w:ascii="Arial" w:hAnsi="Arial" w:cs="Arial"/>
                <w:noProof/>
                <w:webHidden/>
                <w:sz w:val="28"/>
                <w:szCs w:val="28"/>
              </w:rPr>
              <w:fldChar w:fldCharType="end"/>
            </w:r>
          </w:hyperlink>
        </w:p>
        <w:p w14:paraId="4C89EAD8" w14:textId="3657B806" w:rsidR="00A22ABD" w:rsidRPr="0048424D" w:rsidRDefault="00A22ABD">
          <w:pPr>
            <w:pStyle w:val="TOC1"/>
            <w:tabs>
              <w:tab w:val="right" w:leader="dot" w:pos="9016"/>
            </w:tabs>
            <w:rPr>
              <w:rFonts w:ascii="Arial" w:hAnsi="Arial" w:cs="Arial"/>
              <w:noProof/>
              <w:sz w:val="28"/>
              <w:szCs w:val="28"/>
            </w:rPr>
          </w:pPr>
          <w:hyperlink w:anchor="_Toc227508506" w:history="1">
            <w:r w:rsidRPr="0048424D">
              <w:rPr>
                <w:rStyle w:val="Hyperlink"/>
                <w:rFonts w:ascii="Arial" w:hAnsi="Arial" w:cs="Arial"/>
                <w:noProof/>
                <w:sz w:val="28"/>
                <w:szCs w:val="28"/>
              </w:rPr>
              <w:t>3.0 Consequences of Stroke on People in the Community</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_Toc227508506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5</w:t>
            </w:r>
            <w:r w:rsidRPr="0048424D">
              <w:rPr>
                <w:rFonts w:ascii="Arial" w:hAnsi="Arial" w:cs="Arial"/>
                <w:noProof/>
                <w:webHidden/>
                <w:sz w:val="28"/>
                <w:szCs w:val="28"/>
              </w:rPr>
              <w:fldChar w:fldCharType="end"/>
            </w:r>
          </w:hyperlink>
        </w:p>
        <w:p w14:paraId="62033177" w14:textId="2B83B4AF" w:rsidR="00A22ABD" w:rsidRPr="0048424D" w:rsidRDefault="00A22ABD">
          <w:pPr>
            <w:pStyle w:val="TOC1"/>
            <w:tabs>
              <w:tab w:val="right" w:leader="dot" w:pos="9016"/>
            </w:tabs>
            <w:rPr>
              <w:rFonts w:ascii="Arial" w:hAnsi="Arial" w:cs="Arial"/>
              <w:noProof/>
              <w:sz w:val="28"/>
              <w:szCs w:val="28"/>
            </w:rPr>
          </w:pPr>
          <w:hyperlink w:anchor="_Toc227508507" w:history="1">
            <w:r w:rsidRPr="0048424D">
              <w:rPr>
                <w:rStyle w:val="Hyperlink"/>
                <w:rFonts w:ascii="Arial" w:hAnsi="Arial" w:cs="Arial"/>
                <w:noProof/>
                <w:sz w:val="28"/>
                <w:szCs w:val="28"/>
              </w:rPr>
              <w:t>4.0 Health and Social Care Support Services for Stroke Survivors</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_Toc227508507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6</w:t>
            </w:r>
            <w:r w:rsidRPr="0048424D">
              <w:rPr>
                <w:rFonts w:ascii="Arial" w:hAnsi="Arial" w:cs="Arial"/>
                <w:noProof/>
                <w:webHidden/>
                <w:sz w:val="28"/>
                <w:szCs w:val="28"/>
              </w:rPr>
              <w:fldChar w:fldCharType="end"/>
            </w:r>
          </w:hyperlink>
        </w:p>
        <w:p w14:paraId="2F8D89A2" w14:textId="76A977F9" w:rsidR="00A22ABD" w:rsidRPr="0048424D" w:rsidRDefault="00A22ABD">
          <w:pPr>
            <w:pStyle w:val="TOC1"/>
            <w:tabs>
              <w:tab w:val="right" w:leader="dot" w:pos="9016"/>
            </w:tabs>
            <w:rPr>
              <w:rFonts w:ascii="Arial" w:hAnsi="Arial" w:cs="Arial"/>
              <w:noProof/>
              <w:sz w:val="28"/>
              <w:szCs w:val="28"/>
            </w:rPr>
          </w:pPr>
          <w:hyperlink w:anchor="_Toc227508508" w:history="1">
            <w:r w:rsidRPr="0048424D">
              <w:rPr>
                <w:rStyle w:val="Hyperlink"/>
                <w:rFonts w:ascii="Arial" w:hAnsi="Arial" w:cs="Arial"/>
                <w:noProof/>
                <w:sz w:val="28"/>
                <w:szCs w:val="28"/>
              </w:rPr>
              <w:t>Conclusion</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_Toc227508508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6</w:t>
            </w:r>
            <w:r w:rsidRPr="0048424D">
              <w:rPr>
                <w:rFonts w:ascii="Arial" w:hAnsi="Arial" w:cs="Arial"/>
                <w:noProof/>
                <w:webHidden/>
                <w:sz w:val="28"/>
                <w:szCs w:val="28"/>
              </w:rPr>
              <w:fldChar w:fldCharType="end"/>
            </w:r>
          </w:hyperlink>
        </w:p>
        <w:p w14:paraId="63E5D8CD" w14:textId="012BD2B4" w:rsidR="00A22ABD" w:rsidRPr="0048424D" w:rsidRDefault="00A22ABD">
          <w:pPr>
            <w:pStyle w:val="TOC1"/>
            <w:tabs>
              <w:tab w:val="right" w:leader="dot" w:pos="9016"/>
            </w:tabs>
            <w:rPr>
              <w:rFonts w:ascii="Arial" w:hAnsi="Arial" w:cs="Arial"/>
              <w:noProof/>
              <w:sz w:val="28"/>
              <w:szCs w:val="28"/>
            </w:rPr>
          </w:pPr>
          <w:hyperlink w:anchor="_Toc227508509" w:history="1">
            <w:r w:rsidRPr="0048424D">
              <w:rPr>
                <w:rStyle w:val="Hyperlink"/>
                <w:rFonts w:ascii="Arial" w:hAnsi="Arial" w:cs="Arial"/>
                <w:noProof/>
                <w:sz w:val="28"/>
                <w:szCs w:val="28"/>
              </w:rPr>
              <w:t>References</w:t>
            </w:r>
            <w:r w:rsidRPr="0048424D">
              <w:rPr>
                <w:rFonts w:ascii="Arial" w:hAnsi="Arial" w:cs="Arial"/>
                <w:noProof/>
                <w:webHidden/>
                <w:sz w:val="28"/>
                <w:szCs w:val="28"/>
              </w:rPr>
              <w:tab/>
            </w:r>
            <w:r w:rsidRPr="0048424D">
              <w:rPr>
                <w:rFonts w:ascii="Arial" w:hAnsi="Arial" w:cs="Arial"/>
                <w:noProof/>
                <w:webHidden/>
                <w:sz w:val="28"/>
                <w:szCs w:val="28"/>
              </w:rPr>
              <w:fldChar w:fldCharType="begin"/>
            </w:r>
            <w:r w:rsidRPr="0048424D">
              <w:rPr>
                <w:rFonts w:ascii="Arial" w:hAnsi="Arial" w:cs="Arial"/>
                <w:noProof/>
                <w:webHidden/>
                <w:sz w:val="28"/>
                <w:szCs w:val="28"/>
              </w:rPr>
              <w:instrText xml:space="preserve"> PAGEREF _Toc227508509 \h </w:instrText>
            </w:r>
            <w:r w:rsidRPr="0048424D">
              <w:rPr>
                <w:rFonts w:ascii="Arial" w:hAnsi="Arial" w:cs="Arial"/>
                <w:noProof/>
                <w:webHidden/>
                <w:sz w:val="28"/>
                <w:szCs w:val="28"/>
              </w:rPr>
            </w:r>
            <w:r w:rsidRPr="0048424D">
              <w:rPr>
                <w:rFonts w:ascii="Arial" w:hAnsi="Arial" w:cs="Arial"/>
                <w:noProof/>
                <w:webHidden/>
                <w:sz w:val="28"/>
                <w:szCs w:val="28"/>
              </w:rPr>
              <w:fldChar w:fldCharType="separate"/>
            </w:r>
            <w:r w:rsidRPr="0048424D">
              <w:rPr>
                <w:rFonts w:ascii="Arial" w:hAnsi="Arial" w:cs="Arial"/>
                <w:noProof/>
                <w:webHidden/>
                <w:sz w:val="28"/>
                <w:szCs w:val="28"/>
              </w:rPr>
              <w:t>7</w:t>
            </w:r>
            <w:r w:rsidRPr="0048424D">
              <w:rPr>
                <w:rFonts w:ascii="Arial" w:hAnsi="Arial" w:cs="Arial"/>
                <w:noProof/>
                <w:webHidden/>
                <w:sz w:val="28"/>
                <w:szCs w:val="28"/>
              </w:rPr>
              <w:fldChar w:fldCharType="end"/>
            </w:r>
          </w:hyperlink>
        </w:p>
        <w:p w14:paraId="2BC14045" w14:textId="093EF0CD" w:rsidR="00A22ABD" w:rsidRDefault="00A22ABD">
          <w:r w:rsidRPr="0048424D">
            <w:rPr>
              <w:rFonts w:ascii="Arial" w:hAnsi="Arial" w:cs="Arial"/>
              <w:b/>
              <w:bCs/>
              <w:sz w:val="28"/>
              <w:szCs w:val="28"/>
            </w:rPr>
            <w:fldChar w:fldCharType="end"/>
          </w:r>
        </w:p>
      </w:sdtContent>
    </w:sdt>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51525E2D" w14:textId="767A5A69" w:rsidR="00AF51B2" w:rsidRPr="00556A0A" w:rsidRDefault="00AF51B2" w:rsidP="00A22ABD">
      <w:pPr>
        <w:tabs>
          <w:tab w:val="left" w:pos="6540"/>
        </w:tabs>
        <w:spacing w:line="360" w:lineRule="auto"/>
        <w:jc w:val="center"/>
        <w:rPr>
          <w:rFonts w:ascii="Arial" w:hAnsi="Arial" w:cs="Arial"/>
          <w:sz w:val="28"/>
          <w:szCs w:val="28"/>
        </w:rPr>
      </w:pPr>
      <w:r w:rsidRPr="00556A0A">
        <w:rPr>
          <w:rFonts w:ascii="Arial" w:hAnsi="Arial" w:cs="Arial"/>
          <w:sz w:val="28"/>
          <w:szCs w:val="28"/>
        </w:rPr>
        <w:lastRenderedPageBreak/>
        <w:t>Stroke Report</w:t>
      </w:r>
    </w:p>
    <w:p w14:paraId="5FF3D377" w14:textId="77777777" w:rsidR="00AF51B2" w:rsidRPr="00AF51B2" w:rsidRDefault="00AF51B2" w:rsidP="00AF51B2">
      <w:pPr>
        <w:tabs>
          <w:tab w:val="left" w:pos="6540"/>
        </w:tabs>
        <w:spacing w:line="360" w:lineRule="auto"/>
        <w:rPr>
          <w:rFonts w:asciiTheme="minorBidi" w:hAnsiTheme="minorBidi"/>
          <w:sz w:val="22"/>
        </w:rPr>
      </w:pPr>
    </w:p>
    <w:p w14:paraId="28046462" w14:textId="77777777" w:rsidR="00AF51B2" w:rsidRPr="00AF51B2" w:rsidRDefault="00AF51B2" w:rsidP="00AF51B2">
      <w:pPr>
        <w:tabs>
          <w:tab w:val="left" w:pos="6540"/>
        </w:tabs>
        <w:spacing w:line="360" w:lineRule="auto"/>
        <w:rPr>
          <w:rFonts w:asciiTheme="minorBidi" w:hAnsiTheme="minorBidi"/>
          <w:sz w:val="22"/>
        </w:rPr>
      </w:pPr>
    </w:p>
    <w:p w14:paraId="4B8BC982" w14:textId="77777777" w:rsidR="00AF51B2" w:rsidRPr="00593C31" w:rsidRDefault="00AF51B2" w:rsidP="00593C31">
      <w:pPr>
        <w:pStyle w:val="Heading1"/>
      </w:pPr>
      <w:bookmarkStart w:id="0" w:name="_Toc227508503"/>
      <w:r w:rsidRPr="00593C31">
        <w:t>Introduction</w:t>
      </w:r>
      <w:bookmarkEnd w:id="0"/>
      <w:r w:rsidRPr="00593C31">
        <w:t xml:space="preserve"> </w:t>
      </w:r>
    </w:p>
    <w:p w14:paraId="77C080DE" w14:textId="5599F8AA" w:rsidR="00AF51B2" w:rsidRPr="00A22ABD" w:rsidRDefault="00AF51B2" w:rsidP="00A22ABD">
      <w:pPr>
        <w:tabs>
          <w:tab w:val="left" w:pos="6540"/>
        </w:tabs>
        <w:spacing w:line="360" w:lineRule="auto"/>
        <w:rPr>
          <w:rFonts w:asciiTheme="minorBidi" w:hAnsiTheme="minorBidi"/>
          <w:sz w:val="22"/>
        </w:rPr>
      </w:pPr>
      <w:r w:rsidRPr="00AF51B2">
        <w:rPr>
          <w:rFonts w:asciiTheme="minorBidi" w:hAnsiTheme="minorBidi"/>
          <w:sz w:val="22"/>
        </w:rPr>
        <w:t>Stroke is a serious medical condition caused by an interruption of blood flow to the brain, leading to damage of brain cells and loss of essential functions such as movement, speech, and memory (Murphy and Werring, 2020). Common signs include facial drooping, arm weakness, slurred speech, sudden dizziness, and blurred vision (Powers, 2020). These symptoms require urgent medical attention to reduce long</w:t>
      </w:r>
      <w:r w:rsidRPr="00AF51B2">
        <w:rPr>
          <w:rFonts w:ascii="Cambria Math" w:hAnsi="Cambria Math" w:cs="Cambria Math"/>
          <w:sz w:val="22"/>
        </w:rPr>
        <w:t>‑</w:t>
      </w:r>
      <w:r w:rsidRPr="00AF51B2">
        <w:rPr>
          <w:rFonts w:asciiTheme="minorBidi" w:hAnsiTheme="minorBidi"/>
          <w:sz w:val="22"/>
        </w:rPr>
        <w:t>term disability. Stroke survivors often need a range of health and social care services, including rehabilitation, psychological support, and community</w:t>
      </w:r>
      <w:r w:rsidRPr="00AF51B2">
        <w:rPr>
          <w:rFonts w:ascii="Cambria Math" w:hAnsi="Cambria Math" w:cs="Cambria Math"/>
          <w:sz w:val="22"/>
        </w:rPr>
        <w:t>‑</w:t>
      </w:r>
      <w:r w:rsidRPr="00AF51B2">
        <w:rPr>
          <w:rFonts w:asciiTheme="minorBidi" w:hAnsiTheme="minorBidi"/>
          <w:sz w:val="22"/>
        </w:rPr>
        <w:t>based assistance to help them regain independence. Physiotherapists, occupational therapists, speech therapists, nurses, and social workers all play important roles in recovery. Stroke is a major public health issue worldwide, affecting millions of people and placing pressure on families, communities, and healthcare systems. Understanding how stroke is monitored, controlled, and managed in the community is essential for improving outcomes and reducing the long</w:t>
      </w:r>
      <w:r w:rsidRPr="00AF51B2">
        <w:rPr>
          <w:rFonts w:ascii="Cambria Math" w:hAnsi="Cambria Math" w:cs="Cambria Math"/>
          <w:sz w:val="22"/>
        </w:rPr>
        <w:t>‑</w:t>
      </w:r>
      <w:r w:rsidRPr="00AF51B2">
        <w:rPr>
          <w:rFonts w:asciiTheme="minorBidi" w:hAnsiTheme="minorBidi"/>
          <w:sz w:val="22"/>
        </w:rPr>
        <w:t>term impact on society.</w:t>
      </w:r>
    </w:p>
    <w:p w14:paraId="5EAB6CBE" w14:textId="7F42D9F2" w:rsidR="003232ED" w:rsidRPr="00593C31" w:rsidRDefault="003232ED" w:rsidP="00593C31">
      <w:pPr>
        <w:pStyle w:val="Heading1"/>
      </w:pPr>
      <w:bookmarkStart w:id="1" w:name="_Toc227508504"/>
      <w:r w:rsidRPr="00593C31">
        <w:t>1.0 Approaches Used to Measure</w:t>
      </w:r>
      <w:r w:rsidR="00A22ABD" w:rsidRPr="00593C31">
        <w:t xml:space="preserve"> and Monitor Stroke</w:t>
      </w:r>
      <w:bookmarkEnd w:id="1"/>
      <w:r w:rsidR="00A22ABD" w:rsidRPr="00593C31">
        <w:t xml:space="preserve"> </w:t>
      </w:r>
    </w:p>
    <w:p w14:paraId="2F1CC6CD"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 Monitoring stroke in the community relies on several public health approaches that help identify trends, risk factors, and service needs. Epidemiological surveillance systems collect data on incidence, prevalence, mortality, and disability, allowing governments to understand how stroke affects different populations. Global stroke registries provide long term information on disease patterns and support planning for prevention and treatment services (Feigin et al., 2025). National health surveys also contribute by tracking lifestyle risks, population health, and changes in stroke outcomes over time.</w:t>
      </w:r>
    </w:p>
    <w:p w14:paraId="7E036D93"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In the United Kingdom, hospital admission data is a key monitoring tool. England recorded 111,137 stroke admissions in 2023–2024, showing increasing demand for acute and rehabilitation services (NHS England, 2024). Mortality statistics also help identify high risk groups and evaluate the effectiveness of healthcare interventions (Stewart, 2025). When compared internationally, the UK’s stroke burden is moderate. For example, Japan reports around 250,000 new stroke cases each year, which is high even when considering its larger population of around 122 million. Japan’s stroke mortality rate is also higher, mainly due to its rapidly ageing population, with almost 30% of citizens aged over 65. This demographic pressure increases the prevalence of hypertension and other cardiovascular risks and leads </w:t>
      </w:r>
      <w:r w:rsidRPr="00AF51B2">
        <w:rPr>
          <w:rFonts w:asciiTheme="minorBidi" w:hAnsiTheme="minorBidi"/>
          <w:sz w:val="22"/>
        </w:rPr>
        <w:lastRenderedPageBreak/>
        <w:t>to more severe and fatal strokes. In contrast, the UK’s stroke patterns are more strongly linked to lifestyle factors such as obesity, smoking, and physical inactivity. Comparing the two countries shows how different health systems face different pressures: the UK focuses on reducing preventable lifestyle risks, while Japan prioritises managing age related conditions and improving long term rehabilitation. This highlights why international comparisons are useful for shaping targeted public health strategies.</w:t>
      </w:r>
    </w:p>
    <w:p w14:paraId="648FAF10"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Screening programmes also support early detection by identifying risk factors such as hypertension, diabetes, and obesity. Community blood pressure checks, GP records, and routine health reviews help track individuals at risk and monitor long term recovery. Primary care databases provide information on stroke prevalence, medication use, and follow up care, supporting continuity of treatment.</w:t>
      </w:r>
    </w:p>
    <w:p w14:paraId="773BF304"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Accurate diagnosis is supported by imaging techniques such as CT and MRI scans, which confirm the type and severity of stroke (Patil et al., 2022). At a global level, Disability Adjusted Life Years (DALYs) are used to measure the overall burden of stroke. In 2021, stroke accounted for more than 160 million years of healthy life lost worldwide (WHO, 2025). Together, these monitoring approaches support effective planning, prevention, and policy making.</w:t>
      </w:r>
    </w:p>
    <w:p w14:paraId="22BDEDEA" w14:textId="77777777" w:rsidR="00AF51B2" w:rsidRPr="00AF51B2" w:rsidRDefault="00AF51B2" w:rsidP="00593C31">
      <w:pPr>
        <w:pStyle w:val="Heading1"/>
      </w:pPr>
      <w:bookmarkStart w:id="2" w:name="_Toc227508505"/>
      <w:r w:rsidRPr="00AF51B2">
        <w:t>2.0 Control of Stroke</w:t>
      </w:r>
      <w:bookmarkEnd w:id="2"/>
      <w:r w:rsidRPr="00AF51B2">
        <w:t xml:space="preserve"> </w:t>
      </w:r>
    </w:p>
    <w:p w14:paraId="6B5CE832"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Controlling stroke involves prevention, early treatment, and long</w:t>
      </w:r>
      <w:r w:rsidRPr="00AF51B2">
        <w:rPr>
          <w:rFonts w:ascii="Cambria Math" w:hAnsi="Cambria Math" w:cs="Cambria Math"/>
          <w:sz w:val="22"/>
        </w:rPr>
        <w:t>‑</w:t>
      </w:r>
      <w:r w:rsidRPr="00AF51B2">
        <w:rPr>
          <w:rFonts w:asciiTheme="minorBidi" w:hAnsiTheme="minorBidi"/>
          <w:sz w:val="22"/>
        </w:rPr>
        <w:t>term management. Primary prevention focuses on reducing modifiable risk factors such as high blood pressure, smoking, poor diet, and physical inactivity. Globally, 84% of stroke cases are linked to preventable risks, highlighting the importance of lifestyle interventions (Feigin et al., 2025). Regular blood pressure monitoring, dietary advice, and smoking cessation programmes help reduce the likelihood of a first stroke. In England, pharmacies offer free blood pressure checks for adults aged 40 and over, supporting early detection (NHS England, 2024).</w:t>
      </w:r>
    </w:p>
    <w:p w14:paraId="6644BD39"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Public awareness campaigns such as Act FAST help people recognise early warning signs. Quick emergency response is essential because restoring blood flow within the first 4.5 hours of an ischaemic stroke can significantly reduce brain damage (Aghamiri et al., 2020; BHF, 2025). Specialist stroke units provide rapid assessment and treatment, reducing mortality and long</w:t>
      </w:r>
      <w:r w:rsidRPr="00AF51B2">
        <w:rPr>
          <w:rFonts w:ascii="Cambria Math" w:hAnsi="Cambria Math" w:cs="Cambria Math"/>
          <w:sz w:val="22"/>
        </w:rPr>
        <w:t>‑</w:t>
      </w:r>
      <w:r w:rsidRPr="00AF51B2">
        <w:rPr>
          <w:rFonts w:asciiTheme="minorBidi" w:hAnsiTheme="minorBidi"/>
          <w:sz w:val="22"/>
        </w:rPr>
        <w:t>term disability (WHO, 2025).</w:t>
      </w:r>
    </w:p>
    <w:p w14:paraId="761C25AC"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Secondary prevention aims to prevent recurrence. This includes antiplatelet medication, blood</w:t>
      </w:r>
      <w:r w:rsidRPr="00AF51B2">
        <w:rPr>
          <w:rFonts w:ascii="Cambria Math" w:hAnsi="Cambria Math" w:cs="Cambria Math"/>
          <w:sz w:val="22"/>
        </w:rPr>
        <w:t>‑</w:t>
      </w:r>
      <w:r w:rsidRPr="00AF51B2">
        <w:rPr>
          <w:rFonts w:asciiTheme="minorBidi" w:hAnsiTheme="minorBidi"/>
          <w:sz w:val="22"/>
        </w:rPr>
        <w:t>thinning drugs, and lipid</w:t>
      </w:r>
      <w:r w:rsidRPr="00AF51B2">
        <w:rPr>
          <w:rFonts w:ascii="Cambria Math" w:hAnsi="Cambria Math" w:cs="Cambria Math"/>
          <w:sz w:val="22"/>
        </w:rPr>
        <w:t>‑</w:t>
      </w:r>
      <w:r w:rsidRPr="00AF51B2">
        <w:rPr>
          <w:rFonts w:asciiTheme="minorBidi" w:hAnsiTheme="minorBidi"/>
          <w:sz w:val="22"/>
        </w:rPr>
        <w:t>lowering therapy to reduce cardiovascular risk (Phipps and Cronin, 2020). Long</w:t>
      </w:r>
      <w:r w:rsidRPr="00AF51B2">
        <w:rPr>
          <w:rFonts w:ascii="Cambria Math" w:hAnsi="Cambria Math" w:cs="Cambria Math"/>
          <w:sz w:val="22"/>
        </w:rPr>
        <w:t>‑</w:t>
      </w:r>
      <w:r w:rsidRPr="00AF51B2">
        <w:rPr>
          <w:rFonts w:asciiTheme="minorBidi" w:hAnsiTheme="minorBidi"/>
          <w:sz w:val="22"/>
        </w:rPr>
        <w:t>term management also involves controlling diabetes, cholesterol, and lifestyle factors.</w:t>
      </w:r>
    </w:p>
    <w:p w14:paraId="30DE1BE4" w14:textId="77777777" w:rsidR="00AF51B2" w:rsidRPr="00AF51B2" w:rsidRDefault="00AF51B2" w:rsidP="00AF51B2">
      <w:pPr>
        <w:tabs>
          <w:tab w:val="left" w:pos="6540"/>
        </w:tabs>
        <w:spacing w:line="360" w:lineRule="auto"/>
        <w:rPr>
          <w:rFonts w:asciiTheme="minorBidi" w:hAnsiTheme="minorBidi"/>
          <w:sz w:val="22"/>
        </w:rPr>
      </w:pPr>
    </w:p>
    <w:p w14:paraId="53E0BC97"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Rehabilitation is a key part of stroke control. Physiotherapy helps restore mobility and strength, occupational therapy supports daily living skills, and speech therapy assists with communication and swallowing difficulties (</w:t>
      </w:r>
      <w:proofErr w:type="spellStart"/>
      <w:r w:rsidRPr="00AF51B2">
        <w:rPr>
          <w:rFonts w:asciiTheme="minorBidi" w:hAnsiTheme="minorBidi"/>
          <w:sz w:val="22"/>
        </w:rPr>
        <w:t>Stinear</w:t>
      </w:r>
      <w:proofErr w:type="spellEnd"/>
      <w:r w:rsidRPr="00AF51B2">
        <w:rPr>
          <w:rFonts w:asciiTheme="minorBidi" w:hAnsiTheme="minorBidi"/>
          <w:sz w:val="22"/>
        </w:rPr>
        <w:t xml:space="preserve"> et al., 2020). In the UK, around 1.4 million stroke survivors require ongoing rehabilitation and community support (Stroke Association, 2024). Community nurses and social workers help coordinate care, monitor health, and support independence.</w:t>
      </w:r>
    </w:p>
    <w:p w14:paraId="6FAFC09F"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Overall, effective stroke control requires integrated prevention, emergency treatment, and long</w:t>
      </w:r>
      <w:r w:rsidRPr="00AF51B2">
        <w:rPr>
          <w:rFonts w:ascii="Cambria Math" w:hAnsi="Cambria Math" w:cs="Cambria Math"/>
          <w:sz w:val="22"/>
        </w:rPr>
        <w:t>‑</w:t>
      </w:r>
      <w:r w:rsidRPr="00AF51B2">
        <w:rPr>
          <w:rFonts w:asciiTheme="minorBidi" w:hAnsiTheme="minorBidi"/>
          <w:sz w:val="22"/>
        </w:rPr>
        <w:t>term rehabilitation strategies to reduce the global burden.</w:t>
      </w:r>
    </w:p>
    <w:p w14:paraId="210F7791" w14:textId="77777777" w:rsidR="00AF51B2" w:rsidRPr="00AF51B2" w:rsidRDefault="00AF51B2" w:rsidP="00593C31">
      <w:pPr>
        <w:pStyle w:val="Heading1"/>
      </w:pPr>
      <w:bookmarkStart w:id="3" w:name="_Toc227508506"/>
      <w:r w:rsidRPr="00AF51B2">
        <w:t>3.0 Consequences of Stroke on People in the Community</w:t>
      </w:r>
      <w:bookmarkEnd w:id="3"/>
      <w:r w:rsidRPr="00AF51B2">
        <w:t xml:space="preserve"> </w:t>
      </w:r>
    </w:p>
    <w:p w14:paraId="696AAC85"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Stroke has major physical, emotional, social, and economic consequences for individuals and communities. Many survivors experience long</w:t>
      </w:r>
      <w:r w:rsidRPr="00AF51B2">
        <w:rPr>
          <w:rFonts w:ascii="Cambria Math" w:hAnsi="Cambria Math" w:cs="Cambria Math"/>
          <w:sz w:val="22"/>
        </w:rPr>
        <w:t>‑</w:t>
      </w:r>
      <w:r w:rsidRPr="00AF51B2">
        <w:rPr>
          <w:rFonts w:asciiTheme="minorBidi" w:hAnsiTheme="minorBidi"/>
          <w:sz w:val="22"/>
        </w:rPr>
        <w:t>term physical difficulties such as paralysis, muscle weakness, swallowing problems, and chronic pain, which limit independence and daily functioning (Li et al., 2024). Cognitive changes, including memory loss and reduced concentration, can affect decision</w:t>
      </w:r>
      <w:r w:rsidRPr="00AF51B2">
        <w:rPr>
          <w:rFonts w:ascii="Cambria Math" w:hAnsi="Cambria Math" w:cs="Cambria Math"/>
          <w:sz w:val="22"/>
        </w:rPr>
        <w:t>‑</w:t>
      </w:r>
      <w:r w:rsidRPr="00AF51B2">
        <w:rPr>
          <w:rFonts w:asciiTheme="minorBidi" w:hAnsiTheme="minorBidi"/>
          <w:sz w:val="22"/>
        </w:rPr>
        <w:t>making and communication.</w:t>
      </w:r>
    </w:p>
    <w:p w14:paraId="3C696905"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Emotionally, stroke survivors may experience depression, anxiety, and reduced confidence, especially during the transition from hospital to home. These emotional challenges can affect motivation and engagement in rehabilitation. Families often take on caring responsibilities, which can lead to stress, exhaustion, and financial strain. Informal carers may need to reduce working hours or leave employment entirely, particularly when supporting working</w:t>
      </w:r>
      <w:r w:rsidRPr="00AF51B2">
        <w:rPr>
          <w:rFonts w:ascii="Cambria Math" w:hAnsi="Cambria Math" w:cs="Cambria Math"/>
          <w:sz w:val="22"/>
        </w:rPr>
        <w:t>‑</w:t>
      </w:r>
      <w:r w:rsidRPr="00AF51B2">
        <w:rPr>
          <w:rFonts w:asciiTheme="minorBidi" w:hAnsiTheme="minorBidi"/>
          <w:sz w:val="22"/>
        </w:rPr>
        <w:t>age adults under 65.</w:t>
      </w:r>
    </w:p>
    <w:p w14:paraId="32EEC493"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Social consequences include isolation, reduced participation in community activities, and loss of employment. Mobility difficulties and communication problems can make it harder for survivors to maintain relationships or return to work. At a community level, stroke places pressure on health and social care services. The high number of admissions—111,137 in England in 2023–2024—creates demand for emergency care, rehabilitation, and long</w:t>
      </w:r>
      <w:r w:rsidRPr="00AF51B2">
        <w:rPr>
          <w:rFonts w:ascii="Cambria Math" w:hAnsi="Cambria Math" w:cs="Cambria Math"/>
          <w:sz w:val="22"/>
        </w:rPr>
        <w:t>‑</w:t>
      </w:r>
      <w:r w:rsidRPr="00AF51B2">
        <w:rPr>
          <w:rFonts w:asciiTheme="minorBidi" w:hAnsiTheme="minorBidi"/>
          <w:sz w:val="22"/>
        </w:rPr>
        <w:t>term support (NHS England, 2024).</w:t>
      </w:r>
    </w:p>
    <w:p w14:paraId="0CF81A7D"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Globally, stroke is one of the leading causes of severe disability, affecting more than 93.8 million people (Feigin et al., 2025). It also contributes to significant mortality, with over 7 million deaths recorded in 2021 (WHO, 2025). These impacts highlight the wide</w:t>
      </w:r>
      <w:r w:rsidRPr="00AF51B2">
        <w:rPr>
          <w:rFonts w:ascii="Cambria Math" w:hAnsi="Cambria Math" w:cs="Cambria Math"/>
          <w:sz w:val="22"/>
        </w:rPr>
        <w:t>‑</w:t>
      </w:r>
      <w:r w:rsidRPr="00AF51B2">
        <w:rPr>
          <w:rFonts w:asciiTheme="minorBidi" w:hAnsiTheme="minorBidi"/>
          <w:sz w:val="22"/>
        </w:rPr>
        <w:t>ranging consequences of stroke on families, health systems, and local communities.</w:t>
      </w:r>
    </w:p>
    <w:p w14:paraId="38960401" w14:textId="77777777" w:rsidR="00AF51B2" w:rsidRPr="00AF51B2" w:rsidRDefault="00AF51B2" w:rsidP="00593C31">
      <w:pPr>
        <w:pStyle w:val="Heading1"/>
      </w:pPr>
      <w:bookmarkStart w:id="4" w:name="_Toc227508507"/>
      <w:r w:rsidRPr="00AF51B2">
        <w:lastRenderedPageBreak/>
        <w:t>4.0 Health and Social Care Support Services for Stroke Survivors</w:t>
      </w:r>
      <w:bookmarkEnd w:id="4"/>
    </w:p>
    <w:p w14:paraId="6E247C24"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Stroke survivors require coordinated health and social care services to support recovery and independence. Early discharge planning ensures a safe transition from hospital to home, with clear arrangements for follow</w:t>
      </w:r>
      <w:r w:rsidRPr="00AF51B2">
        <w:rPr>
          <w:rFonts w:ascii="Cambria Math" w:hAnsi="Cambria Math" w:cs="Cambria Math"/>
          <w:sz w:val="22"/>
        </w:rPr>
        <w:t>‑</w:t>
      </w:r>
      <w:r w:rsidRPr="00AF51B2">
        <w:rPr>
          <w:rFonts w:asciiTheme="minorBidi" w:hAnsiTheme="minorBidi"/>
          <w:sz w:val="22"/>
        </w:rPr>
        <w:t>up care. Specialist stroke units improve survival and reduce long</w:t>
      </w:r>
      <w:r w:rsidRPr="00AF51B2">
        <w:rPr>
          <w:rFonts w:ascii="Cambria Math" w:hAnsi="Cambria Math" w:cs="Cambria Math"/>
          <w:sz w:val="22"/>
        </w:rPr>
        <w:t>‑</w:t>
      </w:r>
      <w:r w:rsidRPr="00AF51B2">
        <w:rPr>
          <w:rFonts w:asciiTheme="minorBidi" w:hAnsiTheme="minorBidi"/>
          <w:sz w:val="22"/>
        </w:rPr>
        <w:t>term disability by providing rapid assessment and treatment (WHO, 2025).</w:t>
      </w:r>
    </w:p>
    <w:p w14:paraId="08BB72DC"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Community stroke teams offer ongoing monitoring, rehabilitation, and support. Physiotherapists help improve mobility, balance, and muscle strength. Occupational therapists support individuals in relearning daily activities such as dressing, cooking, and personal care. Speech and language therapists assist with communication and swallowing difficulties, which are common after stroke.</w:t>
      </w:r>
    </w:p>
    <w:p w14:paraId="1A32061D"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Psychological support services address depression, anxiety, and emotional distress. Community nurses monitor blood pressure, medication use, and general health, helping reduce the risk of further strokes. Primary care services manage long</w:t>
      </w:r>
      <w:r w:rsidRPr="00AF51B2">
        <w:rPr>
          <w:rFonts w:ascii="Cambria Math" w:hAnsi="Cambria Math" w:cs="Cambria Math"/>
          <w:sz w:val="22"/>
        </w:rPr>
        <w:t>‑</w:t>
      </w:r>
      <w:r w:rsidRPr="00AF51B2">
        <w:rPr>
          <w:rFonts w:asciiTheme="minorBidi" w:hAnsiTheme="minorBidi"/>
          <w:sz w:val="22"/>
        </w:rPr>
        <w:t>term conditions such as hypertension, diabetes, and high cholesterol. Antiplatelet and blood</w:t>
      </w:r>
      <w:r w:rsidRPr="00AF51B2">
        <w:rPr>
          <w:rFonts w:ascii="Cambria Math" w:hAnsi="Cambria Math" w:cs="Cambria Math"/>
          <w:sz w:val="22"/>
        </w:rPr>
        <w:t>‑</w:t>
      </w:r>
      <w:r w:rsidRPr="00AF51B2">
        <w:rPr>
          <w:rFonts w:asciiTheme="minorBidi" w:hAnsiTheme="minorBidi"/>
          <w:sz w:val="22"/>
        </w:rPr>
        <w:t>thinning medications are used to prevent recurrence (BHF, 2025).</w:t>
      </w:r>
    </w:p>
    <w:p w14:paraId="0C21561D"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Social workers assess care needs and arrange home support packages. Home care workers assist with personal hygiene, meal preparation, and medication reminders. Equipment services provide mobility aids, wheelchairs, and home adaptations to reduce falls and promote independence (Kim et al., 2022). Carer support groups offer respite, emotional support, and practical advice for families.</w:t>
      </w:r>
    </w:p>
    <w:p w14:paraId="75F14643"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Vocational rehabilitation helps working</w:t>
      </w:r>
      <w:r w:rsidRPr="00AF51B2">
        <w:rPr>
          <w:rFonts w:ascii="Cambria Math" w:hAnsi="Cambria Math" w:cs="Cambria Math"/>
          <w:sz w:val="22"/>
        </w:rPr>
        <w:t>‑</w:t>
      </w:r>
      <w:r w:rsidRPr="00AF51B2">
        <w:rPr>
          <w:rFonts w:asciiTheme="minorBidi" w:hAnsiTheme="minorBidi"/>
          <w:sz w:val="22"/>
        </w:rPr>
        <w:t>age survivors gradually return to employment. As stroke admissions continue to rise, integrated planning between healthcare providers and local authorities is essential to meet community needs (NHS England, 2024). Effective communication and person</w:t>
      </w:r>
      <w:r w:rsidRPr="00AF51B2">
        <w:rPr>
          <w:rFonts w:ascii="Cambria Math" w:hAnsi="Cambria Math" w:cs="Cambria Math"/>
          <w:sz w:val="22"/>
        </w:rPr>
        <w:t>‑</w:t>
      </w:r>
      <w:r w:rsidRPr="00AF51B2">
        <w:rPr>
          <w:rFonts w:asciiTheme="minorBidi" w:hAnsiTheme="minorBidi"/>
          <w:sz w:val="22"/>
        </w:rPr>
        <w:t>centred care ensure that survivors receive timely, appropriate support throughout their recovery.</w:t>
      </w:r>
    </w:p>
    <w:p w14:paraId="516831B2" w14:textId="77777777" w:rsidR="00AF51B2" w:rsidRPr="00AF51B2" w:rsidRDefault="00AF51B2" w:rsidP="00593C31">
      <w:pPr>
        <w:pStyle w:val="Heading1"/>
      </w:pPr>
      <w:bookmarkStart w:id="5" w:name="_Toc227508508"/>
      <w:r w:rsidRPr="00AF51B2">
        <w:t>Conclusion</w:t>
      </w:r>
      <w:bookmarkEnd w:id="5"/>
      <w:r w:rsidRPr="00AF51B2">
        <w:t xml:space="preserve"> </w:t>
      </w:r>
    </w:p>
    <w:p w14:paraId="25475B86" w14:textId="75387FAE"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Stroke is a major global health issue, with 11.9 million new cases each year and millions living with long</w:t>
      </w:r>
      <w:r w:rsidRPr="00AF51B2">
        <w:rPr>
          <w:rFonts w:ascii="Cambria Math" w:hAnsi="Cambria Math" w:cs="Cambria Math"/>
          <w:sz w:val="22"/>
        </w:rPr>
        <w:t>‑</w:t>
      </w:r>
      <w:r w:rsidRPr="00AF51B2">
        <w:rPr>
          <w:rFonts w:asciiTheme="minorBidi" w:hAnsiTheme="minorBidi"/>
          <w:sz w:val="22"/>
        </w:rPr>
        <w:t>term effects (Feigin et al., 2025). In the United Kingdom, around 100,000 people experience a stroke annually, placing significant pressure on health and social care services (Stroke Association, 2024). These figures highlight the scale of the problem and the need for effective monitoring and prevention strategies. Accurate measurement through surveillance systems, hospital data, and screening programmes supports early detection and service planning. Although emergency treatment and specialist stroke units improve survival, many survivors require long</w:t>
      </w:r>
      <w:r w:rsidRPr="00AF51B2">
        <w:rPr>
          <w:rFonts w:ascii="Cambria Math" w:hAnsi="Cambria Math" w:cs="Cambria Math"/>
          <w:sz w:val="22"/>
        </w:rPr>
        <w:t>‑</w:t>
      </w:r>
      <w:r w:rsidRPr="00AF51B2">
        <w:rPr>
          <w:rFonts w:asciiTheme="minorBidi" w:hAnsiTheme="minorBidi"/>
          <w:sz w:val="22"/>
        </w:rPr>
        <w:t xml:space="preserve">term rehabilitation and community support. Stroke affects </w:t>
      </w:r>
      <w:r w:rsidRPr="00AF51B2">
        <w:rPr>
          <w:rFonts w:asciiTheme="minorBidi" w:hAnsiTheme="minorBidi"/>
          <w:sz w:val="22"/>
        </w:rPr>
        <w:lastRenderedPageBreak/>
        <w:t>families, employment, and social participation, creating wider community challenges. Overall, stroke remains a serious public health concern, and continued investment in</w:t>
      </w:r>
      <w:r w:rsidR="00A22ABD">
        <w:rPr>
          <w:rFonts w:asciiTheme="minorBidi" w:hAnsiTheme="minorBidi"/>
          <w:sz w:val="22"/>
        </w:rPr>
        <w:t xml:space="preserve"> </w:t>
      </w:r>
      <w:r w:rsidRPr="00AF51B2">
        <w:rPr>
          <w:rFonts w:asciiTheme="minorBidi" w:hAnsiTheme="minorBidi"/>
          <w:sz w:val="22"/>
        </w:rPr>
        <w:t>prevention, awareness, and integrated care is essential to reduce its impact on individuals and society.</w:t>
      </w:r>
    </w:p>
    <w:p w14:paraId="2D289C76" w14:textId="77777777" w:rsidR="00AF51B2" w:rsidRPr="00AF51B2" w:rsidRDefault="00AF51B2" w:rsidP="00593C31">
      <w:pPr>
        <w:pStyle w:val="Heading1"/>
      </w:pPr>
      <w:bookmarkStart w:id="6" w:name="_Toc227508509"/>
      <w:r w:rsidRPr="00AF51B2">
        <w:t>References</w:t>
      </w:r>
      <w:bookmarkEnd w:id="6"/>
    </w:p>
    <w:p w14:paraId="0A072AD2"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Aghamiri, H., </w:t>
      </w:r>
      <w:proofErr w:type="spellStart"/>
      <w:r w:rsidRPr="00AF51B2">
        <w:rPr>
          <w:rFonts w:asciiTheme="minorBidi" w:hAnsiTheme="minorBidi"/>
          <w:sz w:val="22"/>
        </w:rPr>
        <w:t>Paybast</w:t>
      </w:r>
      <w:proofErr w:type="spellEnd"/>
      <w:r w:rsidRPr="00AF51B2">
        <w:rPr>
          <w:rFonts w:asciiTheme="minorBidi" w:hAnsiTheme="minorBidi"/>
          <w:sz w:val="22"/>
        </w:rPr>
        <w:t>, S., Lima, B.S. and Mansoori, B. (2020) ‘New advances in acute ischemic stroke management’, International Clinical Neuroscience Journal, 7(2), p.55.</w:t>
      </w:r>
    </w:p>
    <w:p w14:paraId="0722F66C" w14:textId="5F5C16D8"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British Heart Foundation (2025) Stroke research. Available at: </w:t>
      </w:r>
      <w:hyperlink r:id="rId10" w:history="1">
        <w:r w:rsidR="00A22ABD" w:rsidRPr="006D3E81">
          <w:rPr>
            <w:rStyle w:val="Hyperlink"/>
            <w:rFonts w:asciiTheme="minorBidi" w:hAnsiTheme="minorBidi"/>
            <w:sz w:val="22"/>
          </w:rPr>
          <w:t>https://www.bhf.org.uk/what-we-do/our-research/circulatory-conditions-research/stroke-research</w:t>
        </w:r>
      </w:hyperlink>
      <w:r w:rsidR="00A22ABD">
        <w:rPr>
          <w:rFonts w:asciiTheme="minorBidi" w:hAnsiTheme="minorBidi"/>
          <w:sz w:val="22"/>
        </w:rPr>
        <w:t xml:space="preserve"> </w:t>
      </w:r>
      <w:r w:rsidRPr="00AF51B2">
        <w:rPr>
          <w:rFonts w:asciiTheme="minorBidi" w:hAnsiTheme="minorBidi"/>
          <w:sz w:val="22"/>
        </w:rPr>
        <w:t xml:space="preserve">(Accessed: 3 April 2026). </w:t>
      </w:r>
    </w:p>
    <w:p w14:paraId="349C1CC3"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Feigin, V.L., Brainin, M., </w:t>
      </w:r>
      <w:proofErr w:type="spellStart"/>
      <w:r w:rsidRPr="00AF51B2">
        <w:rPr>
          <w:rFonts w:asciiTheme="minorBidi" w:hAnsiTheme="minorBidi"/>
          <w:sz w:val="22"/>
        </w:rPr>
        <w:t>Norrving</w:t>
      </w:r>
      <w:proofErr w:type="spellEnd"/>
      <w:r w:rsidRPr="00AF51B2">
        <w:rPr>
          <w:rFonts w:asciiTheme="minorBidi" w:hAnsiTheme="minorBidi"/>
          <w:sz w:val="22"/>
        </w:rPr>
        <w:t xml:space="preserve">, B., Martins, S.O., Pandian, J., Lindsay, P., </w:t>
      </w:r>
      <w:proofErr w:type="spellStart"/>
      <w:r w:rsidRPr="00AF51B2">
        <w:rPr>
          <w:rFonts w:asciiTheme="minorBidi" w:hAnsiTheme="minorBidi"/>
          <w:sz w:val="22"/>
        </w:rPr>
        <w:t>Grupper</w:t>
      </w:r>
      <w:proofErr w:type="spellEnd"/>
      <w:r w:rsidRPr="00AF51B2">
        <w:rPr>
          <w:rFonts w:asciiTheme="minorBidi" w:hAnsiTheme="minorBidi"/>
          <w:sz w:val="22"/>
        </w:rPr>
        <w:t>, M.F. and Rautalin, I. (2025) ‘World stroke organization: global stroke fact sheet 2025’, International Journal of Stroke, 20(2), pp.132–144.</w:t>
      </w:r>
    </w:p>
    <w:p w14:paraId="28B02989"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Kim, G.J., </w:t>
      </w:r>
      <w:proofErr w:type="spellStart"/>
      <w:r w:rsidRPr="00AF51B2">
        <w:rPr>
          <w:rFonts w:asciiTheme="minorBidi" w:hAnsiTheme="minorBidi"/>
          <w:sz w:val="22"/>
        </w:rPr>
        <w:t>Parnandi</w:t>
      </w:r>
      <w:proofErr w:type="spellEnd"/>
      <w:r w:rsidRPr="00AF51B2">
        <w:rPr>
          <w:rFonts w:asciiTheme="minorBidi" w:hAnsiTheme="minorBidi"/>
          <w:sz w:val="22"/>
        </w:rPr>
        <w:t xml:space="preserve">, A., Eva, S. and </w:t>
      </w:r>
      <w:proofErr w:type="spellStart"/>
      <w:r w:rsidRPr="00AF51B2">
        <w:rPr>
          <w:rFonts w:asciiTheme="minorBidi" w:hAnsiTheme="minorBidi"/>
          <w:sz w:val="22"/>
        </w:rPr>
        <w:t>Schambra</w:t>
      </w:r>
      <w:proofErr w:type="spellEnd"/>
      <w:r w:rsidRPr="00AF51B2">
        <w:rPr>
          <w:rFonts w:asciiTheme="minorBidi" w:hAnsiTheme="minorBidi"/>
          <w:sz w:val="22"/>
        </w:rPr>
        <w:t>, H. (2022) ‘The use of wearable sensors to assess and treat the upper extremity after stroke: a scoping review’, Disability and Rehabilitation, 44(20), pp.6119–6138.</w:t>
      </w:r>
    </w:p>
    <w:p w14:paraId="7F1224F0"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Li, X., He, Y., Wang, D. and Rezaei, M.J. (2024) ‘Stroke rehabilitation: from diagnosis to therapy’, Frontiers in Neurology, 15, p.1402729.</w:t>
      </w:r>
    </w:p>
    <w:p w14:paraId="489DD36A"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Murphy, S.J. and Werring, D.J. (2020) ‘Stroke: causes and clinical features’, Medicine, 48(9), pp.561–566.</w:t>
      </w:r>
    </w:p>
    <w:p w14:paraId="2E01A08F" w14:textId="74825488"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NHS England (2024) Hospital admissions for strokes rise by 28% since 2004 – as NHS urges the public to “Act FAST”. Available at: </w:t>
      </w:r>
      <w:hyperlink r:id="rId11" w:history="1">
        <w:r w:rsidR="00A22ABD" w:rsidRPr="006D3E81">
          <w:rPr>
            <w:rStyle w:val="Hyperlink"/>
            <w:rFonts w:asciiTheme="minorBidi" w:hAnsiTheme="minorBidi"/>
            <w:sz w:val="22"/>
          </w:rPr>
          <w:t>https://www.england.nhs.uk/2024/11/hospital-admissions-for-strokes-rise-by-28-since-2004-as-nhs-urges-the-public-to-act-fast/</w:t>
        </w:r>
      </w:hyperlink>
      <w:r w:rsidR="00A22ABD">
        <w:rPr>
          <w:rFonts w:asciiTheme="minorBidi" w:hAnsiTheme="minorBidi"/>
          <w:sz w:val="22"/>
        </w:rPr>
        <w:t xml:space="preserve"> </w:t>
      </w:r>
      <w:r w:rsidRPr="00AF51B2">
        <w:rPr>
          <w:rFonts w:asciiTheme="minorBidi" w:hAnsiTheme="minorBidi"/>
          <w:sz w:val="22"/>
        </w:rPr>
        <w:t>(Accessed: 3 April 2026).</w:t>
      </w:r>
    </w:p>
    <w:p w14:paraId="3B67F1E8"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Patil, S., Rossi, R., Jabrah, D. and Doyle, K. (2022) ‘Detection, diagnosis and treatment of acute ischemic stroke: current and future perspectives’, Frontiers in Medical Technology, 4, p.748949.</w:t>
      </w:r>
    </w:p>
    <w:p w14:paraId="3BD42786" w14:textId="77777777"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Phipps, M.S. and Cronin, C.A. (2020) ‘Management of acute ischemic stroke’, BMJ, 368.</w:t>
      </w:r>
    </w:p>
    <w:p w14:paraId="0F015477" w14:textId="77777777" w:rsidR="00A22ABD" w:rsidRDefault="00AF51B2" w:rsidP="00AF51B2">
      <w:pPr>
        <w:tabs>
          <w:tab w:val="left" w:pos="6540"/>
        </w:tabs>
        <w:spacing w:line="360" w:lineRule="auto"/>
        <w:rPr>
          <w:rFonts w:asciiTheme="minorBidi" w:hAnsiTheme="minorBidi"/>
          <w:sz w:val="22"/>
        </w:rPr>
      </w:pPr>
      <w:r w:rsidRPr="00AF51B2">
        <w:rPr>
          <w:rFonts w:asciiTheme="minorBidi" w:hAnsiTheme="minorBidi"/>
          <w:sz w:val="22"/>
        </w:rPr>
        <w:t>Powers, W.J. (2020) ‘Acute ischemic stroke’, New England Journal of Medicine, 383(3), pp.252–260.</w:t>
      </w:r>
    </w:p>
    <w:p w14:paraId="5845196D" w14:textId="76632466"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lastRenderedPageBreak/>
        <w:t xml:space="preserve">Stewart, C. (2025) Stroke mortality in England &amp; Wales 2022, by gender &amp; age. Available at: </w:t>
      </w:r>
      <w:hyperlink r:id="rId12" w:history="1">
        <w:r w:rsidR="00A22ABD" w:rsidRPr="006D3E81">
          <w:rPr>
            <w:rStyle w:val="Hyperlink"/>
            <w:rFonts w:asciiTheme="minorBidi" w:hAnsiTheme="minorBidi"/>
            <w:sz w:val="22"/>
          </w:rPr>
          <w:t>https://www.statista.com/statistics/386529/mortality-rate-of-stroke-by-gender-and-age-in-england-and-wales/</w:t>
        </w:r>
      </w:hyperlink>
      <w:r w:rsidR="00A22ABD">
        <w:rPr>
          <w:rFonts w:asciiTheme="minorBidi" w:hAnsiTheme="minorBidi"/>
          <w:sz w:val="22"/>
        </w:rPr>
        <w:t xml:space="preserve"> </w:t>
      </w:r>
      <w:r w:rsidRPr="00AF51B2">
        <w:rPr>
          <w:rFonts w:asciiTheme="minorBidi" w:hAnsiTheme="minorBidi"/>
          <w:sz w:val="22"/>
        </w:rPr>
        <w:t>(Accessed: 3 April 2026).</w:t>
      </w:r>
    </w:p>
    <w:p w14:paraId="45866A68" w14:textId="77777777" w:rsidR="00AF51B2" w:rsidRPr="00AF51B2" w:rsidRDefault="00AF51B2" w:rsidP="00AF51B2">
      <w:pPr>
        <w:tabs>
          <w:tab w:val="left" w:pos="6540"/>
        </w:tabs>
        <w:spacing w:line="360" w:lineRule="auto"/>
        <w:rPr>
          <w:rFonts w:asciiTheme="minorBidi" w:hAnsiTheme="minorBidi"/>
          <w:sz w:val="22"/>
        </w:rPr>
      </w:pPr>
      <w:proofErr w:type="spellStart"/>
      <w:r w:rsidRPr="00AF51B2">
        <w:rPr>
          <w:rFonts w:asciiTheme="minorBidi" w:hAnsiTheme="minorBidi"/>
          <w:sz w:val="22"/>
        </w:rPr>
        <w:t>Stinear</w:t>
      </w:r>
      <w:proofErr w:type="spellEnd"/>
      <w:r w:rsidRPr="00AF51B2">
        <w:rPr>
          <w:rFonts w:asciiTheme="minorBidi" w:hAnsiTheme="minorBidi"/>
          <w:sz w:val="22"/>
        </w:rPr>
        <w:t xml:space="preserve">, C.M., Lang, C.E., Zeiler, S. and </w:t>
      </w:r>
      <w:proofErr w:type="spellStart"/>
      <w:r w:rsidRPr="00AF51B2">
        <w:rPr>
          <w:rFonts w:asciiTheme="minorBidi" w:hAnsiTheme="minorBidi"/>
          <w:sz w:val="22"/>
        </w:rPr>
        <w:t>Byblow</w:t>
      </w:r>
      <w:proofErr w:type="spellEnd"/>
      <w:r w:rsidRPr="00AF51B2">
        <w:rPr>
          <w:rFonts w:asciiTheme="minorBidi" w:hAnsiTheme="minorBidi"/>
          <w:sz w:val="22"/>
        </w:rPr>
        <w:t>, W.D. (2020) ‘Advances and challenges in stroke rehabilitation’, The Lancet Neurology, 19(4), pp.348–360.</w:t>
      </w:r>
    </w:p>
    <w:p w14:paraId="16762A29" w14:textId="6C403BCF" w:rsidR="00AF51B2" w:rsidRPr="00AF51B2"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Stroke Association (2024) Stroke statistics. Available at: </w:t>
      </w:r>
      <w:hyperlink r:id="rId13" w:history="1">
        <w:r w:rsidR="00A22ABD" w:rsidRPr="006D3E81">
          <w:rPr>
            <w:rStyle w:val="Hyperlink"/>
            <w:rFonts w:asciiTheme="minorBidi" w:hAnsiTheme="minorBidi"/>
            <w:sz w:val="22"/>
          </w:rPr>
          <w:t>https://www.stroke.org.uk/stroke/statistics</w:t>
        </w:r>
      </w:hyperlink>
      <w:r w:rsidR="00A22ABD">
        <w:rPr>
          <w:rFonts w:asciiTheme="minorBidi" w:hAnsiTheme="minorBidi"/>
          <w:sz w:val="22"/>
        </w:rPr>
        <w:t xml:space="preserve"> </w:t>
      </w:r>
      <w:r w:rsidRPr="00AF51B2">
        <w:rPr>
          <w:rFonts w:asciiTheme="minorBidi" w:hAnsiTheme="minorBidi"/>
          <w:sz w:val="22"/>
        </w:rPr>
        <w:t>(Accessed: 3 April 2026).</w:t>
      </w:r>
    </w:p>
    <w:p w14:paraId="68FFD705" w14:textId="0BE4079A" w:rsidR="008E3943" w:rsidRDefault="00AF51B2" w:rsidP="00AF51B2">
      <w:pPr>
        <w:tabs>
          <w:tab w:val="left" w:pos="6540"/>
        </w:tabs>
        <w:spacing w:line="360" w:lineRule="auto"/>
        <w:rPr>
          <w:rFonts w:asciiTheme="minorBidi" w:hAnsiTheme="minorBidi"/>
          <w:sz w:val="22"/>
        </w:rPr>
      </w:pPr>
      <w:r w:rsidRPr="00AF51B2">
        <w:rPr>
          <w:rFonts w:asciiTheme="minorBidi" w:hAnsiTheme="minorBidi"/>
          <w:sz w:val="22"/>
        </w:rPr>
        <w:t xml:space="preserve">World Health Organization (2025) Stroke. Available at: </w:t>
      </w:r>
      <w:hyperlink r:id="rId14" w:history="1">
        <w:r w:rsidR="00A22ABD" w:rsidRPr="006D3E81">
          <w:rPr>
            <w:rStyle w:val="Hyperlink"/>
            <w:rFonts w:asciiTheme="minorBidi" w:hAnsiTheme="minorBidi"/>
            <w:sz w:val="22"/>
          </w:rPr>
          <w:t>https://www.who.int/news-room/fact-sheets/detail/stroke</w:t>
        </w:r>
      </w:hyperlink>
      <w:r w:rsidR="00A22ABD">
        <w:rPr>
          <w:rFonts w:asciiTheme="minorBidi" w:hAnsiTheme="minorBidi"/>
          <w:sz w:val="22"/>
        </w:rPr>
        <w:t xml:space="preserve"> </w:t>
      </w:r>
      <w:r w:rsidRPr="00AF51B2">
        <w:rPr>
          <w:rFonts w:asciiTheme="minorBidi" w:hAnsiTheme="minorBidi"/>
          <w:sz w:val="22"/>
        </w:rPr>
        <w:t>(Accessed: 3 April 2026).</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3BB90" w14:textId="77777777" w:rsidR="00791D59" w:rsidRDefault="00791D59" w:rsidP="003E4ECF">
      <w:pPr>
        <w:spacing w:after="0" w:line="240" w:lineRule="auto"/>
      </w:pPr>
      <w:r>
        <w:separator/>
      </w:r>
    </w:p>
  </w:endnote>
  <w:endnote w:type="continuationSeparator" w:id="0">
    <w:p w14:paraId="2D46550B" w14:textId="77777777" w:rsidR="00791D59" w:rsidRDefault="00791D5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1099" w14:textId="77777777" w:rsidR="00791D59" w:rsidRDefault="00791D59" w:rsidP="003E4ECF">
      <w:pPr>
        <w:spacing w:after="0" w:line="240" w:lineRule="auto"/>
      </w:pPr>
      <w:r>
        <w:separator/>
      </w:r>
    </w:p>
  </w:footnote>
  <w:footnote w:type="continuationSeparator" w:id="0">
    <w:p w14:paraId="6FC3A801" w14:textId="77777777" w:rsidR="00791D59" w:rsidRDefault="00791D59"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D768E"/>
    <w:multiLevelType w:val="multilevel"/>
    <w:tmpl w:val="DCD8DADC"/>
    <w:lvl w:ilvl="0">
      <w:start w:val="1"/>
      <w:numFmt w:val="decimal"/>
      <w:lvlText w:val="%1.0"/>
      <w:lvlJc w:val="left"/>
      <w:pPr>
        <w:ind w:left="6540" w:hanging="6540"/>
      </w:pPr>
      <w:rPr>
        <w:rFonts w:hint="default"/>
      </w:rPr>
    </w:lvl>
    <w:lvl w:ilvl="1">
      <w:start w:val="1"/>
      <w:numFmt w:val="decimal"/>
      <w:lvlText w:val="%1.%2"/>
      <w:lvlJc w:val="left"/>
      <w:pPr>
        <w:ind w:left="7260" w:hanging="6540"/>
      </w:pPr>
      <w:rPr>
        <w:rFonts w:hint="default"/>
      </w:rPr>
    </w:lvl>
    <w:lvl w:ilvl="2">
      <w:start w:val="1"/>
      <w:numFmt w:val="decimal"/>
      <w:lvlText w:val="%1.%2.%3"/>
      <w:lvlJc w:val="left"/>
      <w:pPr>
        <w:ind w:left="7980" w:hanging="6540"/>
      </w:pPr>
      <w:rPr>
        <w:rFonts w:hint="default"/>
      </w:rPr>
    </w:lvl>
    <w:lvl w:ilvl="3">
      <w:start w:val="1"/>
      <w:numFmt w:val="decimal"/>
      <w:lvlText w:val="%1.%2.%3.%4"/>
      <w:lvlJc w:val="left"/>
      <w:pPr>
        <w:ind w:left="8700" w:hanging="6540"/>
      </w:pPr>
      <w:rPr>
        <w:rFonts w:hint="default"/>
      </w:rPr>
    </w:lvl>
    <w:lvl w:ilvl="4">
      <w:start w:val="1"/>
      <w:numFmt w:val="decimal"/>
      <w:lvlText w:val="%1.%2.%3.%4.%5"/>
      <w:lvlJc w:val="left"/>
      <w:pPr>
        <w:ind w:left="9420" w:hanging="6540"/>
      </w:pPr>
      <w:rPr>
        <w:rFonts w:hint="default"/>
      </w:rPr>
    </w:lvl>
    <w:lvl w:ilvl="5">
      <w:start w:val="1"/>
      <w:numFmt w:val="decimal"/>
      <w:lvlText w:val="%1.%2.%3.%4.%5.%6"/>
      <w:lvlJc w:val="left"/>
      <w:pPr>
        <w:ind w:left="10140" w:hanging="6540"/>
      </w:pPr>
      <w:rPr>
        <w:rFonts w:hint="default"/>
      </w:rPr>
    </w:lvl>
    <w:lvl w:ilvl="6">
      <w:start w:val="1"/>
      <w:numFmt w:val="decimal"/>
      <w:lvlText w:val="%1.%2.%3.%4.%5.%6.%7"/>
      <w:lvlJc w:val="left"/>
      <w:pPr>
        <w:ind w:left="10860" w:hanging="6540"/>
      </w:pPr>
      <w:rPr>
        <w:rFonts w:hint="default"/>
      </w:rPr>
    </w:lvl>
    <w:lvl w:ilvl="7">
      <w:start w:val="1"/>
      <w:numFmt w:val="decimal"/>
      <w:lvlText w:val="%1.%2.%3.%4.%5.%6.%7.%8"/>
      <w:lvlJc w:val="left"/>
      <w:pPr>
        <w:ind w:left="11580" w:hanging="6540"/>
      </w:pPr>
      <w:rPr>
        <w:rFonts w:hint="default"/>
      </w:rPr>
    </w:lvl>
    <w:lvl w:ilvl="8">
      <w:start w:val="1"/>
      <w:numFmt w:val="decimal"/>
      <w:lvlText w:val="%1.%2.%3.%4.%5.%6.%7.%8.%9"/>
      <w:lvlJc w:val="left"/>
      <w:pPr>
        <w:ind w:left="12300" w:hanging="6540"/>
      </w:pPr>
      <w:rPr>
        <w:rFonts w:hint="default"/>
      </w:rPr>
    </w:lvl>
  </w:abstractNum>
  <w:abstractNum w:abstractNumId="1" w15:restartNumberingAfterBreak="0">
    <w:nsid w:val="3ED5310C"/>
    <w:multiLevelType w:val="hybridMultilevel"/>
    <w:tmpl w:val="BDB20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310052"/>
    <w:multiLevelType w:val="hybridMultilevel"/>
    <w:tmpl w:val="6A107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8977861">
    <w:abstractNumId w:val="2"/>
  </w:num>
  <w:num w:numId="2" w16cid:durableId="470833302">
    <w:abstractNumId w:val="1"/>
  </w:num>
  <w:num w:numId="3" w16cid:durableId="1652515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91CF1"/>
    <w:rsid w:val="002C3965"/>
    <w:rsid w:val="00321C4C"/>
    <w:rsid w:val="003232ED"/>
    <w:rsid w:val="00392BBC"/>
    <w:rsid w:val="003D3BC5"/>
    <w:rsid w:val="003E4ECF"/>
    <w:rsid w:val="0048424D"/>
    <w:rsid w:val="004A736E"/>
    <w:rsid w:val="0055290A"/>
    <w:rsid w:val="005547DB"/>
    <w:rsid w:val="00556A0A"/>
    <w:rsid w:val="0057307A"/>
    <w:rsid w:val="00593C31"/>
    <w:rsid w:val="00595791"/>
    <w:rsid w:val="006925AA"/>
    <w:rsid w:val="00725177"/>
    <w:rsid w:val="007600AF"/>
    <w:rsid w:val="00791D59"/>
    <w:rsid w:val="007A1B8D"/>
    <w:rsid w:val="00814A9E"/>
    <w:rsid w:val="008E3943"/>
    <w:rsid w:val="0090040D"/>
    <w:rsid w:val="009C1A9F"/>
    <w:rsid w:val="009D052C"/>
    <w:rsid w:val="009D1D1E"/>
    <w:rsid w:val="00A035FD"/>
    <w:rsid w:val="00A22ABD"/>
    <w:rsid w:val="00AD23A0"/>
    <w:rsid w:val="00AF51B2"/>
    <w:rsid w:val="00B87E75"/>
    <w:rsid w:val="00CA5314"/>
    <w:rsid w:val="00CD33A8"/>
    <w:rsid w:val="00CE4CC4"/>
    <w:rsid w:val="00D35D38"/>
    <w:rsid w:val="00E569FD"/>
    <w:rsid w:val="00E620E7"/>
    <w:rsid w:val="00F66E1B"/>
    <w:rsid w:val="00FA3B83"/>
    <w:rsid w:val="00FF5C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93C31"/>
    <w:pPr>
      <w:keepNext/>
      <w:keepLines/>
      <w:spacing w:before="240" w:after="0" w:line="360" w:lineRule="auto"/>
      <w:outlineLvl w:val="0"/>
    </w:pPr>
    <w:rPr>
      <w:rFonts w:ascii="Arial" w:eastAsiaTheme="majorEastAsia" w:hAnsi="Arial"/>
      <w:bCs/>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C31"/>
    <w:rPr>
      <w:rFonts w:ascii="Arial" w:eastAsiaTheme="majorEastAsia" w:hAnsi="Arial"/>
      <w:bCs/>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291CF1"/>
    <w:pPr>
      <w:ind w:left="720"/>
      <w:contextualSpacing/>
    </w:pPr>
  </w:style>
  <w:style w:type="character" w:styleId="Hyperlink">
    <w:name w:val="Hyperlink"/>
    <w:basedOn w:val="DefaultParagraphFont"/>
    <w:uiPriority w:val="99"/>
    <w:unhideWhenUsed/>
    <w:rsid w:val="00A22ABD"/>
    <w:rPr>
      <w:color w:val="0563C1" w:themeColor="hyperlink"/>
      <w:u w:val="single"/>
    </w:rPr>
  </w:style>
  <w:style w:type="character" w:styleId="UnresolvedMention">
    <w:name w:val="Unresolved Mention"/>
    <w:basedOn w:val="DefaultParagraphFont"/>
    <w:uiPriority w:val="99"/>
    <w:semiHidden/>
    <w:unhideWhenUsed/>
    <w:rsid w:val="00A22ABD"/>
    <w:rPr>
      <w:color w:val="605E5C"/>
      <w:shd w:val="clear" w:color="auto" w:fill="E1DFDD"/>
    </w:rPr>
  </w:style>
  <w:style w:type="paragraph" w:styleId="TOCHeading">
    <w:name w:val="TOC Heading"/>
    <w:basedOn w:val="Heading1"/>
    <w:next w:val="Normal"/>
    <w:uiPriority w:val="39"/>
    <w:unhideWhenUsed/>
    <w:qFormat/>
    <w:rsid w:val="00A22ABD"/>
    <w:pPr>
      <w:spacing w:line="259" w:lineRule="auto"/>
      <w:outlineLvl w:val="9"/>
    </w:pPr>
    <w:rPr>
      <w:rFonts w:asciiTheme="majorHAnsi" w:hAnsiTheme="majorHAnsi" w:cstheme="majorBidi"/>
      <w:b/>
      <w:color w:val="2F5496" w:themeColor="accent1" w:themeShade="BF"/>
      <w:szCs w:val="32"/>
      <w:lang w:eastAsia="en-GB"/>
    </w:rPr>
  </w:style>
  <w:style w:type="paragraph" w:styleId="TOC1">
    <w:name w:val="toc 1"/>
    <w:basedOn w:val="Normal"/>
    <w:next w:val="Normal"/>
    <w:autoRedefine/>
    <w:uiPriority w:val="39"/>
    <w:unhideWhenUsed/>
    <w:rsid w:val="00A22A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roke.org.uk/stroke/statist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386529/mortality-rate-of-stroke-by-gender-and-age-in-england-and-wa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2024/11/hospital-admissions-for-strokes-rise-by-28-since-2004-as-nhs-urges-the-public-to-act-fas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hf.org.uk/what-we-do/our-research/circulatory-conditions-research/stroke-research"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ho.int/news-room/fact-sheets/detail/st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CE193-B3D8-434E-B232-6AEA09B58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2147</Words>
  <Characters>12241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Stefana Ion</cp:lastModifiedBy>
  <cp:revision>9</cp:revision>
  <dcterms:created xsi:type="dcterms:W3CDTF">2026-04-19T15:30:00Z</dcterms:created>
  <dcterms:modified xsi:type="dcterms:W3CDTF">2026-04-19T15:36:00Z</dcterms:modified>
</cp:coreProperties>
</file>