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580834A9" w14:textId="77777777" w:rsidR="003A1753" w:rsidRDefault="003A1753" w:rsidP="003A1753">
      <w:pPr>
        <w:spacing w:line="360" w:lineRule="auto"/>
        <w:ind w:left="4320"/>
        <w:jc w:val="both"/>
        <w:rPr>
          <w:rFonts w:ascii="Arial" w:hAnsi="Arial" w:cs="Arial"/>
          <w:b/>
        </w:rPr>
      </w:pPr>
      <w:r>
        <w:rPr>
          <w:rFonts w:ascii="Arial" w:hAnsi="Arial" w:cs="Arial"/>
          <w:b/>
          <w:noProof/>
        </w:rPr>
        <w:drawing>
          <wp:inline distT="0" distB="0" distL="0" distR="0" wp14:anchorId="557EDB78" wp14:editId="79A57E8B">
            <wp:extent cx="2792095" cy="1158240"/>
            <wp:effectExtent l="0" t="0" r="8255"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792095" cy="1158240"/>
                    </a:xfrm>
                    <a:prstGeom prst="rect">
                      <a:avLst/>
                    </a:prstGeom>
                    <a:noFill/>
                  </pic:spPr>
                </pic:pic>
              </a:graphicData>
            </a:graphic>
          </wp:inline>
        </w:drawing>
      </w:r>
    </w:p>
    <w:tbl>
      <w:tblPr>
        <w:tblStyle w:val="TableGrid"/>
        <w:tblW w:w="0" w:type="auto"/>
        <w:jc w:val="center"/>
        <w:tblBorders>
          <w:top w:val="single" w:sz="18" w:space="0" w:color="auto"/>
          <w:left w:val="single" w:sz="18" w:space="0" w:color="auto"/>
          <w:bottom w:val="single" w:sz="18" w:space="0" w:color="auto"/>
          <w:right w:val="single" w:sz="18" w:space="0" w:color="auto"/>
          <w:insideH w:val="single" w:sz="6" w:space="0" w:color="auto"/>
          <w:insideV w:val="single" w:sz="6" w:space="0" w:color="auto"/>
        </w:tblBorders>
        <w:tblLook w:val="04A0" w:firstRow="1" w:lastRow="0" w:firstColumn="1" w:lastColumn="0" w:noHBand="0" w:noVBand="1"/>
      </w:tblPr>
      <w:tblGrid>
        <w:gridCol w:w="2515"/>
        <w:gridCol w:w="5825"/>
      </w:tblGrid>
      <w:tr w:rsidR="003A1753" w:rsidRPr="008C2C27" w14:paraId="03BFD55C" w14:textId="77777777" w:rsidTr="00D67D57">
        <w:trPr>
          <w:trHeight w:val="179"/>
          <w:jc w:val="center"/>
        </w:trPr>
        <w:tc>
          <w:tcPr>
            <w:tcW w:w="0" w:type="auto"/>
            <w:hideMark/>
          </w:tcPr>
          <w:p w14:paraId="4DD90E3C" w14:textId="77777777" w:rsidR="003A1753" w:rsidRPr="008C2C27" w:rsidRDefault="003A1753" w:rsidP="00D67D57">
            <w:pPr>
              <w:spacing w:line="360" w:lineRule="auto"/>
              <w:jc w:val="both"/>
              <w:rPr>
                <w:rFonts w:ascii="Arial" w:eastAsia="Times New Roman" w:hAnsi="Arial" w:cs="Arial"/>
                <w:b/>
                <w:bCs/>
              </w:rPr>
            </w:pPr>
            <w:r w:rsidRPr="008C2C27">
              <w:rPr>
                <w:rFonts w:ascii="Arial" w:eastAsia="Times New Roman" w:hAnsi="Arial" w:cs="Arial"/>
                <w:b/>
                <w:bCs/>
              </w:rPr>
              <w:t>Student Name:</w:t>
            </w:r>
          </w:p>
        </w:tc>
        <w:tc>
          <w:tcPr>
            <w:tcW w:w="5825" w:type="dxa"/>
            <w:hideMark/>
          </w:tcPr>
          <w:p w14:paraId="1B0401A5" w14:textId="2F852FCE" w:rsidR="003A1753" w:rsidRPr="008C2C27" w:rsidRDefault="00A20316" w:rsidP="00D67D57">
            <w:pPr>
              <w:spacing w:line="360" w:lineRule="auto"/>
              <w:jc w:val="both"/>
              <w:rPr>
                <w:rFonts w:ascii="Arial" w:eastAsia="Times New Roman" w:hAnsi="Arial" w:cs="Arial"/>
                <w:bCs/>
              </w:rPr>
            </w:pPr>
            <w:r>
              <w:rPr>
                <w:rFonts w:ascii="Arial" w:eastAsia="Times New Roman" w:hAnsi="Arial" w:cs="Arial"/>
                <w:bCs/>
              </w:rPr>
              <w:t>Anisah Hasan</w:t>
            </w:r>
          </w:p>
        </w:tc>
      </w:tr>
      <w:tr w:rsidR="003A1753" w:rsidRPr="008C2C27" w14:paraId="7AC6855E" w14:textId="77777777" w:rsidTr="00D67D57">
        <w:trPr>
          <w:jc w:val="center"/>
        </w:trPr>
        <w:tc>
          <w:tcPr>
            <w:tcW w:w="0" w:type="auto"/>
            <w:hideMark/>
          </w:tcPr>
          <w:p w14:paraId="7168E9A9" w14:textId="77777777" w:rsidR="003A1753" w:rsidRPr="008C2C27" w:rsidRDefault="003A1753" w:rsidP="00D67D57">
            <w:pPr>
              <w:spacing w:line="360" w:lineRule="auto"/>
              <w:jc w:val="both"/>
              <w:rPr>
                <w:rFonts w:ascii="Arial" w:eastAsia="Times New Roman" w:hAnsi="Arial" w:cs="Arial"/>
              </w:rPr>
            </w:pPr>
            <w:r w:rsidRPr="008C2C27">
              <w:rPr>
                <w:rFonts w:ascii="Arial" w:eastAsia="Times New Roman" w:hAnsi="Arial" w:cs="Arial"/>
                <w:b/>
                <w:bCs/>
              </w:rPr>
              <w:t>Student ID Number:</w:t>
            </w:r>
          </w:p>
        </w:tc>
        <w:tc>
          <w:tcPr>
            <w:tcW w:w="5825" w:type="dxa"/>
            <w:hideMark/>
          </w:tcPr>
          <w:p w14:paraId="60D8DDEC" w14:textId="433D61C1" w:rsidR="003A1753" w:rsidRPr="008C2C27" w:rsidRDefault="00986A17" w:rsidP="00D67D57">
            <w:pPr>
              <w:spacing w:line="360" w:lineRule="auto"/>
              <w:jc w:val="both"/>
              <w:rPr>
                <w:rFonts w:ascii="Arial" w:eastAsia="Times New Roman" w:hAnsi="Arial" w:cs="Arial"/>
              </w:rPr>
            </w:pPr>
            <w:r>
              <w:rPr>
                <w:rFonts w:ascii="Arial" w:eastAsia="Times New Roman" w:hAnsi="Arial" w:cs="Arial"/>
              </w:rPr>
              <w:t>250</w:t>
            </w:r>
            <w:r w:rsidR="00896F4A">
              <w:rPr>
                <w:rFonts w:ascii="Arial" w:eastAsia="Times New Roman" w:hAnsi="Arial" w:cs="Arial"/>
              </w:rPr>
              <w:t>8993</w:t>
            </w:r>
          </w:p>
        </w:tc>
      </w:tr>
      <w:tr w:rsidR="003A1753" w:rsidRPr="008C2C27" w14:paraId="00BDA374" w14:textId="77777777" w:rsidTr="00D67D57">
        <w:trPr>
          <w:jc w:val="center"/>
        </w:trPr>
        <w:tc>
          <w:tcPr>
            <w:tcW w:w="0" w:type="auto"/>
            <w:hideMark/>
          </w:tcPr>
          <w:p w14:paraId="2CF750CC" w14:textId="77777777" w:rsidR="003A1753" w:rsidRPr="008C2C27" w:rsidRDefault="003A1753" w:rsidP="00D67D57">
            <w:pPr>
              <w:spacing w:line="360" w:lineRule="auto"/>
              <w:jc w:val="both"/>
              <w:rPr>
                <w:rFonts w:ascii="Arial" w:eastAsia="Times New Roman" w:hAnsi="Arial" w:cs="Arial"/>
              </w:rPr>
            </w:pPr>
            <w:r w:rsidRPr="008C2C27">
              <w:rPr>
                <w:rFonts w:ascii="Arial" w:eastAsia="Times New Roman" w:hAnsi="Arial" w:cs="Arial"/>
                <w:b/>
                <w:bCs/>
              </w:rPr>
              <w:t>Programme:</w:t>
            </w:r>
          </w:p>
        </w:tc>
        <w:tc>
          <w:tcPr>
            <w:tcW w:w="5825" w:type="dxa"/>
            <w:hideMark/>
          </w:tcPr>
          <w:p w14:paraId="26E3804C" w14:textId="77777777" w:rsidR="003A1753" w:rsidRPr="008C2C27" w:rsidRDefault="003A1753" w:rsidP="00D67D57">
            <w:pPr>
              <w:spacing w:line="360" w:lineRule="auto"/>
              <w:jc w:val="both"/>
              <w:rPr>
                <w:rFonts w:ascii="Arial" w:eastAsia="Times New Roman" w:hAnsi="Arial" w:cs="Arial"/>
              </w:rPr>
            </w:pPr>
            <w:r w:rsidRPr="008C2C27">
              <w:rPr>
                <w:rFonts w:ascii="Arial" w:eastAsia="Times New Roman" w:hAnsi="Arial" w:cs="Arial"/>
              </w:rPr>
              <w:t>Certificate of Higher Education Skills for the Workplace (Health &amp; Social Care)</w:t>
            </w:r>
          </w:p>
        </w:tc>
      </w:tr>
      <w:tr w:rsidR="003A1753" w:rsidRPr="008C2C27" w14:paraId="273C1BFD" w14:textId="77777777" w:rsidTr="00D67D57">
        <w:trPr>
          <w:jc w:val="center"/>
        </w:trPr>
        <w:tc>
          <w:tcPr>
            <w:tcW w:w="0" w:type="auto"/>
            <w:hideMark/>
          </w:tcPr>
          <w:p w14:paraId="06344354" w14:textId="77777777" w:rsidR="003A1753" w:rsidRPr="008C2C27" w:rsidRDefault="003A1753" w:rsidP="00D67D57">
            <w:pPr>
              <w:spacing w:line="360" w:lineRule="auto"/>
              <w:jc w:val="both"/>
              <w:rPr>
                <w:rFonts w:ascii="Arial" w:eastAsia="Times New Roman" w:hAnsi="Arial" w:cs="Arial"/>
              </w:rPr>
            </w:pPr>
            <w:r w:rsidRPr="008C2C27">
              <w:rPr>
                <w:rFonts w:ascii="Arial" w:eastAsia="Times New Roman" w:hAnsi="Arial" w:cs="Arial"/>
                <w:b/>
                <w:bCs/>
              </w:rPr>
              <w:t>Module Title:</w:t>
            </w:r>
          </w:p>
        </w:tc>
        <w:tc>
          <w:tcPr>
            <w:tcW w:w="5825" w:type="dxa"/>
            <w:hideMark/>
          </w:tcPr>
          <w:p w14:paraId="1E07AB1C" w14:textId="77777777" w:rsidR="003A1753" w:rsidRPr="008C2C27" w:rsidRDefault="003A1753" w:rsidP="00D67D57">
            <w:pPr>
              <w:spacing w:line="360" w:lineRule="auto"/>
              <w:jc w:val="both"/>
              <w:rPr>
                <w:rFonts w:ascii="Arial" w:eastAsia="Times New Roman" w:hAnsi="Arial" w:cs="Arial"/>
              </w:rPr>
            </w:pPr>
            <w:r w:rsidRPr="008C2C27">
              <w:rPr>
                <w:rFonts w:ascii="Arial" w:hAnsi="Arial" w:cs="Arial"/>
              </w:rPr>
              <w:t>Psychology in Health and Social Care</w:t>
            </w:r>
          </w:p>
        </w:tc>
      </w:tr>
      <w:tr w:rsidR="003A1753" w:rsidRPr="008C2C27" w14:paraId="5E289A0A" w14:textId="77777777" w:rsidTr="00D67D57">
        <w:trPr>
          <w:jc w:val="center"/>
        </w:trPr>
        <w:tc>
          <w:tcPr>
            <w:tcW w:w="0" w:type="auto"/>
            <w:hideMark/>
          </w:tcPr>
          <w:p w14:paraId="480A8DB1" w14:textId="77777777" w:rsidR="003A1753" w:rsidRPr="008C2C27" w:rsidRDefault="003A1753" w:rsidP="00D67D57">
            <w:pPr>
              <w:spacing w:line="360" w:lineRule="auto"/>
              <w:jc w:val="both"/>
              <w:rPr>
                <w:rFonts w:ascii="Arial" w:eastAsia="Times New Roman" w:hAnsi="Arial" w:cs="Arial"/>
              </w:rPr>
            </w:pPr>
            <w:r w:rsidRPr="008C2C27">
              <w:rPr>
                <w:rFonts w:ascii="Arial" w:eastAsia="Times New Roman" w:hAnsi="Arial" w:cs="Arial"/>
                <w:b/>
                <w:bCs/>
              </w:rPr>
              <w:t>Module Code:</w:t>
            </w:r>
          </w:p>
        </w:tc>
        <w:tc>
          <w:tcPr>
            <w:tcW w:w="5825" w:type="dxa"/>
            <w:hideMark/>
          </w:tcPr>
          <w:p w14:paraId="57EA9A26" w14:textId="77777777" w:rsidR="003A1753" w:rsidRPr="008C2C27" w:rsidRDefault="003A1753" w:rsidP="00D67D57">
            <w:pPr>
              <w:spacing w:line="360" w:lineRule="auto"/>
              <w:jc w:val="both"/>
              <w:rPr>
                <w:rFonts w:ascii="Arial" w:eastAsia="Times New Roman" w:hAnsi="Arial" w:cs="Arial"/>
              </w:rPr>
            </w:pPr>
            <w:r w:rsidRPr="008C2C27">
              <w:rPr>
                <w:rFonts w:ascii="Arial" w:eastAsia="Times New Roman" w:hAnsi="Arial" w:cs="Arial"/>
              </w:rPr>
              <w:t>LCHS4010</w:t>
            </w:r>
          </w:p>
        </w:tc>
      </w:tr>
      <w:tr w:rsidR="003A1753" w:rsidRPr="008C2C27" w14:paraId="7C1A54AB" w14:textId="77777777" w:rsidTr="00D67D57">
        <w:trPr>
          <w:jc w:val="center"/>
        </w:trPr>
        <w:tc>
          <w:tcPr>
            <w:tcW w:w="0" w:type="auto"/>
            <w:hideMark/>
          </w:tcPr>
          <w:p w14:paraId="56AA6399" w14:textId="77777777" w:rsidR="003A1753" w:rsidRPr="008C2C27" w:rsidRDefault="003A1753" w:rsidP="00D67D57">
            <w:pPr>
              <w:spacing w:line="360" w:lineRule="auto"/>
              <w:jc w:val="both"/>
              <w:rPr>
                <w:rFonts w:ascii="Arial" w:eastAsia="Times New Roman" w:hAnsi="Arial" w:cs="Arial"/>
              </w:rPr>
            </w:pPr>
            <w:r w:rsidRPr="008C2C27">
              <w:rPr>
                <w:rFonts w:ascii="Arial" w:eastAsia="Times New Roman" w:hAnsi="Arial" w:cs="Arial"/>
                <w:b/>
                <w:bCs/>
              </w:rPr>
              <w:t>Lecturer:</w:t>
            </w:r>
          </w:p>
        </w:tc>
        <w:tc>
          <w:tcPr>
            <w:tcW w:w="5825" w:type="dxa"/>
            <w:hideMark/>
          </w:tcPr>
          <w:p w14:paraId="61BBC8FC" w14:textId="77777777" w:rsidR="003A1753" w:rsidRPr="008C2C27" w:rsidRDefault="003A1753" w:rsidP="00D67D57">
            <w:pPr>
              <w:spacing w:line="360" w:lineRule="auto"/>
              <w:jc w:val="both"/>
              <w:rPr>
                <w:rFonts w:ascii="Arial" w:eastAsia="Times New Roman" w:hAnsi="Arial" w:cs="Arial"/>
              </w:rPr>
            </w:pPr>
            <w:r w:rsidRPr="008C2C27">
              <w:rPr>
                <w:rFonts w:ascii="Arial" w:hAnsi="Arial" w:cs="Arial"/>
              </w:rPr>
              <w:t>Neale Haddon (Module lead)</w:t>
            </w:r>
          </w:p>
        </w:tc>
      </w:tr>
      <w:tr w:rsidR="003A1753" w:rsidRPr="008C2C27" w14:paraId="3E4ED7E6" w14:textId="77777777" w:rsidTr="00D67D57">
        <w:trPr>
          <w:jc w:val="center"/>
        </w:trPr>
        <w:tc>
          <w:tcPr>
            <w:tcW w:w="0" w:type="auto"/>
            <w:hideMark/>
          </w:tcPr>
          <w:p w14:paraId="192F1E42" w14:textId="77777777" w:rsidR="003A1753" w:rsidRPr="008C2C27" w:rsidRDefault="003A1753" w:rsidP="00D67D57">
            <w:pPr>
              <w:spacing w:line="360" w:lineRule="auto"/>
              <w:jc w:val="both"/>
              <w:rPr>
                <w:rFonts w:ascii="Arial" w:eastAsia="Times New Roman" w:hAnsi="Arial" w:cs="Arial"/>
              </w:rPr>
            </w:pPr>
            <w:r w:rsidRPr="008C2C27">
              <w:rPr>
                <w:rFonts w:ascii="Arial" w:eastAsia="Times New Roman" w:hAnsi="Arial" w:cs="Arial"/>
                <w:b/>
                <w:bCs/>
              </w:rPr>
              <w:t>Assignment Title:</w:t>
            </w:r>
          </w:p>
        </w:tc>
        <w:tc>
          <w:tcPr>
            <w:tcW w:w="5825" w:type="dxa"/>
            <w:hideMark/>
          </w:tcPr>
          <w:p w14:paraId="3FA8804D" w14:textId="77777777" w:rsidR="003A1753" w:rsidRPr="008C2C27" w:rsidRDefault="003A1753" w:rsidP="00D67D57">
            <w:pPr>
              <w:spacing w:line="360" w:lineRule="auto"/>
              <w:jc w:val="both"/>
              <w:rPr>
                <w:rFonts w:ascii="Arial" w:eastAsia="Times New Roman" w:hAnsi="Arial" w:cs="Arial"/>
              </w:rPr>
            </w:pPr>
            <w:r w:rsidRPr="008C2C27">
              <w:rPr>
                <w:rFonts w:ascii="Arial" w:hAnsi="Arial" w:cs="Arial"/>
              </w:rPr>
              <w:t>Assessment 2: Essay</w:t>
            </w:r>
          </w:p>
        </w:tc>
      </w:tr>
      <w:tr w:rsidR="003A1753" w:rsidRPr="008C2C27" w14:paraId="27BC5E6D" w14:textId="77777777" w:rsidTr="00D67D57">
        <w:trPr>
          <w:jc w:val="center"/>
        </w:trPr>
        <w:tc>
          <w:tcPr>
            <w:tcW w:w="0" w:type="auto"/>
            <w:hideMark/>
          </w:tcPr>
          <w:p w14:paraId="71BD68CB" w14:textId="77777777" w:rsidR="003A1753" w:rsidRPr="008C2C27" w:rsidRDefault="003A1753" w:rsidP="00D67D57">
            <w:pPr>
              <w:spacing w:line="360" w:lineRule="auto"/>
              <w:jc w:val="both"/>
              <w:rPr>
                <w:rFonts w:ascii="Arial" w:eastAsia="Times New Roman" w:hAnsi="Arial" w:cs="Arial"/>
              </w:rPr>
            </w:pPr>
            <w:r w:rsidRPr="008C2C27">
              <w:rPr>
                <w:rFonts w:ascii="Arial" w:eastAsia="Times New Roman" w:hAnsi="Arial" w:cs="Arial"/>
                <w:b/>
                <w:bCs/>
              </w:rPr>
              <w:t>Submission Deadline:</w:t>
            </w:r>
          </w:p>
        </w:tc>
        <w:tc>
          <w:tcPr>
            <w:tcW w:w="5825" w:type="dxa"/>
            <w:hideMark/>
          </w:tcPr>
          <w:p w14:paraId="0A6A3693" w14:textId="77777777" w:rsidR="003A1753" w:rsidRPr="008C2C27" w:rsidRDefault="003A1753" w:rsidP="00D67D57">
            <w:pPr>
              <w:spacing w:line="360" w:lineRule="auto"/>
              <w:jc w:val="both"/>
              <w:rPr>
                <w:rFonts w:ascii="Arial" w:eastAsia="Times New Roman" w:hAnsi="Arial" w:cs="Arial"/>
              </w:rPr>
            </w:pPr>
            <w:r w:rsidRPr="008C2C27">
              <w:rPr>
                <w:rFonts w:ascii="Arial" w:hAnsi="Arial" w:cs="Arial"/>
              </w:rPr>
              <w:t>Tuesday 21st July 2026, 10 am</w:t>
            </w:r>
          </w:p>
        </w:tc>
      </w:tr>
    </w:tbl>
    <w:p w14:paraId="007F37D8" w14:textId="77777777" w:rsidR="003A1753" w:rsidRDefault="003A1753" w:rsidP="003A1753">
      <w:pPr>
        <w:spacing w:line="360" w:lineRule="auto"/>
        <w:jc w:val="both"/>
        <w:rPr>
          <w:rFonts w:ascii="Arial" w:hAnsi="Arial" w:cs="Arial"/>
          <w:b/>
        </w:rPr>
      </w:pPr>
    </w:p>
    <w:p w14:paraId="2B8E0E72" w14:textId="77777777" w:rsidR="003A1753" w:rsidRDefault="003A1753" w:rsidP="003A1753">
      <w:pPr>
        <w:spacing w:line="360" w:lineRule="auto"/>
        <w:jc w:val="both"/>
        <w:rPr>
          <w:rFonts w:ascii="Arial" w:hAnsi="Arial" w:cs="Arial"/>
          <w:b/>
        </w:rPr>
      </w:pPr>
    </w:p>
    <w:p w14:paraId="03CCEF01" w14:textId="77777777" w:rsidR="003A1753" w:rsidRDefault="003A1753" w:rsidP="003A1753">
      <w:pPr>
        <w:spacing w:line="360" w:lineRule="auto"/>
        <w:jc w:val="both"/>
        <w:rPr>
          <w:rFonts w:ascii="Arial" w:hAnsi="Arial" w:cs="Arial"/>
          <w:b/>
        </w:rPr>
      </w:pPr>
    </w:p>
    <w:p w14:paraId="67F9B232" w14:textId="77777777" w:rsidR="003A1753" w:rsidRDefault="003A1753" w:rsidP="003A1753">
      <w:pPr>
        <w:spacing w:line="360" w:lineRule="auto"/>
        <w:jc w:val="both"/>
        <w:rPr>
          <w:rFonts w:ascii="Arial" w:hAnsi="Arial" w:cs="Arial"/>
          <w:b/>
        </w:rPr>
      </w:pPr>
    </w:p>
    <w:p w14:paraId="71360C87" w14:textId="77777777" w:rsidR="003A1753" w:rsidRDefault="003A1753" w:rsidP="003A1753">
      <w:pPr>
        <w:spacing w:line="360" w:lineRule="auto"/>
        <w:jc w:val="both"/>
        <w:rPr>
          <w:rFonts w:ascii="Arial" w:hAnsi="Arial" w:cs="Arial"/>
          <w:b/>
        </w:rPr>
      </w:pPr>
    </w:p>
    <w:p w14:paraId="418B8FE7" w14:textId="77777777" w:rsidR="003A1753" w:rsidRDefault="003A1753" w:rsidP="003A1753">
      <w:pPr>
        <w:spacing w:line="360" w:lineRule="auto"/>
        <w:jc w:val="both"/>
        <w:rPr>
          <w:rFonts w:ascii="Arial" w:hAnsi="Arial" w:cs="Arial"/>
          <w:b/>
        </w:rPr>
      </w:pPr>
    </w:p>
    <w:p w14:paraId="221C6A4F" w14:textId="77777777" w:rsidR="003A1753" w:rsidRDefault="003A1753" w:rsidP="003A1753">
      <w:pPr>
        <w:spacing w:line="360" w:lineRule="auto"/>
        <w:jc w:val="both"/>
        <w:rPr>
          <w:rFonts w:ascii="Arial" w:hAnsi="Arial" w:cs="Arial"/>
          <w:b/>
        </w:rPr>
      </w:pPr>
    </w:p>
    <w:p w14:paraId="372726ED" w14:textId="77777777" w:rsidR="003A1753" w:rsidRDefault="003A1753" w:rsidP="003A1753">
      <w:pPr>
        <w:spacing w:line="360" w:lineRule="auto"/>
        <w:jc w:val="both"/>
        <w:rPr>
          <w:rFonts w:ascii="Arial" w:hAnsi="Arial" w:cs="Arial"/>
          <w:b/>
        </w:rPr>
      </w:pPr>
    </w:p>
    <w:p w14:paraId="740D1DD9" w14:textId="77777777" w:rsidR="003A1753" w:rsidRDefault="003A1753" w:rsidP="003A1753">
      <w:pPr>
        <w:spacing w:line="360" w:lineRule="auto"/>
        <w:jc w:val="both"/>
        <w:rPr>
          <w:rFonts w:ascii="Arial" w:hAnsi="Arial" w:cs="Arial"/>
          <w:b/>
        </w:rPr>
      </w:pPr>
    </w:p>
    <w:p w14:paraId="363F002C" w14:textId="77777777" w:rsidR="003A1753" w:rsidRDefault="003A1753" w:rsidP="003A1753">
      <w:pPr>
        <w:spacing w:line="360" w:lineRule="auto"/>
        <w:jc w:val="both"/>
        <w:rPr>
          <w:rFonts w:ascii="Arial" w:hAnsi="Arial" w:cs="Arial"/>
          <w:b/>
        </w:rPr>
      </w:pPr>
    </w:p>
    <w:p w14:paraId="29F678DE" w14:textId="77777777" w:rsidR="003A1753" w:rsidRDefault="003A1753" w:rsidP="003A1753">
      <w:pPr>
        <w:spacing w:line="360" w:lineRule="auto"/>
        <w:jc w:val="both"/>
        <w:rPr>
          <w:rFonts w:ascii="Arial" w:hAnsi="Arial" w:cs="Arial"/>
          <w:b/>
        </w:rPr>
      </w:pPr>
    </w:p>
    <w:p w14:paraId="6F87B12A" w14:textId="77777777" w:rsidR="003A1753" w:rsidRDefault="003A1753" w:rsidP="003A1753">
      <w:pPr>
        <w:spacing w:line="360" w:lineRule="auto"/>
        <w:jc w:val="both"/>
        <w:rPr>
          <w:rFonts w:ascii="Arial" w:hAnsi="Arial" w:cs="Arial"/>
          <w:b/>
        </w:rPr>
      </w:pPr>
    </w:p>
    <w:p w14:paraId="43A49444" w14:textId="77777777" w:rsidR="003A1753" w:rsidRDefault="003A1753" w:rsidP="003A1753">
      <w:pPr>
        <w:spacing w:line="360" w:lineRule="auto"/>
        <w:jc w:val="both"/>
        <w:rPr>
          <w:rFonts w:ascii="Arial" w:hAnsi="Arial" w:cs="Arial"/>
          <w:b/>
        </w:rPr>
      </w:pPr>
    </w:p>
    <w:p w14:paraId="1BD8BFDC" w14:textId="77777777" w:rsidR="003A1753" w:rsidRDefault="003A1753" w:rsidP="003A1753">
      <w:pPr>
        <w:pStyle w:val="pdq2pgselectionanchorcontainer"/>
        <w:rPr>
          <w:rStyle w:val="Strong"/>
          <w:rFonts w:ascii="Arial" w:hAnsi="Arial" w:cs="Arial"/>
          <w:sz w:val="22"/>
          <w:szCs w:val="22"/>
        </w:rPr>
      </w:pPr>
    </w:p>
    <w:p w14:paraId="65451584" w14:textId="77777777" w:rsidR="003A1753" w:rsidRPr="008C2C27" w:rsidRDefault="003A1753" w:rsidP="003A1753">
      <w:pPr>
        <w:pStyle w:val="pdq2pgselectionanchorcontainer"/>
        <w:rPr>
          <w:rFonts w:ascii="Arial" w:hAnsi="Arial" w:cs="Arial"/>
          <w:sz w:val="22"/>
          <w:szCs w:val="22"/>
        </w:rPr>
      </w:pPr>
      <w:r w:rsidRPr="008C2C27">
        <w:rPr>
          <w:rStyle w:val="Strong"/>
          <w:rFonts w:ascii="Arial" w:hAnsi="Arial" w:cs="Arial"/>
          <w:sz w:val="22"/>
          <w:szCs w:val="22"/>
        </w:rPr>
        <w:t>Table of Contents</w:t>
      </w:r>
    </w:p>
    <w:p w14:paraId="26574471" w14:textId="77777777" w:rsidR="003A1753" w:rsidRPr="005437C1" w:rsidRDefault="003A1753" w:rsidP="003A1753">
      <w:pPr>
        <w:pStyle w:val="NormalWeb"/>
        <w:rPr>
          <w:rFonts w:ascii="Arial" w:hAnsi="Arial" w:cs="Arial"/>
          <w:b/>
          <w:sz w:val="22"/>
          <w:szCs w:val="22"/>
        </w:rPr>
      </w:pPr>
      <w:r w:rsidRPr="005437C1">
        <w:rPr>
          <w:rFonts w:ascii="Arial" w:hAnsi="Arial" w:cs="Arial"/>
          <w:b/>
          <w:sz w:val="22"/>
          <w:szCs w:val="22"/>
        </w:rPr>
        <w:t>Introduction ................................................................................................................................ 3</w:t>
      </w:r>
    </w:p>
    <w:p w14:paraId="7CE97492" w14:textId="77777777" w:rsidR="003A1753" w:rsidRPr="005437C1" w:rsidRDefault="003A1753" w:rsidP="003A1753">
      <w:pPr>
        <w:pStyle w:val="NormalWeb"/>
        <w:rPr>
          <w:rFonts w:ascii="Arial" w:hAnsi="Arial" w:cs="Arial"/>
          <w:b/>
          <w:sz w:val="22"/>
          <w:szCs w:val="22"/>
        </w:rPr>
      </w:pPr>
      <w:r>
        <w:rPr>
          <w:rFonts w:ascii="Arial" w:hAnsi="Arial" w:cs="Arial"/>
          <w:b/>
          <w:sz w:val="22"/>
          <w:szCs w:val="22"/>
        </w:rPr>
        <w:t>Main Body</w:t>
      </w:r>
      <w:r w:rsidRPr="005437C1">
        <w:rPr>
          <w:rFonts w:ascii="Arial" w:hAnsi="Arial" w:cs="Arial"/>
          <w:b/>
          <w:sz w:val="22"/>
          <w:szCs w:val="22"/>
        </w:rPr>
        <w:t xml:space="preserve"> ......................................................</w:t>
      </w:r>
      <w:r>
        <w:rPr>
          <w:rFonts w:ascii="Arial" w:hAnsi="Arial" w:cs="Arial"/>
          <w:b/>
          <w:sz w:val="22"/>
          <w:szCs w:val="22"/>
        </w:rPr>
        <w:t>.</w:t>
      </w:r>
      <w:r w:rsidRPr="005437C1">
        <w:rPr>
          <w:rFonts w:ascii="Arial" w:hAnsi="Arial" w:cs="Arial"/>
          <w:b/>
          <w:sz w:val="22"/>
          <w:szCs w:val="22"/>
        </w:rPr>
        <w:t>........................................................................... 3</w:t>
      </w:r>
    </w:p>
    <w:p w14:paraId="2329F6DB" w14:textId="77777777" w:rsidR="003A1753" w:rsidRPr="005437C1" w:rsidRDefault="003A1753" w:rsidP="003A1753">
      <w:pPr>
        <w:pStyle w:val="NormalWeb"/>
        <w:rPr>
          <w:rFonts w:ascii="Arial" w:hAnsi="Arial" w:cs="Arial"/>
          <w:b/>
          <w:sz w:val="22"/>
          <w:szCs w:val="22"/>
        </w:rPr>
      </w:pPr>
      <w:r w:rsidRPr="005437C1">
        <w:rPr>
          <w:rFonts w:ascii="Arial" w:hAnsi="Arial" w:cs="Arial"/>
          <w:b/>
          <w:sz w:val="22"/>
          <w:szCs w:val="22"/>
        </w:rPr>
        <w:t>Conclusion ................................................................................................................................. 7</w:t>
      </w:r>
    </w:p>
    <w:p w14:paraId="1BF0061A" w14:textId="77777777" w:rsidR="003A1753" w:rsidRPr="005437C1" w:rsidRDefault="003A1753" w:rsidP="003A1753">
      <w:pPr>
        <w:pStyle w:val="NormalWeb"/>
        <w:rPr>
          <w:rFonts w:ascii="Arial" w:hAnsi="Arial" w:cs="Arial"/>
          <w:b/>
          <w:sz w:val="22"/>
          <w:szCs w:val="22"/>
        </w:rPr>
      </w:pPr>
      <w:r w:rsidRPr="005437C1">
        <w:rPr>
          <w:rFonts w:ascii="Arial" w:hAnsi="Arial" w:cs="Arial"/>
          <w:b/>
          <w:sz w:val="22"/>
          <w:szCs w:val="22"/>
        </w:rPr>
        <w:t>References .............................................................</w:t>
      </w:r>
      <w:r>
        <w:rPr>
          <w:rFonts w:ascii="Arial" w:hAnsi="Arial" w:cs="Arial"/>
          <w:b/>
          <w:sz w:val="22"/>
          <w:szCs w:val="22"/>
        </w:rPr>
        <w:t>.</w:t>
      </w:r>
      <w:r w:rsidRPr="005437C1">
        <w:rPr>
          <w:rFonts w:ascii="Arial" w:hAnsi="Arial" w:cs="Arial"/>
          <w:b/>
          <w:sz w:val="22"/>
          <w:szCs w:val="22"/>
        </w:rPr>
        <w:t>................................................................... 8</w:t>
      </w:r>
    </w:p>
    <w:p w14:paraId="6226E56A" w14:textId="77777777" w:rsidR="003A1753" w:rsidRDefault="003A1753" w:rsidP="003A1753">
      <w:pPr>
        <w:spacing w:line="360" w:lineRule="auto"/>
        <w:jc w:val="both"/>
        <w:rPr>
          <w:rFonts w:ascii="Arial" w:hAnsi="Arial" w:cs="Arial"/>
          <w:b/>
        </w:rPr>
      </w:pPr>
    </w:p>
    <w:p w14:paraId="093C08C6" w14:textId="77777777" w:rsidR="003A1753" w:rsidRDefault="003A1753" w:rsidP="003A1753">
      <w:pPr>
        <w:spacing w:line="360" w:lineRule="auto"/>
        <w:jc w:val="both"/>
        <w:rPr>
          <w:rFonts w:ascii="Arial" w:hAnsi="Arial" w:cs="Arial"/>
          <w:b/>
        </w:rPr>
      </w:pPr>
    </w:p>
    <w:p w14:paraId="5F2951AB" w14:textId="77777777" w:rsidR="003A1753" w:rsidRDefault="003A1753" w:rsidP="003A1753">
      <w:pPr>
        <w:spacing w:line="360" w:lineRule="auto"/>
        <w:jc w:val="both"/>
        <w:rPr>
          <w:rFonts w:ascii="Arial" w:hAnsi="Arial" w:cs="Arial"/>
          <w:b/>
        </w:rPr>
      </w:pPr>
    </w:p>
    <w:p w14:paraId="4F2F00BC" w14:textId="77777777" w:rsidR="003A1753" w:rsidRDefault="003A1753" w:rsidP="003A1753">
      <w:pPr>
        <w:spacing w:line="360" w:lineRule="auto"/>
        <w:jc w:val="both"/>
        <w:rPr>
          <w:rFonts w:ascii="Arial" w:hAnsi="Arial" w:cs="Arial"/>
          <w:b/>
        </w:rPr>
      </w:pPr>
    </w:p>
    <w:p w14:paraId="593C108D" w14:textId="77777777" w:rsidR="003A1753" w:rsidRDefault="003A1753" w:rsidP="003A1753">
      <w:pPr>
        <w:spacing w:line="360" w:lineRule="auto"/>
        <w:jc w:val="both"/>
        <w:rPr>
          <w:rFonts w:ascii="Arial" w:hAnsi="Arial" w:cs="Arial"/>
          <w:b/>
        </w:rPr>
      </w:pPr>
    </w:p>
    <w:p w14:paraId="7053CC68" w14:textId="77777777" w:rsidR="003A1753" w:rsidRDefault="003A1753" w:rsidP="003A1753">
      <w:pPr>
        <w:spacing w:line="360" w:lineRule="auto"/>
        <w:jc w:val="both"/>
        <w:rPr>
          <w:rFonts w:ascii="Arial" w:hAnsi="Arial" w:cs="Arial"/>
          <w:b/>
        </w:rPr>
      </w:pPr>
    </w:p>
    <w:p w14:paraId="59D5B428" w14:textId="77777777" w:rsidR="003A1753" w:rsidRDefault="003A1753" w:rsidP="003A1753">
      <w:pPr>
        <w:spacing w:line="360" w:lineRule="auto"/>
        <w:jc w:val="both"/>
        <w:rPr>
          <w:rFonts w:ascii="Arial" w:hAnsi="Arial" w:cs="Arial"/>
          <w:b/>
        </w:rPr>
      </w:pPr>
    </w:p>
    <w:p w14:paraId="766D3E77" w14:textId="77777777" w:rsidR="003A1753" w:rsidRDefault="003A1753" w:rsidP="003A1753">
      <w:pPr>
        <w:spacing w:line="360" w:lineRule="auto"/>
        <w:jc w:val="both"/>
        <w:rPr>
          <w:rFonts w:ascii="Arial" w:hAnsi="Arial" w:cs="Arial"/>
          <w:b/>
        </w:rPr>
      </w:pPr>
    </w:p>
    <w:p w14:paraId="58025690" w14:textId="77777777" w:rsidR="003A1753" w:rsidRDefault="003A1753" w:rsidP="003A1753">
      <w:pPr>
        <w:spacing w:line="360" w:lineRule="auto"/>
        <w:jc w:val="both"/>
        <w:rPr>
          <w:rFonts w:ascii="Arial" w:hAnsi="Arial" w:cs="Arial"/>
          <w:b/>
        </w:rPr>
      </w:pPr>
    </w:p>
    <w:p w14:paraId="6CBFAB66" w14:textId="77777777" w:rsidR="003A1753" w:rsidRDefault="003A1753" w:rsidP="003A1753">
      <w:pPr>
        <w:spacing w:line="360" w:lineRule="auto"/>
        <w:jc w:val="both"/>
        <w:rPr>
          <w:rFonts w:ascii="Arial" w:hAnsi="Arial" w:cs="Arial"/>
          <w:b/>
        </w:rPr>
      </w:pPr>
    </w:p>
    <w:p w14:paraId="101F6723" w14:textId="77777777" w:rsidR="003A1753" w:rsidRDefault="003A1753" w:rsidP="003A1753">
      <w:pPr>
        <w:spacing w:line="360" w:lineRule="auto"/>
        <w:jc w:val="both"/>
        <w:rPr>
          <w:rFonts w:ascii="Arial" w:hAnsi="Arial" w:cs="Arial"/>
          <w:b/>
        </w:rPr>
      </w:pPr>
    </w:p>
    <w:p w14:paraId="1FC45F97" w14:textId="77777777" w:rsidR="003A1753" w:rsidRDefault="003A1753" w:rsidP="003A1753">
      <w:pPr>
        <w:spacing w:line="360" w:lineRule="auto"/>
        <w:jc w:val="both"/>
        <w:rPr>
          <w:rFonts w:ascii="Arial" w:hAnsi="Arial" w:cs="Arial"/>
          <w:b/>
        </w:rPr>
      </w:pPr>
    </w:p>
    <w:p w14:paraId="4B93EE55" w14:textId="77777777" w:rsidR="003A1753" w:rsidRDefault="003A1753" w:rsidP="003A1753">
      <w:pPr>
        <w:spacing w:line="360" w:lineRule="auto"/>
        <w:jc w:val="both"/>
        <w:rPr>
          <w:rFonts w:ascii="Arial" w:hAnsi="Arial" w:cs="Arial"/>
          <w:b/>
        </w:rPr>
      </w:pPr>
    </w:p>
    <w:p w14:paraId="052B21DA" w14:textId="77777777" w:rsidR="003A1753" w:rsidRDefault="003A1753" w:rsidP="003A1753">
      <w:pPr>
        <w:spacing w:line="360" w:lineRule="auto"/>
        <w:jc w:val="both"/>
        <w:rPr>
          <w:rFonts w:ascii="Arial" w:hAnsi="Arial" w:cs="Arial"/>
          <w:b/>
        </w:rPr>
      </w:pPr>
    </w:p>
    <w:p w14:paraId="62BE5C0B" w14:textId="77777777" w:rsidR="003A1753" w:rsidRDefault="003A1753" w:rsidP="003A1753">
      <w:pPr>
        <w:spacing w:line="360" w:lineRule="auto"/>
        <w:jc w:val="both"/>
        <w:rPr>
          <w:rFonts w:ascii="Arial" w:hAnsi="Arial" w:cs="Arial"/>
          <w:b/>
        </w:rPr>
      </w:pPr>
    </w:p>
    <w:p w14:paraId="3BDE0683" w14:textId="77777777" w:rsidR="003A1753" w:rsidRDefault="003A1753" w:rsidP="003A1753">
      <w:pPr>
        <w:spacing w:line="360" w:lineRule="auto"/>
        <w:jc w:val="both"/>
        <w:rPr>
          <w:rFonts w:ascii="Arial" w:hAnsi="Arial" w:cs="Arial"/>
          <w:b/>
        </w:rPr>
      </w:pPr>
    </w:p>
    <w:p w14:paraId="4FAC9460" w14:textId="77777777" w:rsidR="003A1753" w:rsidRDefault="003A1753" w:rsidP="003A1753">
      <w:pPr>
        <w:spacing w:line="360" w:lineRule="auto"/>
        <w:jc w:val="both"/>
        <w:rPr>
          <w:rFonts w:ascii="Arial" w:hAnsi="Arial" w:cs="Arial"/>
          <w:b/>
        </w:rPr>
      </w:pPr>
    </w:p>
    <w:p w14:paraId="2AC4F6FA" w14:textId="77777777" w:rsidR="003A1753" w:rsidRDefault="003A1753" w:rsidP="003A1753">
      <w:pPr>
        <w:spacing w:line="360" w:lineRule="auto"/>
        <w:jc w:val="both"/>
        <w:rPr>
          <w:rFonts w:ascii="Arial" w:hAnsi="Arial" w:cs="Arial"/>
          <w:b/>
        </w:rPr>
      </w:pPr>
    </w:p>
    <w:p w14:paraId="61438EF7" w14:textId="77777777" w:rsidR="003A1753" w:rsidRPr="003A1753" w:rsidRDefault="003A1753" w:rsidP="003A1753">
      <w:pPr>
        <w:spacing w:line="360" w:lineRule="auto"/>
        <w:jc w:val="both"/>
        <w:rPr>
          <w:rFonts w:ascii="Arial" w:hAnsi="Arial" w:cs="Arial"/>
          <w:b/>
        </w:rPr>
      </w:pPr>
      <w:r w:rsidRPr="003A1753">
        <w:rPr>
          <w:rFonts w:ascii="Arial" w:hAnsi="Arial" w:cs="Arial"/>
          <w:b/>
        </w:rPr>
        <w:t>Introduction</w:t>
      </w:r>
    </w:p>
    <w:p w14:paraId="77D071C5" w14:textId="77777777" w:rsidR="003A1753" w:rsidRPr="003A1753" w:rsidRDefault="004922D1" w:rsidP="003A1753">
      <w:pPr>
        <w:spacing w:line="360" w:lineRule="auto"/>
        <w:jc w:val="both"/>
        <w:rPr>
          <w:rFonts w:ascii="Arial" w:hAnsi="Arial" w:cs="Arial"/>
        </w:rPr>
      </w:pPr>
      <w:r w:rsidRPr="003A1753">
        <w:rPr>
          <w:rFonts w:ascii="Arial" w:hAnsi="Arial" w:cs="Arial"/>
        </w:rPr>
        <w:t xml:space="preserve">The adolescence period marks the transitional phase whereby individuals experience fast cognitive, affective and psychosocial development, making them more vulnerable to the influence of their surrounding environments. In the modern age, social media have become a very vital aspect in the lives of adolescents who get the chance to interact, learn new things and express themselves through the various social media platforms available today. Although social media play a big role in enhancing interaction and provision of information to young people, research findings show that when not used properly, the social media could increase the vulnerability of some adolescents to suffer from anxiety, depression, emotional problems and low self-esteem (Shannon et al., 2022; Shankleman, Hammond and Jones, 2021). The impact of social media is based on the abilities and relationships of the adolescents and not necessarily the use of the social media platforms. </w:t>
      </w:r>
      <w:r w:rsidR="003A1753" w:rsidRPr="003A1753">
        <w:rPr>
          <w:rFonts w:ascii="Arial" w:hAnsi="Arial" w:cs="Arial"/>
        </w:rPr>
        <w:t>This essay discusses the impact of social media on adolescent mental health by applying Piaget's Cognitive Development Theory and Bowlby's Attachment Theory, supported by recent research evidence.</w:t>
      </w:r>
    </w:p>
    <w:p w14:paraId="12A97CD1" w14:textId="77777777" w:rsidR="004922D1" w:rsidRPr="003A1753" w:rsidRDefault="004922D1" w:rsidP="003A1753">
      <w:pPr>
        <w:spacing w:line="360" w:lineRule="auto"/>
        <w:jc w:val="both"/>
        <w:rPr>
          <w:rFonts w:ascii="Arial" w:hAnsi="Arial" w:cs="Arial"/>
        </w:rPr>
      </w:pPr>
      <w:r w:rsidRPr="003A1753">
        <w:rPr>
          <w:rFonts w:ascii="Arial" w:hAnsi="Arial" w:cs="Arial"/>
        </w:rPr>
        <w:t>The impact of social media usage on mental well-being among adolescents is related to the manner in which teens perceive, process and respond to social media experiences. As more and more teenagers make use of social media for communication, learning and entertainment, there is an exposure to a variety of information that may shape one's emotions, attitude and actions. Literature shows that although social media can provide additional information about learning, mental health and peer interaction, it can also create exposure to misleading and distressing content, potentially impacting psychological well-being (Bozzola et al., 2022; Naslund et al., 2023). According to the Cognitive Development Theory, by Jean Piaget, children pass four stages of cognitive development with the development of increasingly logical and sophisticated cognitive processes occurring as they develop (Piaget, 1972). The stage that i</w:t>
      </w:r>
      <w:r w:rsidR="00F0756C">
        <w:rPr>
          <w:rFonts w:ascii="Arial" w:hAnsi="Arial" w:cs="Arial"/>
        </w:rPr>
        <w:t xml:space="preserve">s the most relevant to the </w:t>
      </w:r>
      <w:r w:rsidR="0060293F">
        <w:rPr>
          <w:rFonts w:ascii="Arial" w:hAnsi="Arial" w:cs="Arial"/>
        </w:rPr>
        <w:t>adolescence</w:t>
      </w:r>
      <w:r w:rsidRPr="003A1753">
        <w:rPr>
          <w:rFonts w:ascii="Arial" w:hAnsi="Arial" w:cs="Arial"/>
        </w:rPr>
        <w:t xml:space="preserve"> is known as the Formal Operational Stage of development. This stage starts around the age of 11 and includes abstract thought and logic. It is especially important at this stage as adolescents start forming their independent opinions about the information found on social media. It can be an idealized lifestyle that adolescents perceive on social media or some fake health information that does not always pass through adolescents' critical thinking, making them confused and</w:t>
      </w:r>
      <w:r w:rsidR="00F0756C">
        <w:rPr>
          <w:rFonts w:ascii="Arial" w:hAnsi="Arial" w:cs="Arial"/>
        </w:rPr>
        <w:t xml:space="preserve"> distressed emotionally. </w:t>
      </w:r>
      <w:r w:rsidRPr="003A1753">
        <w:rPr>
          <w:rFonts w:ascii="Arial" w:hAnsi="Arial" w:cs="Arial"/>
        </w:rPr>
        <w:t>Piaget's theory shows that adolescents' cognitive development is essential for the effects of social media on their psychological state (Piaget, 1972; Bozzola et al., 2022).</w:t>
      </w:r>
    </w:p>
    <w:p w14:paraId="0B262722" w14:textId="77777777" w:rsidR="004922D1" w:rsidRPr="003A1753" w:rsidRDefault="004922D1" w:rsidP="003A1753">
      <w:pPr>
        <w:pStyle w:val="NormalWeb"/>
        <w:spacing w:line="360" w:lineRule="auto"/>
        <w:jc w:val="both"/>
        <w:rPr>
          <w:rFonts w:ascii="Arial" w:hAnsi="Arial" w:cs="Arial"/>
          <w:sz w:val="22"/>
          <w:szCs w:val="22"/>
        </w:rPr>
      </w:pPr>
      <w:r w:rsidRPr="003A1753">
        <w:rPr>
          <w:rFonts w:ascii="Arial" w:hAnsi="Arial" w:cs="Arial"/>
          <w:sz w:val="22"/>
          <w:szCs w:val="22"/>
        </w:rPr>
        <w:t>According to Piaget's Cognitive Development Theory, while the Formal Operational Stage entails the development of cognitive abilities among adolescents, including logical thinking, such skills develop during adolescence and might thus fail to use appropriate judgement in complicated digital environments (Piaget, 1972). Social media platforms are filled with numerous photoshopped images, trends and emotional messages, thus necessitating adolescents to critically assess the authenticity and reliability of such information. However, research suggests that adolescents have difficulty differentiating between realistic and fake content online, thus developing unrealistic perceptions, negative self-image and experiencing more stress and frustration (Rideout et al., 2022; Bozzola et al., 2022). This means that when adolescents constantly see idealized depictions of success, appearances and lifestyle, they are more likely to develop unrealistically high standards and dissatisfaction with themselves, causing increased stress and po</w:t>
      </w:r>
      <w:r w:rsidR="0060293F">
        <w:rPr>
          <w:rFonts w:ascii="Arial" w:hAnsi="Arial" w:cs="Arial"/>
          <w:sz w:val="22"/>
          <w:szCs w:val="22"/>
        </w:rPr>
        <w:t>or self-image. A</w:t>
      </w:r>
      <w:r w:rsidRPr="003A1753">
        <w:rPr>
          <w:rFonts w:ascii="Arial" w:hAnsi="Arial" w:cs="Arial"/>
          <w:sz w:val="22"/>
          <w:szCs w:val="22"/>
        </w:rPr>
        <w:t xml:space="preserve">dolescents who develop greater critical thinking abilities will be able to identify false information, unrealistic online representations and make more informed choices. Therefore, Piaget's theory highlights that cognitive maturity is a key factor influencing whether social media has a positive or negative impact on adolescents' mental health (Piaget, 1972; Rideout </w:t>
      </w:r>
      <w:r w:rsidRPr="00855057">
        <w:rPr>
          <w:rStyle w:val="Emphasis"/>
          <w:rFonts w:ascii="Arial" w:hAnsi="Arial" w:cs="Arial"/>
          <w:i w:val="0"/>
          <w:sz w:val="22"/>
          <w:szCs w:val="22"/>
        </w:rPr>
        <w:t>et al</w:t>
      </w:r>
      <w:r w:rsidRPr="00855057">
        <w:rPr>
          <w:rFonts w:ascii="Arial" w:hAnsi="Arial" w:cs="Arial"/>
          <w:i/>
          <w:sz w:val="22"/>
          <w:szCs w:val="22"/>
        </w:rPr>
        <w:t>.,</w:t>
      </w:r>
      <w:r w:rsidRPr="003A1753">
        <w:rPr>
          <w:rFonts w:ascii="Arial" w:hAnsi="Arial" w:cs="Arial"/>
          <w:sz w:val="22"/>
          <w:szCs w:val="22"/>
        </w:rPr>
        <w:t xml:space="preserve"> 2022).</w:t>
      </w:r>
    </w:p>
    <w:p w14:paraId="51B80896" w14:textId="77777777" w:rsidR="004922D1" w:rsidRPr="003A1753" w:rsidRDefault="004922D1" w:rsidP="003A1753">
      <w:pPr>
        <w:spacing w:line="360" w:lineRule="auto"/>
        <w:jc w:val="both"/>
        <w:rPr>
          <w:rFonts w:ascii="Arial" w:hAnsi="Arial" w:cs="Arial"/>
        </w:rPr>
      </w:pPr>
      <w:r w:rsidRPr="003A1753">
        <w:rPr>
          <w:rFonts w:ascii="Arial" w:hAnsi="Arial" w:cs="Arial"/>
        </w:rPr>
        <w:t>Although there is a common perception that social media has a negative effect on adolescents' mental health, it should be mentioned that the Cognitive Development Theory of Piaget is able to indicate the positive role of social media in this process. As teenagers move to the Formal Operational Stage, their ability to think about other people's perspectives, solve problems and reflect on their own beliefs and experiences becomes better and better (Piaget, 1972). The development of these skills allows many teenagers to use social media as an educational resource and take part in discussions about various social issues. In recent years, it became apparent that teenagers can benefit from using reliable information on the Internet and engaging in conversations within digital communities to improve mental health literacy and develop self-awareness (Naslund et al., 2023; Bozzola et al., 2022). For instance, educational programmes devoted to stress management, emotional resilience, and proper coping strategies can help adolescents identify mental health issues and seek a</w:t>
      </w:r>
      <w:r w:rsidR="00F0756C">
        <w:rPr>
          <w:rFonts w:ascii="Arial" w:hAnsi="Arial" w:cs="Arial"/>
        </w:rPr>
        <w:t>dequate support in time. A</w:t>
      </w:r>
      <w:r w:rsidRPr="003A1753">
        <w:rPr>
          <w:rFonts w:ascii="Arial" w:hAnsi="Arial" w:cs="Arial"/>
        </w:rPr>
        <w:t>ccording to Piaget's theory, adolescents are able to become more efficient at evaluating online information because of the constant development of cognitive skills (Piaget, 1972; Naslund et al., 2023).</w:t>
      </w:r>
    </w:p>
    <w:p w14:paraId="1C2E360A" w14:textId="77777777" w:rsidR="004922D1" w:rsidRPr="003A1753" w:rsidRDefault="004922D1" w:rsidP="003A1753">
      <w:pPr>
        <w:spacing w:line="360" w:lineRule="auto"/>
        <w:jc w:val="both"/>
        <w:rPr>
          <w:rFonts w:ascii="Arial" w:hAnsi="Arial" w:cs="Arial"/>
        </w:rPr>
      </w:pPr>
      <w:r w:rsidRPr="003A1753">
        <w:rPr>
          <w:rFonts w:ascii="Arial" w:hAnsi="Arial" w:cs="Arial"/>
        </w:rPr>
        <w:t>While Piaget's theory describes how teenagers interpret and assess online information, the Attachment Theory by Bowlby can be used to describe the impact of early emotional relations on their reaction to social media usage. According to Bowlby (1969), the emotional connection established b</w:t>
      </w:r>
      <w:r w:rsidR="00F0756C">
        <w:rPr>
          <w:rFonts w:ascii="Arial" w:hAnsi="Arial" w:cs="Arial"/>
        </w:rPr>
        <w:t>etween a young child and their</w:t>
      </w:r>
      <w:r w:rsidRPr="003A1753">
        <w:rPr>
          <w:rFonts w:ascii="Arial" w:hAnsi="Arial" w:cs="Arial"/>
        </w:rPr>
        <w:t xml:space="preserve"> primary caregiver contributes to developing an internal working model, which affects further interpersonal relations, emotional regulation and feeling of safety. Although attachment is developed in early years of life, its effects persist through adolescence, so this theory is very relevant in terms of studying adolescent psychological well-being. Adolescents with secure attachment feel more confident about building healthy interpersonal relations and seeking emotional support, while those with insecure attachment tend to be more sensitive to rejection, loneliness and emotional discomfort (Bowlby, 1969). Social media allow strengthening pre-existing friendships and provide a means for maintaining emotionally supportive relationships in case of limited face-to-face interaction. As recent research shows, positive relations and supportive online communities can positively contribute to the adolescent feeling of belonging and promote their well-being, preventing feelings of isolation and helping teenagers seek necessary help (Best, Manktelow and Taylor, 2021; Naslund et al., 2023). Bowlby's Attachment Theory suggests that the quality of adolescents' emotional relationships influences how social media affects their mental health (Bowlby, 1969; Best, Manktelow and Taylor, 2021).</w:t>
      </w:r>
    </w:p>
    <w:p w14:paraId="33DBE56A" w14:textId="77777777" w:rsidR="004922D1" w:rsidRPr="003A1753" w:rsidRDefault="004922D1" w:rsidP="003A1753">
      <w:pPr>
        <w:spacing w:line="360" w:lineRule="auto"/>
        <w:jc w:val="both"/>
        <w:rPr>
          <w:rFonts w:ascii="Arial" w:hAnsi="Arial" w:cs="Arial"/>
        </w:rPr>
      </w:pPr>
      <w:r w:rsidRPr="003A1753">
        <w:rPr>
          <w:rFonts w:ascii="Arial" w:hAnsi="Arial" w:cs="Arial"/>
        </w:rPr>
        <w:t>Moreover, according to the concept of Attachment Theory by Bowlby, adolescent behavior in relation to social media depends on the level of security in their attachment relationships. Insecure attachment could predispose adolescents to using online interactions as a way to get approval, acceptance, or emotional support due to high levels of fear of being rejected and insecure about their relationships (Bowlby, 1969). Thus, such adolescents would be emotionally dependent on social media, always responding to online messages, validating themselves online, and feeling bad when they do not receive a lot of responses from other users. Recently conducted studies show that teens, experiencing social media problems are more prone to developing anxiety, loneliness and depressive symptoms, especially when social media interactions substitute their real face-to-face interactions (Abi-Jaoude, Naylor and Pignatiello, 2020; Shannon et al., 2022). On the other hand, adolescents with secure attachment are able to keep balanced online relationships and are not emotionally dependent on social media as a source of their emotional comfort. Instead, these adolescents would try to find their emotional comfort in relationships with family and friends.</w:t>
      </w:r>
    </w:p>
    <w:p w14:paraId="15FCEDCD" w14:textId="77777777" w:rsidR="004922D1" w:rsidRPr="003A1753" w:rsidRDefault="004922D1" w:rsidP="003A1753">
      <w:pPr>
        <w:spacing w:line="360" w:lineRule="auto"/>
        <w:jc w:val="both"/>
        <w:rPr>
          <w:rFonts w:ascii="Arial" w:hAnsi="Arial" w:cs="Arial"/>
        </w:rPr>
      </w:pPr>
      <w:r w:rsidRPr="003A1753">
        <w:rPr>
          <w:rFonts w:ascii="Arial" w:hAnsi="Arial" w:cs="Arial"/>
        </w:rPr>
        <w:t>Despite being presented differently, Piaget's Cognitive Development Theory and Bowlby's Attachment Theory give a more complete picture of the influence of social media on the mental state of teenagers because the former states the importance of developing cognitive abilities of teenagers while evaluating information, whereas the latter focuses on the role of secure emotions in the response to communication online. Actually, these theories go hand in hand and help in assessing the situation better. An adolescent who has the necessary critical abilities along with secure attachment will be able to critically evaluate any false information online and to build healthy relationships while experiencing some difficult</w:t>
      </w:r>
      <w:r w:rsidR="00F0756C">
        <w:rPr>
          <w:rFonts w:ascii="Arial" w:hAnsi="Arial" w:cs="Arial"/>
        </w:rPr>
        <w:t>ies emotionally. On the other hand</w:t>
      </w:r>
      <w:r w:rsidRPr="003A1753">
        <w:rPr>
          <w:rFonts w:ascii="Arial" w:hAnsi="Arial" w:cs="Arial"/>
        </w:rPr>
        <w:t xml:space="preserve">, lack of critical evaluation in combination with insecure attachment can make teenagers vulnerable to any false information and dependent on the Internet emotionally which can lead to psychological problems. The analysis shows that the influence of social media is not inherently negative as the problem is related to the cognitive maturity and emotional security of the teenagers and the way they communicate online. Thus, digital literacy promotion, the creation of supportive families and proper social media usage can promote the mental wellbeing of adolescents (Naslund et al., 2023; Bozzola et al.,2022). </w:t>
      </w:r>
    </w:p>
    <w:p w14:paraId="233B803B" w14:textId="77777777" w:rsidR="003A1753" w:rsidRPr="003A1753" w:rsidRDefault="003A1753" w:rsidP="003A1753">
      <w:pPr>
        <w:spacing w:line="360" w:lineRule="auto"/>
        <w:jc w:val="both"/>
        <w:rPr>
          <w:rFonts w:ascii="Arial" w:hAnsi="Arial" w:cs="Arial"/>
          <w:b/>
        </w:rPr>
      </w:pPr>
      <w:r w:rsidRPr="003A1753">
        <w:rPr>
          <w:rFonts w:ascii="Arial" w:hAnsi="Arial" w:cs="Arial"/>
          <w:b/>
        </w:rPr>
        <w:t>Conclusion</w:t>
      </w:r>
    </w:p>
    <w:p w14:paraId="3CB31819" w14:textId="77777777" w:rsidR="003A1753" w:rsidRDefault="003A1753" w:rsidP="003A1753">
      <w:pPr>
        <w:spacing w:line="360" w:lineRule="auto"/>
        <w:jc w:val="both"/>
        <w:rPr>
          <w:rFonts w:ascii="Arial" w:hAnsi="Arial" w:cs="Arial"/>
        </w:rPr>
      </w:pPr>
      <w:r w:rsidRPr="003A1753">
        <w:rPr>
          <w:rFonts w:ascii="Arial" w:hAnsi="Arial" w:cs="Arial"/>
        </w:rPr>
        <w:t>The impact of social media on adolescent mental health is multifaceted since it depends on how adolescents perceive information and establish their relationships on the Internet. Even though social media can help teenagers learn new things, get emotional support and feel connected to other people, its overconsumption or misuse might lead to anxiety and low self-esteem. According to Piaget's Cognitive Development Theory, adolescents' developing cognitive skills will determine how they perceive and react to online experience. On the other hand, the attachment theory developed by Bowlby illustrates the importance of emotional relationships of adolescents in seeking support during the interaction on the Internet. Thus, the application of these theories enables one to get a more complete picture of how social media impacts teenagers. In this case, promoting digital literacy and healthy family relationships, as well as social media usage, will allow one to benefit from the Internet and maintain psychological wellbeing of adolescents.</w:t>
      </w:r>
    </w:p>
    <w:p w14:paraId="3DB0478E" w14:textId="77777777" w:rsidR="003A1753" w:rsidRDefault="003A1753" w:rsidP="003A1753">
      <w:pPr>
        <w:spacing w:line="360" w:lineRule="auto"/>
        <w:jc w:val="both"/>
        <w:rPr>
          <w:rFonts w:ascii="Arial" w:hAnsi="Arial" w:cs="Arial"/>
          <w:b/>
        </w:rPr>
      </w:pPr>
    </w:p>
    <w:p w14:paraId="2EB5EF93" w14:textId="77777777" w:rsidR="003A1753" w:rsidRDefault="003A1753" w:rsidP="003A1753">
      <w:pPr>
        <w:spacing w:line="360" w:lineRule="auto"/>
        <w:jc w:val="both"/>
        <w:rPr>
          <w:rFonts w:ascii="Arial" w:hAnsi="Arial" w:cs="Arial"/>
          <w:b/>
        </w:rPr>
      </w:pPr>
    </w:p>
    <w:p w14:paraId="14B49DD7" w14:textId="77777777" w:rsidR="003A1753" w:rsidRDefault="003A1753" w:rsidP="003A1753">
      <w:pPr>
        <w:spacing w:line="360" w:lineRule="auto"/>
        <w:jc w:val="both"/>
        <w:rPr>
          <w:rFonts w:ascii="Arial" w:hAnsi="Arial" w:cs="Arial"/>
          <w:b/>
        </w:rPr>
      </w:pPr>
    </w:p>
    <w:p w14:paraId="701806DC" w14:textId="77777777" w:rsidR="003A1753" w:rsidRDefault="003A1753" w:rsidP="003A1753">
      <w:pPr>
        <w:spacing w:line="360" w:lineRule="auto"/>
        <w:jc w:val="both"/>
        <w:rPr>
          <w:rFonts w:ascii="Arial" w:hAnsi="Arial" w:cs="Arial"/>
          <w:b/>
        </w:rPr>
      </w:pPr>
    </w:p>
    <w:p w14:paraId="64CC2A3E" w14:textId="77777777" w:rsidR="003A1753" w:rsidRDefault="003A1753" w:rsidP="003A1753">
      <w:pPr>
        <w:spacing w:line="360" w:lineRule="auto"/>
        <w:jc w:val="both"/>
        <w:rPr>
          <w:rFonts w:ascii="Arial" w:hAnsi="Arial" w:cs="Arial"/>
          <w:b/>
        </w:rPr>
      </w:pPr>
    </w:p>
    <w:p w14:paraId="077D8430" w14:textId="77777777" w:rsidR="003A1753" w:rsidRDefault="003A1753" w:rsidP="003A1753">
      <w:pPr>
        <w:spacing w:line="360" w:lineRule="auto"/>
        <w:jc w:val="both"/>
        <w:rPr>
          <w:rFonts w:ascii="Arial" w:hAnsi="Arial" w:cs="Arial"/>
          <w:b/>
        </w:rPr>
      </w:pPr>
    </w:p>
    <w:p w14:paraId="7544DBFB" w14:textId="77777777" w:rsidR="003A1753" w:rsidRDefault="003A1753" w:rsidP="003A1753">
      <w:pPr>
        <w:spacing w:line="360" w:lineRule="auto"/>
        <w:jc w:val="both"/>
        <w:rPr>
          <w:rFonts w:ascii="Arial" w:hAnsi="Arial" w:cs="Arial"/>
          <w:b/>
        </w:rPr>
      </w:pPr>
    </w:p>
    <w:p w14:paraId="6DB83560" w14:textId="77777777" w:rsidR="003A1753" w:rsidRPr="003A1753" w:rsidRDefault="003A1753" w:rsidP="003A1753">
      <w:pPr>
        <w:spacing w:line="360" w:lineRule="auto"/>
        <w:jc w:val="both"/>
        <w:rPr>
          <w:rFonts w:ascii="Arial" w:hAnsi="Arial" w:cs="Arial"/>
          <w:b/>
        </w:rPr>
      </w:pPr>
      <w:r w:rsidRPr="003A1753">
        <w:rPr>
          <w:rFonts w:ascii="Arial" w:hAnsi="Arial" w:cs="Arial"/>
          <w:b/>
        </w:rPr>
        <w:t>References</w:t>
      </w:r>
    </w:p>
    <w:p w14:paraId="4EE49431" w14:textId="77777777" w:rsidR="003A1753" w:rsidRPr="003A1753" w:rsidRDefault="003A1753" w:rsidP="003A1753">
      <w:pPr>
        <w:pStyle w:val="NormalWeb"/>
        <w:spacing w:line="360" w:lineRule="auto"/>
        <w:jc w:val="both"/>
        <w:rPr>
          <w:rFonts w:ascii="Arial" w:hAnsi="Arial" w:cs="Arial"/>
          <w:sz w:val="22"/>
          <w:szCs w:val="22"/>
        </w:rPr>
      </w:pPr>
      <w:r w:rsidRPr="003A1753">
        <w:rPr>
          <w:rFonts w:ascii="Arial" w:hAnsi="Arial" w:cs="Arial"/>
          <w:sz w:val="22"/>
          <w:szCs w:val="22"/>
        </w:rPr>
        <w:t xml:space="preserve">Abi-Jaoude, E., Naylor, K.T. and Pignatiello, A. (2020) ‘Smartphones, social media use and youth mental health’, </w:t>
      </w:r>
      <w:r w:rsidRPr="003A1753">
        <w:rPr>
          <w:rStyle w:val="Emphasis"/>
          <w:rFonts w:ascii="Arial" w:hAnsi="Arial" w:cs="Arial"/>
          <w:sz w:val="22"/>
          <w:szCs w:val="22"/>
        </w:rPr>
        <w:t>Canadian Medical Association Journal</w:t>
      </w:r>
      <w:r w:rsidRPr="003A1753">
        <w:rPr>
          <w:rFonts w:ascii="Arial" w:hAnsi="Arial" w:cs="Arial"/>
          <w:sz w:val="22"/>
          <w:szCs w:val="22"/>
        </w:rPr>
        <w:t xml:space="preserve">, 192(6), pp. E136–E141. </w:t>
      </w:r>
      <w:hyperlink r:id="rId7" w:history="1">
        <w:r w:rsidRPr="003A1753">
          <w:rPr>
            <w:rStyle w:val="Hyperlink"/>
            <w:rFonts w:ascii="Arial" w:hAnsi="Arial" w:cs="Arial"/>
            <w:sz w:val="22"/>
            <w:szCs w:val="22"/>
          </w:rPr>
          <w:t>https://doi.org/10.1503/cmaj.190434</w:t>
        </w:r>
      </w:hyperlink>
    </w:p>
    <w:p w14:paraId="3216006E" w14:textId="77777777" w:rsidR="003A1753" w:rsidRPr="003A1753" w:rsidRDefault="003A1753" w:rsidP="003A1753">
      <w:pPr>
        <w:pStyle w:val="NormalWeb"/>
        <w:spacing w:line="360" w:lineRule="auto"/>
        <w:jc w:val="both"/>
        <w:rPr>
          <w:rFonts w:ascii="Arial" w:hAnsi="Arial" w:cs="Arial"/>
          <w:sz w:val="22"/>
          <w:szCs w:val="22"/>
        </w:rPr>
      </w:pPr>
      <w:r w:rsidRPr="003A1753">
        <w:rPr>
          <w:rFonts w:ascii="Arial" w:hAnsi="Arial" w:cs="Arial"/>
          <w:sz w:val="22"/>
          <w:szCs w:val="22"/>
        </w:rPr>
        <w:t xml:space="preserve">Best, P., Manktelow, R. and Taylor, B. (2021) ‘Online communication, social media and adolescent wellbeing: A systematic narrative review’, </w:t>
      </w:r>
      <w:r w:rsidRPr="003A1753">
        <w:rPr>
          <w:rStyle w:val="Emphasis"/>
          <w:rFonts w:ascii="Arial" w:hAnsi="Arial" w:cs="Arial"/>
          <w:sz w:val="22"/>
          <w:szCs w:val="22"/>
        </w:rPr>
        <w:t>Children and Youth Services Review</w:t>
      </w:r>
      <w:r w:rsidRPr="003A1753">
        <w:rPr>
          <w:rFonts w:ascii="Arial" w:hAnsi="Arial" w:cs="Arial"/>
          <w:sz w:val="22"/>
          <w:szCs w:val="22"/>
        </w:rPr>
        <w:t xml:space="preserve">, 120, 105750. </w:t>
      </w:r>
      <w:hyperlink r:id="rId8" w:history="1">
        <w:r w:rsidRPr="003A1753">
          <w:rPr>
            <w:rStyle w:val="Hyperlink"/>
            <w:rFonts w:ascii="Arial" w:hAnsi="Arial" w:cs="Arial"/>
            <w:sz w:val="22"/>
            <w:szCs w:val="22"/>
          </w:rPr>
          <w:t>https://doi.org/10.1016/j.childyouth.2020.105750</w:t>
        </w:r>
      </w:hyperlink>
    </w:p>
    <w:p w14:paraId="111B53A1" w14:textId="77777777" w:rsidR="003A1753" w:rsidRPr="003A1753" w:rsidRDefault="003A1753" w:rsidP="003A1753">
      <w:pPr>
        <w:pStyle w:val="NormalWeb"/>
        <w:spacing w:line="360" w:lineRule="auto"/>
        <w:jc w:val="both"/>
        <w:rPr>
          <w:rFonts w:ascii="Arial" w:hAnsi="Arial" w:cs="Arial"/>
          <w:sz w:val="22"/>
          <w:szCs w:val="22"/>
        </w:rPr>
      </w:pPr>
      <w:r w:rsidRPr="003A1753">
        <w:rPr>
          <w:rFonts w:ascii="Arial" w:hAnsi="Arial" w:cs="Arial"/>
          <w:sz w:val="22"/>
          <w:szCs w:val="22"/>
        </w:rPr>
        <w:t xml:space="preserve">Bowlby, J. (1969) </w:t>
      </w:r>
      <w:r w:rsidRPr="003A1753">
        <w:rPr>
          <w:rStyle w:val="Emphasis"/>
          <w:rFonts w:ascii="Arial" w:hAnsi="Arial" w:cs="Arial"/>
          <w:sz w:val="22"/>
          <w:szCs w:val="22"/>
        </w:rPr>
        <w:t>Attachment and Loss. Volume 1: Attachment</w:t>
      </w:r>
      <w:r w:rsidRPr="003A1753">
        <w:rPr>
          <w:rFonts w:ascii="Arial" w:hAnsi="Arial" w:cs="Arial"/>
          <w:sz w:val="22"/>
          <w:szCs w:val="22"/>
        </w:rPr>
        <w:t>. London: Hogarth Press.</w:t>
      </w:r>
    </w:p>
    <w:p w14:paraId="60640EE5" w14:textId="77777777" w:rsidR="003A1753" w:rsidRPr="003A1753" w:rsidRDefault="003A1753" w:rsidP="003A1753">
      <w:pPr>
        <w:pStyle w:val="NormalWeb"/>
        <w:spacing w:line="360" w:lineRule="auto"/>
        <w:jc w:val="both"/>
        <w:rPr>
          <w:rFonts w:ascii="Arial" w:hAnsi="Arial" w:cs="Arial"/>
          <w:sz w:val="22"/>
          <w:szCs w:val="22"/>
        </w:rPr>
      </w:pPr>
      <w:r w:rsidRPr="003A1753">
        <w:rPr>
          <w:rFonts w:ascii="Arial" w:hAnsi="Arial" w:cs="Arial"/>
          <w:sz w:val="22"/>
          <w:szCs w:val="22"/>
        </w:rPr>
        <w:t xml:space="preserve">Bozzola, E., Spina, G., Agostiniani, R., Barni, S., Russo, R., Scarpato, E., Di Mauro, A., Di Stefano, A.V., Caruso, C., Corsello, G. and Staiano, A. (2022) ‘The use of social media in children and adolescents: Scoping review on the potential risks and benefits’, </w:t>
      </w:r>
      <w:r w:rsidRPr="003A1753">
        <w:rPr>
          <w:rStyle w:val="Emphasis"/>
          <w:rFonts w:ascii="Arial" w:hAnsi="Arial" w:cs="Arial"/>
          <w:sz w:val="22"/>
          <w:szCs w:val="22"/>
        </w:rPr>
        <w:t>Italian Journal of Pediatrics</w:t>
      </w:r>
      <w:r w:rsidRPr="003A1753">
        <w:rPr>
          <w:rFonts w:ascii="Arial" w:hAnsi="Arial" w:cs="Arial"/>
          <w:sz w:val="22"/>
          <w:szCs w:val="22"/>
        </w:rPr>
        <w:t xml:space="preserve">, 48(1), 193. </w:t>
      </w:r>
      <w:hyperlink r:id="rId9" w:history="1">
        <w:r w:rsidRPr="003A1753">
          <w:rPr>
            <w:rStyle w:val="Hyperlink"/>
            <w:rFonts w:ascii="Arial" w:hAnsi="Arial" w:cs="Arial"/>
            <w:sz w:val="22"/>
            <w:szCs w:val="22"/>
          </w:rPr>
          <w:t>https://doi.org/10.1186/s13052-022-01317-6</w:t>
        </w:r>
      </w:hyperlink>
    </w:p>
    <w:p w14:paraId="799C4500" w14:textId="77777777" w:rsidR="003A1753" w:rsidRPr="003A1753" w:rsidRDefault="003A1753" w:rsidP="003A1753">
      <w:pPr>
        <w:pStyle w:val="NormalWeb"/>
        <w:spacing w:line="360" w:lineRule="auto"/>
        <w:jc w:val="both"/>
        <w:rPr>
          <w:rFonts w:ascii="Arial" w:hAnsi="Arial" w:cs="Arial"/>
          <w:sz w:val="22"/>
          <w:szCs w:val="22"/>
        </w:rPr>
      </w:pPr>
      <w:r w:rsidRPr="003A1753">
        <w:rPr>
          <w:rFonts w:ascii="Arial" w:hAnsi="Arial" w:cs="Arial"/>
          <w:sz w:val="22"/>
          <w:szCs w:val="22"/>
        </w:rPr>
        <w:t xml:space="preserve">Naslund, J.A., Bondre, A., Torous, J. and Aschbrenner, K.A. (2023) ‘Social media and mental health among young people: A review of the evidence’, </w:t>
      </w:r>
      <w:r w:rsidRPr="003A1753">
        <w:rPr>
          <w:rStyle w:val="Emphasis"/>
          <w:rFonts w:ascii="Arial" w:hAnsi="Arial" w:cs="Arial"/>
          <w:sz w:val="22"/>
          <w:szCs w:val="22"/>
        </w:rPr>
        <w:t>Current Opinion in Psychology</w:t>
      </w:r>
      <w:r w:rsidRPr="003A1753">
        <w:rPr>
          <w:rFonts w:ascii="Arial" w:hAnsi="Arial" w:cs="Arial"/>
          <w:sz w:val="22"/>
          <w:szCs w:val="22"/>
        </w:rPr>
        <w:t xml:space="preserve">, 54, 101696. </w:t>
      </w:r>
      <w:hyperlink r:id="rId10" w:history="1">
        <w:r w:rsidRPr="003A1753">
          <w:rPr>
            <w:rStyle w:val="Hyperlink"/>
            <w:rFonts w:ascii="Arial" w:hAnsi="Arial" w:cs="Arial"/>
            <w:sz w:val="22"/>
            <w:szCs w:val="22"/>
          </w:rPr>
          <w:t>https://doi.org/10.1016/j.copsyc.2023.101696</w:t>
        </w:r>
      </w:hyperlink>
    </w:p>
    <w:p w14:paraId="7B0FFAB8" w14:textId="77777777" w:rsidR="003A1753" w:rsidRPr="003A1753" w:rsidRDefault="003A1753" w:rsidP="003A1753">
      <w:pPr>
        <w:pStyle w:val="NormalWeb"/>
        <w:spacing w:line="360" w:lineRule="auto"/>
        <w:jc w:val="both"/>
        <w:rPr>
          <w:rFonts w:ascii="Arial" w:hAnsi="Arial" w:cs="Arial"/>
          <w:sz w:val="22"/>
          <w:szCs w:val="22"/>
        </w:rPr>
      </w:pPr>
      <w:r w:rsidRPr="003A1753">
        <w:rPr>
          <w:rFonts w:ascii="Arial" w:hAnsi="Arial" w:cs="Arial"/>
          <w:sz w:val="22"/>
          <w:szCs w:val="22"/>
        </w:rPr>
        <w:t xml:space="preserve">Piaget, J. (1972) </w:t>
      </w:r>
      <w:r w:rsidRPr="003A1753">
        <w:rPr>
          <w:rStyle w:val="Emphasis"/>
          <w:rFonts w:ascii="Arial" w:hAnsi="Arial" w:cs="Arial"/>
          <w:sz w:val="22"/>
          <w:szCs w:val="22"/>
        </w:rPr>
        <w:t>The Psychology of the Child</w:t>
      </w:r>
      <w:r w:rsidRPr="003A1753">
        <w:rPr>
          <w:rFonts w:ascii="Arial" w:hAnsi="Arial" w:cs="Arial"/>
          <w:sz w:val="22"/>
          <w:szCs w:val="22"/>
        </w:rPr>
        <w:t>. New York: Basic Books.</w:t>
      </w:r>
    </w:p>
    <w:p w14:paraId="2F127070" w14:textId="77777777" w:rsidR="003A1753" w:rsidRPr="003A1753" w:rsidRDefault="003A1753" w:rsidP="003A1753">
      <w:pPr>
        <w:pStyle w:val="NormalWeb"/>
        <w:spacing w:line="360" w:lineRule="auto"/>
        <w:jc w:val="both"/>
        <w:rPr>
          <w:rFonts w:ascii="Arial" w:hAnsi="Arial" w:cs="Arial"/>
          <w:sz w:val="22"/>
          <w:szCs w:val="22"/>
        </w:rPr>
      </w:pPr>
      <w:r w:rsidRPr="003A1753">
        <w:rPr>
          <w:rFonts w:ascii="Arial" w:hAnsi="Arial" w:cs="Arial"/>
          <w:sz w:val="22"/>
          <w:szCs w:val="22"/>
        </w:rPr>
        <w:t xml:space="preserve">Rideout, V., Peebles, A., Mann, S. and Robb, M.B. (2022) </w:t>
      </w:r>
      <w:r w:rsidRPr="003A1753">
        <w:rPr>
          <w:rStyle w:val="Emphasis"/>
          <w:rFonts w:ascii="Arial" w:hAnsi="Arial" w:cs="Arial"/>
          <w:sz w:val="22"/>
          <w:szCs w:val="22"/>
        </w:rPr>
        <w:t>The Common Sense Census: Media Use by Tweens and Teens, 2021</w:t>
      </w:r>
      <w:r w:rsidRPr="003A1753">
        <w:rPr>
          <w:rFonts w:ascii="Arial" w:hAnsi="Arial" w:cs="Arial"/>
          <w:sz w:val="22"/>
          <w:szCs w:val="22"/>
        </w:rPr>
        <w:t>. San Francisco, CA: Common Sense Media.</w:t>
      </w:r>
    </w:p>
    <w:p w14:paraId="71703B72" w14:textId="77777777" w:rsidR="003A1753" w:rsidRPr="003A1753" w:rsidRDefault="003A1753" w:rsidP="003A1753">
      <w:pPr>
        <w:pStyle w:val="NormalWeb"/>
        <w:spacing w:line="360" w:lineRule="auto"/>
        <w:jc w:val="both"/>
        <w:rPr>
          <w:rFonts w:ascii="Arial" w:hAnsi="Arial" w:cs="Arial"/>
          <w:sz w:val="22"/>
          <w:szCs w:val="22"/>
        </w:rPr>
      </w:pPr>
      <w:r w:rsidRPr="003A1753">
        <w:rPr>
          <w:rFonts w:ascii="Arial" w:hAnsi="Arial" w:cs="Arial"/>
          <w:sz w:val="22"/>
          <w:szCs w:val="22"/>
        </w:rPr>
        <w:t xml:space="preserve">Shannon, H., Bush, K., Villeneuve, P.J., Hellemans, K.G.C. and Guimond, S. (2022) ‘Problematic social media use in adolescents and young adults: A systematic review and meta-analysis’, </w:t>
      </w:r>
      <w:r w:rsidRPr="003A1753">
        <w:rPr>
          <w:rStyle w:val="Emphasis"/>
          <w:rFonts w:ascii="Arial" w:hAnsi="Arial" w:cs="Arial"/>
          <w:sz w:val="22"/>
          <w:szCs w:val="22"/>
        </w:rPr>
        <w:t>JMIR Mental Health</w:t>
      </w:r>
      <w:r w:rsidRPr="003A1753">
        <w:rPr>
          <w:rFonts w:ascii="Arial" w:hAnsi="Arial" w:cs="Arial"/>
          <w:sz w:val="22"/>
          <w:szCs w:val="22"/>
        </w:rPr>
        <w:t xml:space="preserve">, 9(4), e33450. </w:t>
      </w:r>
      <w:hyperlink r:id="rId11" w:history="1">
        <w:r w:rsidRPr="003A1753">
          <w:rPr>
            <w:rStyle w:val="Hyperlink"/>
            <w:rFonts w:ascii="Arial" w:hAnsi="Arial" w:cs="Arial"/>
            <w:sz w:val="22"/>
            <w:szCs w:val="22"/>
          </w:rPr>
          <w:t>https://doi.org/10.2196/33450</w:t>
        </w:r>
      </w:hyperlink>
    </w:p>
    <w:sectPr w:rsidR="003A1753" w:rsidRPr="003A1753" w:rsidSect="003A1753">
      <w:footerReference w:type="default" r:id="rId12"/>
      <w:pgSz w:w="12240" w:h="15840"/>
      <w:pgMar w:top="1440" w:right="1440" w:bottom="1440" w:left="1440" w:header="720" w:footer="720" w:gutter="0"/>
      <w:pgBorders w:offsetFrom="page">
        <w:top w:val="single" w:sz="12" w:space="24" w:color="auto"/>
        <w:left w:val="single" w:sz="12" w:space="24" w:color="auto"/>
        <w:bottom w:val="single" w:sz="12" w:space="24" w:color="auto"/>
        <w:right w:val="single" w:sz="12"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32A386CE" w14:textId="77777777" w:rsidR="00BC06F9" w:rsidRDefault="00BC06F9" w:rsidP="003A1753">
      <w:pPr>
        <w:spacing w:after="0" w:line="240" w:lineRule="auto"/>
      </w:pPr>
      <w:r>
        <w:separator/>
      </w:r>
    </w:p>
  </w:endnote>
  <w:endnote w:type="continuationSeparator" w:id="0">
    <w:p w14:paraId="6E6883FB" w14:textId="77777777" w:rsidR="00BC06F9" w:rsidRDefault="00BC06F9" w:rsidP="003A17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Calibri">
    <w:panose1 w:val="020F0502020204030204"/>
    <w:charset w:val="00"/>
    <w:family w:val="swiss"/>
    <w:pitch w:val="variable"/>
    <w:sig w:usb0="E4002EFF" w:usb1="C2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636068295"/>
      <w:docPartObj>
        <w:docPartGallery w:val="Page Numbers (Bottom of Page)"/>
        <w:docPartUnique/>
      </w:docPartObj>
    </w:sdtPr>
    <w:sdtEndPr>
      <w:rPr>
        <w:noProof/>
      </w:rPr>
    </w:sdtEndPr>
    <w:sdtContent>
      <w:p w14:paraId="7091A9F6" w14:textId="77777777" w:rsidR="003A1753" w:rsidRDefault="003A1753">
        <w:pPr>
          <w:pStyle w:val="Footer"/>
          <w:jc w:val="right"/>
        </w:pPr>
        <w:r>
          <w:fldChar w:fldCharType="begin"/>
        </w:r>
        <w:r>
          <w:instrText xml:space="preserve"> PAGE   \* MERGEFORMAT </w:instrText>
        </w:r>
        <w:r>
          <w:fldChar w:fldCharType="separate"/>
        </w:r>
        <w:r w:rsidR="00855057">
          <w:rPr>
            <w:noProof/>
          </w:rPr>
          <w:t>7</w:t>
        </w:r>
        <w:r>
          <w:rPr>
            <w:noProof/>
          </w:rPr>
          <w:fldChar w:fldCharType="end"/>
        </w:r>
      </w:p>
    </w:sdtContent>
  </w:sdt>
  <w:p w14:paraId="1F323349" w14:textId="77777777" w:rsidR="003A1753" w:rsidRDefault="003A175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373A6879" w14:textId="77777777" w:rsidR="00BC06F9" w:rsidRDefault="00BC06F9" w:rsidP="003A1753">
      <w:pPr>
        <w:spacing w:after="0" w:line="240" w:lineRule="auto"/>
      </w:pPr>
      <w:r>
        <w:separator/>
      </w:r>
    </w:p>
  </w:footnote>
  <w:footnote w:type="continuationSeparator" w:id="0">
    <w:p w14:paraId="1E58A891" w14:textId="77777777" w:rsidR="00BC06F9" w:rsidRDefault="00BC06F9" w:rsidP="003A1753">
      <w:pPr>
        <w:spacing w:after="0" w:line="240" w:lineRule="auto"/>
      </w:pPr>
      <w:r>
        <w:continuationSeparator/>
      </w:r>
    </w:p>
  </w:footnote>
</w:footnote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922D1"/>
    <w:rsid w:val="003706C4"/>
    <w:rsid w:val="00393CD4"/>
    <w:rsid w:val="003A1753"/>
    <w:rsid w:val="004922D1"/>
    <w:rsid w:val="0060293F"/>
    <w:rsid w:val="00855057"/>
    <w:rsid w:val="00896F4A"/>
    <w:rsid w:val="00986A17"/>
    <w:rsid w:val="00A20316"/>
    <w:rsid w:val="00BA6D73"/>
    <w:rsid w:val="00BC06F9"/>
    <w:rsid w:val="00EC7B11"/>
    <w:rsid w:val="00EE5FCD"/>
    <w:rsid w:val="00F0756C"/>
    <w:rsid w:val="00FB041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894BE7"/>
  <w15:chartTrackingRefBased/>
  <w15:docId w15:val="{A6665341-C403-4FD6-9293-1A88664304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4922D1"/>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4922D1"/>
    <w:rPr>
      <w:i/>
      <w:iCs/>
    </w:rPr>
  </w:style>
  <w:style w:type="paragraph" w:styleId="Header">
    <w:name w:val="header"/>
    <w:basedOn w:val="Normal"/>
    <w:link w:val="HeaderChar"/>
    <w:uiPriority w:val="99"/>
    <w:unhideWhenUsed/>
    <w:rsid w:val="003A1753"/>
    <w:pPr>
      <w:tabs>
        <w:tab w:val="center" w:pos="4680"/>
        <w:tab w:val="right" w:pos="9360"/>
      </w:tabs>
      <w:spacing w:after="0" w:line="240" w:lineRule="auto"/>
    </w:pPr>
  </w:style>
  <w:style w:type="character" w:customStyle="1" w:styleId="HeaderChar">
    <w:name w:val="Header Char"/>
    <w:basedOn w:val="DefaultParagraphFont"/>
    <w:link w:val="Header"/>
    <w:uiPriority w:val="99"/>
    <w:rsid w:val="003A1753"/>
  </w:style>
  <w:style w:type="paragraph" w:styleId="Footer">
    <w:name w:val="footer"/>
    <w:basedOn w:val="Normal"/>
    <w:link w:val="FooterChar"/>
    <w:uiPriority w:val="99"/>
    <w:unhideWhenUsed/>
    <w:rsid w:val="003A1753"/>
    <w:pPr>
      <w:tabs>
        <w:tab w:val="center" w:pos="4680"/>
        <w:tab w:val="right" w:pos="9360"/>
      </w:tabs>
      <w:spacing w:after="0" w:line="240" w:lineRule="auto"/>
    </w:pPr>
  </w:style>
  <w:style w:type="character" w:customStyle="1" w:styleId="FooterChar">
    <w:name w:val="Footer Char"/>
    <w:basedOn w:val="DefaultParagraphFont"/>
    <w:link w:val="Footer"/>
    <w:uiPriority w:val="99"/>
    <w:rsid w:val="003A1753"/>
  </w:style>
  <w:style w:type="table" w:styleId="TableGrid">
    <w:name w:val="Table Grid"/>
    <w:basedOn w:val="TableNormal"/>
    <w:uiPriority w:val="39"/>
    <w:rsid w:val="003A175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dq2pgselectionanchorcontainer">
    <w:name w:val="pdq2pg_selectionanchorcontainer"/>
    <w:basedOn w:val="Normal"/>
    <w:rsid w:val="003A1753"/>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3A1753"/>
    <w:rPr>
      <w:b/>
      <w:bCs/>
    </w:rPr>
  </w:style>
  <w:style w:type="character" w:styleId="Hyperlink">
    <w:name w:val="Hyperlink"/>
    <w:basedOn w:val="DefaultParagraphFont"/>
    <w:uiPriority w:val="99"/>
    <w:semiHidden/>
    <w:unhideWhenUsed/>
    <w:rsid w:val="003A1753"/>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18155580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16/j.childyouth.2020.105750"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doi.org/10.1503/cmaj.190434" TargetMode="External"/><Relationship Id="rId12"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doi.org/10.2196/33450" TargetMode="External"/><Relationship Id="rId5" Type="http://schemas.openxmlformats.org/officeDocument/2006/relationships/endnotes" Target="endnotes.xml"/><Relationship Id="rId10" Type="http://schemas.openxmlformats.org/officeDocument/2006/relationships/hyperlink" Target="https://doi.org/10.1016/j.copsyc.2023.101696" TargetMode="External"/><Relationship Id="rId4" Type="http://schemas.openxmlformats.org/officeDocument/2006/relationships/footnotes" Target="footnotes.xml"/><Relationship Id="rId9" Type="http://schemas.openxmlformats.org/officeDocument/2006/relationships/hyperlink" Target="https://doi.org/10.1186/s13052-022-01317-6"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Pages>
  <Words>2044</Words>
  <Characters>11651</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Zuhra Asghar</dc:creator>
  <cp:keywords/>
  <dc:description/>
  <cp:lastModifiedBy>Anisah Hasan (2508993)</cp:lastModifiedBy>
  <cp:revision>6</cp:revision>
  <dcterms:created xsi:type="dcterms:W3CDTF">2026-07-19T23:07:00Z</dcterms:created>
  <dcterms:modified xsi:type="dcterms:W3CDTF">2026-07-19T23:09:00Z</dcterms:modified>
</cp:coreProperties>
</file>