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F9713" w14:textId="2649A648" w:rsidR="003407CB" w:rsidRDefault="00F47D19" w:rsidP="00F47D19">
      <w:pPr>
        <w:pStyle w:val="Heading1"/>
        <w:spacing w:before="100"/>
        <w:ind w:right="148"/>
      </w:pPr>
      <w:r w:rsidRPr="00911CE7">
        <w:rPr>
          <w:rFonts w:eastAsia="Aptos" w:cs="Arial"/>
          <w:noProof/>
          <w:color w:val="000000"/>
        </w:rPr>
        <w:drawing>
          <wp:anchor distT="0" distB="0" distL="114300" distR="114300" simplePos="0" relativeHeight="251658240" behindDoc="1" locked="0" layoutInCell="1" allowOverlap="1" wp14:anchorId="727CECF9" wp14:editId="7ABA0A31">
            <wp:simplePos x="0" y="0"/>
            <wp:positionH relativeFrom="column">
              <wp:posOffset>1013460</wp:posOffset>
            </wp:positionH>
            <wp:positionV relativeFrom="paragraph">
              <wp:posOffset>-289560</wp:posOffset>
            </wp:positionV>
            <wp:extent cx="3230880" cy="1295263"/>
            <wp:effectExtent l="0" t="0" r="7620" b="635"/>
            <wp:wrapNone/>
            <wp:docPr id="456771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880" cy="12952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83667B" w14:textId="77777777" w:rsidR="003407CB" w:rsidRDefault="003407CB">
      <w:pPr>
        <w:pStyle w:val="BodyText"/>
        <w:rPr>
          <w:rFonts w:ascii="Arial"/>
          <w:b/>
          <w:sz w:val="18"/>
        </w:rPr>
      </w:pPr>
    </w:p>
    <w:p w14:paraId="17FF4778" w14:textId="29C363D1" w:rsidR="003407CB" w:rsidRDefault="003407CB">
      <w:pPr>
        <w:pStyle w:val="BodyText"/>
        <w:spacing w:before="142"/>
        <w:rPr>
          <w:rFonts w:ascii="Arial"/>
          <w:b/>
          <w:sz w:val="20"/>
        </w:rPr>
      </w:pPr>
    </w:p>
    <w:p w14:paraId="79EE0649" w14:textId="77777777" w:rsidR="00F47D19" w:rsidRDefault="00F47D19">
      <w:pPr>
        <w:pStyle w:val="BodyText"/>
        <w:spacing w:before="142"/>
        <w:rPr>
          <w:rFonts w:ascii="Arial"/>
          <w:b/>
          <w:sz w:val="20"/>
        </w:rPr>
      </w:pPr>
    </w:p>
    <w:p w14:paraId="3ADC7A78" w14:textId="77777777" w:rsidR="00F47D19" w:rsidRDefault="00F47D19">
      <w:pPr>
        <w:pStyle w:val="BodyText"/>
        <w:spacing w:before="142"/>
        <w:rPr>
          <w:rFonts w:ascii="Arial"/>
          <w:b/>
          <w:sz w:val="20"/>
        </w:rPr>
      </w:pPr>
    </w:p>
    <w:p w14:paraId="526ABC4E" w14:textId="0B948F25" w:rsidR="00F47D19" w:rsidRPr="00F47D19" w:rsidRDefault="00F47D19" w:rsidP="00F47D19">
      <w:pPr>
        <w:spacing w:before="120" w:after="120"/>
        <w:jc w:val="center"/>
        <w:rPr>
          <w:rFonts w:eastAsia="Aptos" w:cs="Arial"/>
          <w:b/>
          <w:bCs/>
          <w:color w:val="000000"/>
          <w:sz w:val="32"/>
          <w:szCs w:val="32"/>
        </w:rPr>
      </w:pPr>
      <w:r w:rsidRPr="00F47D19">
        <w:rPr>
          <w:rFonts w:eastAsia="Aptos" w:cs="Arial"/>
          <w:b/>
          <w:bCs/>
          <w:color w:val="000000"/>
          <w:sz w:val="32"/>
          <w:szCs w:val="32"/>
        </w:rPr>
        <w:t>Student Name:</w:t>
      </w:r>
      <w:r>
        <w:rPr>
          <w:rFonts w:eastAsia="Aptos" w:cs="Arial"/>
          <w:b/>
          <w:bCs/>
          <w:color w:val="000000"/>
          <w:sz w:val="32"/>
          <w:szCs w:val="32"/>
        </w:rPr>
        <w:t xml:space="preserve"> Rutvik Patel </w:t>
      </w:r>
    </w:p>
    <w:p w14:paraId="63C6D666" w14:textId="77777777" w:rsidR="00F47D19" w:rsidRPr="00F47D19" w:rsidRDefault="00F47D19" w:rsidP="00F47D19">
      <w:pPr>
        <w:spacing w:before="120" w:after="120"/>
        <w:jc w:val="center"/>
        <w:rPr>
          <w:rFonts w:eastAsia="Aptos" w:cs="Arial"/>
          <w:b/>
          <w:bCs/>
          <w:color w:val="000000"/>
          <w:sz w:val="32"/>
          <w:szCs w:val="32"/>
        </w:rPr>
      </w:pPr>
    </w:p>
    <w:p w14:paraId="5E1BEDA1" w14:textId="1580978C" w:rsidR="00F47D19" w:rsidRPr="00F47D19" w:rsidRDefault="00F47D19" w:rsidP="00F47D19">
      <w:pPr>
        <w:spacing w:before="120" w:after="120"/>
        <w:jc w:val="center"/>
        <w:rPr>
          <w:rFonts w:eastAsia="Aptos" w:cs="Arial"/>
          <w:b/>
          <w:bCs/>
          <w:color w:val="000000"/>
          <w:sz w:val="32"/>
          <w:szCs w:val="32"/>
        </w:rPr>
      </w:pPr>
      <w:r w:rsidRPr="00F47D19">
        <w:rPr>
          <w:rFonts w:eastAsia="Aptos" w:cs="Arial"/>
          <w:b/>
          <w:bCs/>
          <w:color w:val="000000"/>
          <w:sz w:val="32"/>
          <w:szCs w:val="32"/>
        </w:rPr>
        <w:t>Student ID:</w:t>
      </w:r>
      <w:r>
        <w:rPr>
          <w:rFonts w:eastAsia="Aptos" w:cs="Arial"/>
          <w:b/>
          <w:bCs/>
          <w:color w:val="000000"/>
          <w:sz w:val="32"/>
          <w:szCs w:val="32"/>
        </w:rPr>
        <w:t>2505514</w:t>
      </w:r>
    </w:p>
    <w:p w14:paraId="4D5E8316" w14:textId="77777777" w:rsidR="00F47D19" w:rsidRPr="00F47D19" w:rsidRDefault="00F47D19" w:rsidP="00F47D19">
      <w:pPr>
        <w:spacing w:before="120" w:after="120"/>
        <w:rPr>
          <w:rFonts w:eastAsia="Aptos" w:cs="Arial"/>
          <w:color w:val="000000"/>
          <w:sz w:val="32"/>
          <w:szCs w:val="32"/>
        </w:rPr>
      </w:pPr>
    </w:p>
    <w:p w14:paraId="3DD7CA9E" w14:textId="53E5332E" w:rsidR="00F47D19" w:rsidRPr="00F47D19" w:rsidRDefault="00F47D19" w:rsidP="00F47D19">
      <w:pPr>
        <w:spacing w:before="120" w:after="120"/>
        <w:jc w:val="center"/>
        <w:rPr>
          <w:rFonts w:eastAsia="Aptos" w:cs="Arial"/>
          <w:b/>
          <w:bCs/>
          <w:color w:val="000000"/>
          <w:sz w:val="32"/>
          <w:szCs w:val="32"/>
        </w:rPr>
      </w:pPr>
      <w:r w:rsidRPr="00F47D19">
        <w:rPr>
          <w:rFonts w:eastAsia="Aptos" w:cs="Arial"/>
          <w:b/>
          <w:bCs/>
          <w:color w:val="000000"/>
          <w:sz w:val="32"/>
          <w:szCs w:val="32"/>
        </w:rPr>
        <w:t>Module Name: Financial Management</w:t>
      </w:r>
    </w:p>
    <w:p w14:paraId="1A84F142" w14:textId="77777777" w:rsidR="00F47D19" w:rsidRPr="00F47D19" w:rsidRDefault="00F47D19" w:rsidP="00F47D19">
      <w:pPr>
        <w:spacing w:before="120" w:after="120"/>
        <w:jc w:val="center"/>
        <w:rPr>
          <w:rFonts w:eastAsia="Aptos" w:cs="Arial"/>
          <w:b/>
          <w:bCs/>
          <w:color w:val="000000"/>
          <w:sz w:val="32"/>
          <w:szCs w:val="32"/>
        </w:rPr>
      </w:pPr>
    </w:p>
    <w:p w14:paraId="79282CFE" w14:textId="77777777" w:rsidR="00F47D19" w:rsidRPr="00F47D19" w:rsidRDefault="00F47D19" w:rsidP="00F47D19">
      <w:pPr>
        <w:spacing w:before="120" w:after="120"/>
        <w:jc w:val="center"/>
        <w:rPr>
          <w:rFonts w:eastAsia="Aptos" w:cs="Arial"/>
          <w:b/>
          <w:bCs/>
          <w:color w:val="000000"/>
          <w:sz w:val="32"/>
          <w:szCs w:val="32"/>
        </w:rPr>
      </w:pPr>
      <w:r w:rsidRPr="00F47D19">
        <w:rPr>
          <w:rFonts w:eastAsia="Aptos" w:cs="Arial"/>
          <w:b/>
          <w:bCs/>
          <w:color w:val="000000"/>
          <w:sz w:val="32"/>
          <w:szCs w:val="32"/>
        </w:rPr>
        <w:t>Module Code: LCMB7002</w:t>
      </w:r>
    </w:p>
    <w:p w14:paraId="040848FC" w14:textId="77777777" w:rsidR="00F47D19" w:rsidRPr="00F47D19" w:rsidRDefault="00F47D19" w:rsidP="00F47D19">
      <w:pPr>
        <w:spacing w:before="120" w:after="120"/>
        <w:rPr>
          <w:rFonts w:eastAsia="Aptos" w:cs="Arial"/>
          <w:b/>
          <w:bCs/>
          <w:color w:val="000000"/>
          <w:sz w:val="32"/>
          <w:szCs w:val="32"/>
        </w:rPr>
      </w:pPr>
    </w:p>
    <w:p w14:paraId="4CE4A577" w14:textId="009D5661" w:rsidR="00F47D19" w:rsidRPr="00F47D19" w:rsidRDefault="00F47D19" w:rsidP="00F47D19">
      <w:pPr>
        <w:spacing w:before="120" w:after="120"/>
        <w:jc w:val="center"/>
        <w:rPr>
          <w:rFonts w:eastAsia="Aptos" w:cs="Arial"/>
          <w:b/>
          <w:bCs/>
          <w:color w:val="000000"/>
          <w:sz w:val="32"/>
          <w:szCs w:val="32"/>
        </w:rPr>
      </w:pPr>
      <w:r w:rsidRPr="00F47D19">
        <w:rPr>
          <w:rFonts w:eastAsia="Aptos" w:cs="Arial"/>
          <w:b/>
          <w:bCs/>
          <w:color w:val="000000"/>
          <w:sz w:val="32"/>
          <w:szCs w:val="32"/>
        </w:rPr>
        <w:t>Lecturer’s Name:</w:t>
      </w:r>
      <w:r w:rsidRPr="00F47D19">
        <w:rPr>
          <w:sz w:val="32"/>
          <w:szCs w:val="32"/>
        </w:rPr>
        <w:t xml:space="preserve"> </w:t>
      </w:r>
      <w:r w:rsidRPr="00F47D19">
        <w:rPr>
          <w:b/>
          <w:bCs/>
          <w:sz w:val="32"/>
          <w:szCs w:val="32"/>
        </w:rPr>
        <w:t>Shengfeng Mei Patrick Yeboah</w:t>
      </w:r>
    </w:p>
    <w:p w14:paraId="4DDE692E" w14:textId="77777777" w:rsidR="00F47D19" w:rsidRPr="00F47D19" w:rsidRDefault="00F47D19" w:rsidP="00F47D19">
      <w:pPr>
        <w:spacing w:before="120" w:after="120"/>
        <w:rPr>
          <w:rFonts w:eastAsia="Aptos" w:cs="Arial"/>
          <w:b/>
          <w:bCs/>
          <w:color w:val="000000"/>
          <w:sz w:val="32"/>
          <w:szCs w:val="32"/>
        </w:rPr>
      </w:pPr>
    </w:p>
    <w:p w14:paraId="0B4ADF72" w14:textId="77777777" w:rsidR="00F47D19" w:rsidRDefault="00F47D19">
      <w:pPr>
        <w:pStyle w:val="BodyText"/>
        <w:spacing w:before="142"/>
        <w:rPr>
          <w:rFonts w:ascii="Arial"/>
          <w:b/>
          <w:sz w:val="20"/>
        </w:rPr>
      </w:pPr>
    </w:p>
    <w:p w14:paraId="14546F78" w14:textId="77777777" w:rsidR="003407CB" w:rsidRDefault="003407CB"/>
    <w:p w14:paraId="06450BD0" w14:textId="77777777" w:rsidR="003407CB" w:rsidRDefault="003407CB">
      <w:pPr>
        <w:rPr>
          <w:rFonts w:ascii="Times New Roman Regular" w:hAnsi="Times New Roman Regular" w:cs="Times New Roman Regular"/>
          <w:sz w:val="24"/>
          <w:szCs w:val="24"/>
        </w:rPr>
      </w:pPr>
    </w:p>
    <w:p w14:paraId="21E2ED67"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sz w:val="24"/>
          <w:szCs w:val="24"/>
        </w:rPr>
        <w:br w:type="page"/>
      </w:r>
    </w:p>
    <w:sdt>
      <w:sdtPr>
        <w:rPr>
          <w:rFonts w:ascii="Times New Roman Regular" w:eastAsia="SimSun" w:hAnsi="Times New Roman Regular" w:cs="Times New Roman Regular"/>
          <w:b/>
          <w:bCs/>
          <w:sz w:val="24"/>
          <w:szCs w:val="24"/>
        </w:rPr>
        <w:id w:val="689744061"/>
        <w15:color w:val="DBDBDB"/>
        <w:docPartObj>
          <w:docPartGallery w:val="Table of Contents"/>
          <w:docPartUnique/>
        </w:docPartObj>
      </w:sdtPr>
      <w:sdtEndPr/>
      <w:sdtContent>
        <w:p w14:paraId="19BA3CCC" w14:textId="77777777" w:rsidR="003407CB" w:rsidRDefault="00B01312">
          <w:pPr>
            <w:spacing w:line="360" w:lineRule="auto"/>
            <w:jc w:val="both"/>
            <w:rPr>
              <w:rFonts w:ascii="Times New Roman Regular" w:hAnsi="Times New Roman Regular" w:cs="Times New Roman Regular"/>
              <w:b/>
              <w:bCs/>
              <w:sz w:val="24"/>
              <w:szCs w:val="24"/>
            </w:rPr>
          </w:pPr>
          <w:r>
            <w:rPr>
              <w:rFonts w:ascii="Times New Roman Regular" w:eastAsia="SimSun" w:hAnsi="Times New Roman Regular" w:cs="Times New Roman Regular"/>
              <w:b/>
              <w:bCs/>
              <w:sz w:val="24"/>
              <w:szCs w:val="24"/>
            </w:rPr>
            <w:t>Table of Content</w:t>
          </w:r>
        </w:p>
        <w:p w14:paraId="18BB1050"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TOC \o "1-1" \h \u </w:instrText>
          </w:r>
          <w:r>
            <w:rPr>
              <w:rFonts w:ascii="Times New Roman Regular" w:hAnsi="Times New Roman Regular" w:cs="Times New Roman Regular"/>
              <w:sz w:val="24"/>
              <w:szCs w:val="24"/>
            </w:rPr>
            <w:fldChar w:fldCharType="separate"/>
          </w:r>
          <w:hyperlink w:anchor="_Toc1199722974" w:history="1">
            <w:r>
              <w:rPr>
                <w:rFonts w:ascii="Times New Roman Regular" w:hAnsi="Times New Roman Regular" w:cs="Times New Roman Regular"/>
                <w:sz w:val="24"/>
                <w:szCs w:val="24"/>
                <w:lang w:val="en-US"/>
              </w:rPr>
              <w:t>1. Introduction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_Toc1199722974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3</w:t>
            </w:r>
            <w:r>
              <w:rPr>
                <w:rFonts w:ascii="Times New Roman Regular" w:hAnsi="Times New Roman Regular" w:cs="Times New Roman Regular"/>
                <w:sz w:val="24"/>
                <w:szCs w:val="24"/>
              </w:rPr>
              <w:fldChar w:fldCharType="end"/>
            </w:r>
          </w:hyperlink>
        </w:p>
        <w:p w14:paraId="5B6D9B5C"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1020062335" w:history="1">
            <w:r>
              <w:rPr>
                <w:rFonts w:ascii="Times New Roman Regular" w:hAnsi="Times New Roman Regular" w:cs="Times New Roman Regular"/>
                <w:sz w:val="24"/>
                <w:szCs w:val="24"/>
                <w:lang w:val="en-US"/>
              </w:rPr>
              <w:t>2. Financial Health Check</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_Toc1020062335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3</w:t>
            </w:r>
            <w:r>
              <w:rPr>
                <w:rFonts w:ascii="Times New Roman Regular" w:hAnsi="Times New Roman Regular" w:cs="Times New Roman Regular"/>
                <w:sz w:val="24"/>
                <w:szCs w:val="24"/>
              </w:rPr>
              <w:fldChar w:fldCharType="end"/>
            </w:r>
          </w:hyperlink>
        </w:p>
        <w:p w14:paraId="16EE1182"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825710344" w:history="1">
            <w:r>
              <w:rPr>
                <w:rFonts w:ascii="Times New Roman Regular" w:hAnsi="Times New Roman Regular" w:cs="Times New Roman Regular"/>
                <w:sz w:val="24"/>
                <w:szCs w:val="24"/>
                <w:lang w:val="en-US"/>
              </w:rPr>
              <w:t>3. Working Capital Management Analysis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_Toc825710344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10</w:t>
            </w:r>
            <w:r>
              <w:rPr>
                <w:rFonts w:ascii="Times New Roman Regular" w:hAnsi="Times New Roman Regular" w:cs="Times New Roman Regular"/>
                <w:sz w:val="24"/>
                <w:szCs w:val="24"/>
              </w:rPr>
              <w:fldChar w:fldCharType="end"/>
            </w:r>
          </w:hyperlink>
        </w:p>
        <w:p w14:paraId="46227015"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674424694" w:history="1">
            <w:r>
              <w:rPr>
                <w:rFonts w:ascii="Times New Roman Regular" w:hAnsi="Times New Roman Regular" w:cs="Times New Roman Regular"/>
                <w:sz w:val="24"/>
                <w:szCs w:val="24"/>
                <w:lang w:val="en-US"/>
              </w:rPr>
              <w:t>4. Strategic Financial Restructuring Plan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_Toc674424694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13</w:t>
            </w:r>
            <w:r>
              <w:rPr>
                <w:rFonts w:ascii="Times New Roman Regular" w:hAnsi="Times New Roman Regular" w:cs="Times New Roman Regular"/>
                <w:sz w:val="24"/>
                <w:szCs w:val="24"/>
              </w:rPr>
              <w:fldChar w:fldCharType="end"/>
            </w:r>
          </w:hyperlink>
        </w:p>
        <w:p w14:paraId="3232B6E3"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637143192" w:history="1">
            <w:r>
              <w:rPr>
                <w:rFonts w:ascii="Times New Roman Regular" w:hAnsi="Times New Roman Regular" w:cs="Times New Roman Regular"/>
                <w:sz w:val="24"/>
                <w:szCs w:val="24"/>
                <w:lang w:val="en-US"/>
              </w:rPr>
              <w:t>5. Investment Appraisal</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_Toc637143192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16</w:t>
            </w:r>
            <w:r>
              <w:rPr>
                <w:rFonts w:ascii="Times New Roman Regular" w:hAnsi="Times New Roman Regular" w:cs="Times New Roman Regular"/>
                <w:sz w:val="24"/>
                <w:szCs w:val="24"/>
              </w:rPr>
              <w:fldChar w:fldCharType="end"/>
            </w:r>
          </w:hyperlink>
        </w:p>
        <w:p w14:paraId="5E9EF376"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1112164002" w:history="1">
            <w:r>
              <w:rPr>
                <w:rFonts w:ascii="Times New Roman Regular" w:hAnsi="Times New Roman Regular" w:cs="Times New Roman Regular"/>
                <w:sz w:val="24"/>
                <w:szCs w:val="24"/>
                <w:lang w:val="en-US"/>
              </w:rPr>
              <w:t>6. Conclusion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_Toc1112164002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18</w:t>
            </w:r>
            <w:r>
              <w:rPr>
                <w:rFonts w:ascii="Times New Roman Regular" w:hAnsi="Times New Roman Regular" w:cs="Times New Roman Regular"/>
                <w:sz w:val="24"/>
                <w:szCs w:val="24"/>
              </w:rPr>
              <w:fldChar w:fldCharType="end"/>
            </w:r>
          </w:hyperlink>
        </w:p>
        <w:p w14:paraId="12EEDD45"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442718126" w:history="1">
            <w:r>
              <w:rPr>
                <w:rFonts w:ascii="Times New Roman Regular" w:hAnsi="Times New Roman Regular" w:cs="Times New Roman Regular"/>
                <w:sz w:val="24"/>
                <w:szCs w:val="24"/>
                <w:lang w:val="en-US"/>
              </w:rPr>
              <w:t>7. References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_Toc442718126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20</w:t>
            </w:r>
            <w:r>
              <w:rPr>
                <w:rFonts w:ascii="Times New Roman Regular" w:hAnsi="Times New Roman Regular" w:cs="Times New Roman Regular"/>
                <w:sz w:val="24"/>
                <w:szCs w:val="24"/>
              </w:rPr>
              <w:fldChar w:fldCharType="end"/>
            </w:r>
          </w:hyperlink>
        </w:p>
        <w:p w14:paraId="70AB6D04"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1880190474" w:history="1">
            <w:r>
              <w:rPr>
                <w:rFonts w:ascii="Times New Roman Regular" w:hAnsi="Times New Roman Regular" w:cs="Times New Roman Regular"/>
                <w:sz w:val="24"/>
                <w:szCs w:val="24"/>
                <w:lang w:val="en-US"/>
              </w:rPr>
              <w:t>8. Appendices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_Toc1880190474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24</w:t>
            </w:r>
            <w:r>
              <w:rPr>
                <w:rFonts w:ascii="Times New Roman Regular" w:hAnsi="Times New Roman Regular" w:cs="Times New Roman Regular"/>
                <w:sz w:val="24"/>
                <w:szCs w:val="24"/>
              </w:rPr>
              <w:fldChar w:fldCharType="end"/>
            </w:r>
          </w:hyperlink>
        </w:p>
        <w:p w14:paraId="7B822132"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139430913" w:history="1">
            <w:r>
              <w:rPr>
                <w:rFonts w:ascii="Times New Roman Regular" w:hAnsi="Times New Roman Regular" w:cs="Times New Roman Regular"/>
                <w:bCs/>
                <w:sz w:val="24"/>
                <w:szCs w:val="24"/>
                <w:lang w:val="en-US"/>
              </w:rPr>
              <w:t>1. Ratios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_Toc139430913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24</w:t>
            </w:r>
            <w:r>
              <w:rPr>
                <w:rFonts w:ascii="Times New Roman Regular" w:hAnsi="Times New Roman Regular" w:cs="Times New Roman Regular"/>
                <w:sz w:val="24"/>
                <w:szCs w:val="24"/>
              </w:rPr>
              <w:fldChar w:fldCharType="end"/>
            </w:r>
          </w:hyperlink>
        </w:p>
        <w:p w14:paraId="4A4066FC"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510695914" w:history="1">
            <w:r>
              <w:rPr>
                <w:rFonts w:ascii="Times New Roman Regular" w:hAnsi="Times New Roman Regular" w:cs="Times New Roman Regular"/>
                <w:bCs/>
                <w:sz w:val="24"/>
                <w:szCs w:val="24"/>
                <w:lang w:val="en-US"/>
              </w:rPr>
              <w:t>2. Cash Operating Cycle</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_Toc510695914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26</w:t>
            </w:r>
            <w:r>
              <w:rPr>
                <w:rFonts w:ascii="Times New Roman Regular" w:hAnsi="Times New Roman Regular" w:cs="Times New Roman Regular"/>
                <w:sz w:val="24"/>
                <w:szCs w:val="24"/>
              </w:rPr>
              <w:fldChar w:fldCharType="end"/>
            </w:r>
          </w:hyperlink>
        </w:p>
        <w:p w14:paraId="23BBBA13" w14:textId="77777777" w:rsidR="003407CB" w:rsidRDefault="00B01312">
          <w:pPr>
            <w:pStyle w:val="WPSOffice1"/>
            <w:tabs>
              <w:tab w:val="right" w:leader="dot" w:pos="8306"/>
            </w:tabs>
            <w:spacing w:line="360" w:lineRule="auto"/>
            <w:jc w:val="both"/>
            <w:rPr>
              <w:rFonts w:ascii="Times New Roman Regular" w:hAnsi="Times New Roman Regular" w:cs="Times New Roman Regular"/>
              <w:sz w:val="24"/>
              <w:szCs w:val="24"/>
            </w:rPr>
          </w:pPr>
          <w:hyperlink w:anchor="_Toc1921573186" w:history="1">
            <w:r>
              <w:rPr>
                <w:rFonts w:ascii="Times New Roman Regular" w:hAnsi="Times New Roman Regular" w:cs="Times New Roman Regular"/>
                <w:bCs/>
                <w:sz w:val="24"/>
                <w:szCs w:val="24"/>
                <w:lang w:val="en-US"/>
              </w:rPr>
              <w:t>3. Investment Appraisal Techniques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_Toc1921573186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26</w:t>
            </w:r>
            <w:r>
              <w:rPr>
                <w:rFonts w:ascii="Times New Roman Regular" w:hAnsi="Times New Roman Regular" w:cs="Times New Roman Regular"/>
                <w:sz w:val="24"/>
                <w:szCs w:val="24"/>
              </w:rPr>
              <w:fldChar w:fldCharType="end"/>
            </w:r>
          </w:hyperlink>
        </w:p>
        <w:p w14:paraId="73DE2D49"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fldChar w:fldCharType="end"/>
          </w:r>
        </w:p>
      </w:sdtContent>
    </w:sdt>
    <w:p w14:paraId="2D7C472D" w14:textId="77777777" w:rsidR="003407CB" w:rsidRDefault="003407CB">
      <w:pPr>
        <w:spacing w:line="360" w:lineRule="auto"/>
        <w:jc w:val="both"/>
        <w:rPr>
          <w:rFonts w:ascii="Times New Roman Regular" w:hAnsi="Times New Roman Regular" w:cs="Times New Roman Regular"/>
          <w:sz w:val="24"/>
          <w:szCs w:val="24"/>
        </w:rPr>
      </w:pPr>
    </w:p>
    <w:p w14:paraId="13C3545B"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sz w:val="24"/>
          <w:szCs w:val="24"/>
        </w:rPr>
        <w:br w:type="page"/>
      </w:r>
    </w:p>
    <w:p w14:paraId="4787D3B7"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0" w:name="_Toc1199722974"/>
      <w:r>
        <w:rPr>
          <w:rFonts w:ascii="Times New Roman Regular" w:hAnsi="Times New Roman Regular" w:cs="Times New Roman Regular"/>
          <w:sz w:val="24"/>
          <w:szCs w:val="24"/>
        </w:rPr>
        <w:t>Introduction</w:t>
      </w:r>
      <w:bookmarkEnd w:id="0"/>
    </w:p>
    <w:p w14:paraId="40D1F736"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aim of the presented report is to evaluate the financial performance, analyse working capital, identify problems, propose a financial strategy, develop a strategic restructuring plan, and carry out investment appraisal analysis for a new project. For the same purpose, the report has selected an EV manufacturing company, namely Volkswagen Group. The company is involved in producing and selling motorcycles, cars, turbo machinery, trucks, propulsion components, and a range of other products. It market its products under different brand names, namely Lamborghini, Volkswagen and Porshe. It carries business operations in various regions across the globe, including Africa, Europe, Asia, America, and others. Volkswagen Group has more than 660,000 employees with a market capitalisation of $51.8 billion (Forbes, 2026; Global Data, 2024).</w:t>
      </w:r>
    </w:p>
    <w:p w14:paraId="5205A364"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Accordingly, the report will use a wide range of ratios for evaluating financial performance and identifying problems to propose a financial strategy. Besides this, different financing options will also be discussed in detail. The report will also discuss various financial restructuring options, such as divestiture, merger, and others, along with their shareholder value, debt structure, and operational flexibility. Further, different investment appraisal techniques such as Net Present Value (NPV), Payback Period, Accounting rate of Return (ARR), Profitability Index (PI), and Internal rate of Return (IRR) will also be evaluated for the new project to evaluate the financial viability of the new investment.</w:t>
      </w:r>
    </w:p>
    <w:p w14:paraId="3D5A05D3"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1" w:name="_Toc1020062335"/>
      <w:commentRangeStart w:id="2"/>
      <w:r>
        <w:rPr>
          <w:rFonts w:ascii="Times New Roman Regular" w:hAnsi="Times New Roman Regular" w:cs="Times New Roman Regular"/>
          <w:sz w:val="24"/>
          <w:szCs w:val="24"/>
        </w:rPr>
        <w:t>Financial Health Check</w:t>
      </w:r>
      <w:bookmarkEnd w:id="1"/>
      <w:commentRangeEnd w:id="2"/>
      <w:r>
        <w:rPr>
          <w:rStyle w:val="CommentReference"/>
          <w:rFonts w:ascii="Times New Roman Regular" w:hAnsi="Times New Roman Regular" w:cs="Times New Roman Regular"/>
          <w:sz w:val="24"/>
          <w:szCs w:val="24"/>
        </w:rPr>
        <w:commentReference w:id="2"/>
      </w:r>
    </w:p>
    <w:p w14:paraId="419E48F8"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Financial Statement Analysis</w:t>
      </w:r>
    </w:p>
    <w:p w14:paraId="70621959"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On evaluation of the company’s financial statements, it was found that the revenues of the company has rose significantly in the last 5 years from €222,884 to €324,656, which has also helped the company in maintaining stable gross profits during the interim. However, a rise in expenses like distribution, administration, and other expenses has reduced the net profits of the company. During 2021, the company’s net profit was €15,428, which reduced to €12,394 in the year 2025, which can be seen as a matter of concern for the company. In addition to this, both current assets as well as current liabilities of the company has also rise gradually in the last 5 years, which has helped the company in maintaining adequate liquidity. However, the debts of the company has reduced gradually in the last 5 years; whereas, equity has improved. This can be seen as favourable for the company as it is gradually reducing dependency on debts for the purpose of reducing financial burden.</w:t>
      </w:r>
    </w:p>
    <w:p w14:paraId="7E736191"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Ratio Analysis</w:t>
      </w:r>
    </w:p>
    <w:p w14:paraId="2B72E9CB"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Profitability</w:t>
      </w:r>
    </w:p>
    <w:p w14:paraId="727FDCCC"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6C94D6B0" wp14:editId="24FD20C4">
            <wp:extent cx="4805680" cy="2889250"/>
            <wp:effectExtent l="6350" t="6350" r="13970" b="2540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4665F6"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1: Profitability ratios of Volkswagen Group from 2020 to 2024</w:t>
      </w:r>
    </w:p>
    <w:p w14:paraId="5DC25EEA"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Profitability ratios refer to financial metrics used to determine the financial performance of companies. Gross profit ratio, net profit ratio, and others are some examples of profitability ratios. Gross profit ratio helps in calculating profit percentage after deducting costs of goods sold, which can also be used to measure the operational efficiency of a business. Additionally, net profit ratio reflects final profit percentage over business revenues after deducting all expenses ( Ranganatham, 2016; Treesa, 2024). In the same context, it was found that the gross profit ratio of the Volkswagen group has shown a positive trend as it increased from 17.47% to 18.32% in last 5 years. A rise in gross profits or gross profit margin also shows improved operational efficiency of the company. However, on the other side, the net profit ratio has shown downwards trend in the last few years as it dropped from 6.17% to 3.82%. Despite a rise in sales, the net profit of the company has decreased due to rise in expenses, which caused fall in the net profit ratio.</w:t>
      </w:r>
    </w:p>
    <w:p w14:paraId="04C01AF7"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Liquidity</w:t>
      </w:r>
    </w:p>
    <w:p w14:paraId="58D7350B"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1DDEB860" wp14:editId="0454050F">
            <wp:extent cx="4815840" cy="2885440"/>
            <wp:effectExtent l="6350" t="6350" r="29210" b="2921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1AD37E"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2: Liquidity ratios of Volkswagen Group from 2020 to 2024</w:t>
      </w:r>
    </w:p>
    <w:p w14:paraId="47306336"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Liquidity ratio includes the current ratio and quick ratio. Both ratios are used for analysing liquidity position by comparing current assets with current liabilities. The only difference between the two is that the current ratio considers all current assets, while the liquid ratio considers only liquid assets. It helps in analysing a company’s ability to meet short-term business obligations (Robinson et al., 2015). The current ratio of the company during 2020 was 1.18, which rose to 1.22 and 1.23 during 2021 and 2022. However, it started falling from 2023 and reduced to 1.16 and 1.16 during 2023 and 2024. The key reason behind such a fall is a higher proportion of increase in current liabilities as compared to current assets. Similarly, the quick ratio also declined from 0.97 to 0.87, which was the result of a fall in liquid assets or a rise in inventory levels in the last few years. Thus, both current and quick ratio has shown a downward trend in the last few years.</w:t>
      </w:r>
    </w:p>
    <w:p w14:paraId="265AF1AD"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Efficiency</w:t>
      </w:r>
    </w:p>
    <w:p w14:paraId="09F63246"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2652BD2F" wp14:editId="4F307869">
            <wp:extent cx="4876165" cy="2885440"/>
            <wp:effectExtent l="6350" t="6350" r="19685" b="2921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F3524A"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3: Efficiency ratios of Volkswagen Group from 2020 to 2024</w:t>
      </w:r>
    </w:p>
    <w:p w14:paraId="45A8B6D3"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Efficiency ratios helps in evaluating how efficient a company is in managing different business resources like inventory, assets, and others. Inventory turnover ratio tells how frequently a company converts its inventory into sales. On the other hand, the asset turnover ratio is used for evaluating the efficiency of a company in generating sales from the effective use of assets (Abor and Karimu, 2023). Both asset and inventory turnover ratio has shown an uptrend from 2020 to 2023, but both ratios slightly fell in 2024. Asset turnover ratio in 2020 was 0.45 and rose to 0.54 in 2023, but decreased to 0.51 in 2024. Similarly, the inventory turnover ratio rose from 4.06 to 4.94 in 2023, but it also fell to 4.81 in 2024. A rise in assets or inventories has caused a fall in both the asset turnover ratio and the inventory turnover ratio in the year 2024.</w:t>
      </w:r>
    </w:p>
    <w:p w14:paraId="747AA39A"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Gearing</w:t>
      </w:r>
    </w:p>
    <w:p w14:paraId="1FE33AD1"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118820CD" wp14:editId="2E5F04FB">
            <wp:extent cx="4805680" cy="2885440"/>
            <wp:effectExtent l="6350" t="6350" r="13970" b="2921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B541EBE"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4: Gearing ratios of Volkswagen Group from 2020 to 2024</w:t>
      </w:r>
    </w:p>
    <w:p w14:paraId="152C4F6B"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Gearing ratios like debt-equity and interest cover helps evaluating solvency position or financial condition. Debt-equity ratio compares debt and equity for measuring financial risk; whereas, the interest cover ratio tells a company’s ability to meet interest obligations from operating profits (Singh and Gupta, 2021). Debt-equity ratio of Volkswagen Group in the year 2020 was 1.58, which gradually reduced in the last 5 years and reached 1.11, indicating downwards trend. A higher proportion of increase in equity compared to debt helped the company in reducing the debt-equity ratio. However, a fall in net profits has affected the interest cover ratio of the company. Interest cover ratio revealed a downward trend as it dropped from 10.60 to 5.53 in 2024.</w:t>
      </w:r>
    </w:p>
    <w:p w14:paraId="5FEF8107"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Investment</w:t>
      </w:r>
    </w:p>
    <w:p w14:paraId="0235DC7D"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0E4EE6FB" wp14:editId="03FFDDD7">
            <wp:extent cx="4815840" cy="2885440"/>
            <wp:effectExtent l="6350" t="6350" r="29210" b="2921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584CF2"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5: Investment ratios of Volkswagen Group from 2020 to 2024</w:t>
      </w:r>
    </w:p>
    <w:p w14:paraId="418CE032"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Investment ratios like Earnings Per Share (EPS) and Return on Equity (ROE) are also used for measuring investment opportunities. EPS refers to the amount available for each shareholder; whereas, ROE tells the profit percentage on equity value (Aswath, 2010). These ratios are mainly used by companies and stakeholders for finding investment opportunities. It was identified that the EPS of the company has shown an upward trend in the last 5 years. A rise in profits has helped the company in increasing EPS from €16.62 to €31.78 in 2023; however, a fall in net profits during 2024 caused fall in EPS to €21.37. In addition to this, the ROE of the company has deviated each year in the last 5 years. For instance, ROE rose from 6.85% to 10.56% in 2021 but declined to 8.88% in 2022. It again increased to 9.44% in 2023 but declined to 6.30% in 2024. Fall in profits and rise in equity levels are the main causes behind such a fall in ROE during 2024.</w:t>
      </w:r>
    </w:p>
    <w:p w14:paraId="5481A771"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Cash Flow</w:t>
      </w:r>
    </w:p>
    <w:p w14:paraId="0D018C9F"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09EE2C7E" wp14:editId="112D97C5">
            <wp:extent cx="4770120" cy="2889250"/>
            <wp:effectExtent l="6350" t="6350" r="24130" b="2540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F7C58D3" w14:textId="77777777" w:rsidR="003407CB" w:rsidRDefault="00B01312">
      <w:pPr>
        <w:spacing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Figure 6: Cash flow ratios of Volkswagen Group from 2020 to 2024</w:t>
      </w:r>
    </w:p>
    <w:p w14:paraId="30685ECF"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Operating cash and cash ratio are main cash flow ratios, which tell how much operating cash or actual cash the company owns to meet current business obligations. Both the operating cash flow ratio and the cash flow ratio shows downward trend in the last 5 years. Operating cash flow ratio reduced from 0.15 to 0.08, and cash flow ratio declined from 0.20 to 0.19 due to the reason of fall in both operating cash flow and cash flow of the company.</w:t>
      </w:r>
    </w:p>
    <w:p w14:paraId="2F0A01F8"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(Note: See detail calculations in appendix 1)</w:t>
      </w:r>
    </w:p>
    <w:p w14:paraId="2DFA479C"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Strengths and Threats</w:t>
      </w:r>
    </w:p>
    <w:p w14:paraId="7599EE35"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i/>
          <w:iCs/>
          <w:sz w:val="24"/>
          <w:szCs w:val="24"/>
        </w:rPr>
        <w:t>Strengths</w:t>
      </w:r>
    </w:p>
    <w:p w14:paraId="2D544C7C"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A rise in gross profit implies improved operational efficiency of the company. Similarly, a current ratio of more than 1 is also a major strength as it shows the company's strong capability to meet current business obligations. A rise in asset turnover and inventory turnover ratio during 2020 to 2023 also indicates that the company is efficient in managing resources effectively to generate higher sales. Further, a fall in the debt-equity ratio is also one of the key strengths of the company as it is gradually reducing dependency on debts and improving financial health.</w:t>
      </w:r>
    </w:p>
    <w:p w14:paraId="1606F3D0"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i/>
          <w:iCs/>
          <w:sz w:val="24"/>
          <w:szCs w:val="24"/>
          <w:lang w:bidi="ar"/>
        </w:rPr>
        <w:t>Threats</w:t>
      </w:r>
    </w:p>
    <w:p w14:paraId="23C41FF9"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Falling profits is main threat which has affected the interest cover ratio and return on equity. Low profits can create obstacles for the company in meeting current obligations; whereas, it will also affect equity returns due to the lack of company in having sufficient profits. Similarly, a fall in profits will also affect EPS and shareholders' interest in the company in the near future. Moreover, cash flow issue is also a major threat to the company as it is a crucial element for the company’s survival.</w:t>
      </w:r>
    </w:p>
    <w:p w14:paraId="360B49C8" w14:textId="77777777" w:rsidR="003407CB" w:rsidRDefault="00B01312">
      <w:pPr>
        <w:spacing w:line="360" w:lineRule="auto"/>
        <w:jc w:val="both"/>
        <w:rPr>
          <w:rFonts w:ascii="Times New Roman Regular" w:hAnsi="Times New Roman Regular" w:cs="Times New Roman Regular"/>
          <w:sz w:val="24"/>
          <w:szCs w:val="24"/>
        </w:rPr>
      </w:pPr>
      <w:commentRangeStart w:id="3"/>
      <w:r>
        <w:rPr>
          <w:rFonts w:ascii="Times New Roman Regular" w:eastAsia="SimSun" w:hAnsi="Times New Roman Regular" w:cs="Times New Roman Regular"/>
          <w:i/>
          <w:iCs/>
          <w:sz w:val="24"/>
          <w:szCs w:val="24"/>
          <w:lang w:bidi="ar"/>
        </w:rPr>
        <w:t>Recommendations</w:t>
      </w:r>
      <w:commentRangeEnd w:id="3"/>
      <w:r>
        <w:rPr>
          <w:rStyle w:val="CommentReference"/>
          <w:rFonts w:ascii="Times New Roman Regular" w:hAnsi="Times New Roman Regular" w:cs="Times New Roman Regular"/>
          <w:sz w:val="24"/>
          <w:szCs w:val="24"/>
        </w:rPr>
        <w:commentReference w:id="3"/>
      </w:r>
    </w:p>
    <w:p w14:paraId="6A1A4B94"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company needs to focus on adopting different measures for addressing threats or main problems like cash issue, falling profits, and others. The problem regarding falling profits can be addressed with the help of reducing business expenses. The implementation of Total Quality Management (TQM) can help in identifying and eliminating non-value-added activities. This can reduce expenses and boost profits of the company (Taha, Atheer and Asmar, 2024). In addition to this, cash flow problems can be solved through focusing on several factors like optimising accounts receivable, controlling expenses, optimising account payable, and building cash reserves (Morgan, 2025). Thus, as a part of financial strategy, it can be recommended to Volkswagen Group that it should implement TQM for improving profits and focus on controlling expenses and optimising receivables and payable in order to address the current problem of falling cash flows and net profit.</w:t>
      </w:r>
      <w:r>
        <w:rPr>
          <w:rFonts w:ascii="Times New Roman Regular" w:hAnsi="Times New Roman Regular" w:cs="Times New Roman Regular"/>
          <w:sz w:val="24"/>
          <w:szCs w:val="24"/>
        </w:rPr>
        <w:t xml:space="preserve"> </w:t>
      </w:r>
    </w:p>
    <w:p w14:paraId="0DD26960"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4" w:name="_Toc825710344"/>
      <w:r>
        <w:rPr>
          <w:rFonts w:ascii="Times New Roman Regular" w:hAnsi="Times New Roman Regular" w:cs="Times New Roman Regular"/>
          <w:sz w:val="24"/>
          <w:szCs w:val="24"/>
        </w:rPr>
        <w:t>Working Capital Management Analysis</w:t>
      </w:r>
      <w:bookmarkEnd w:id="4"/>
    </w:p>
    <w:p w14:paraId="5C213DF9" w14:textId="77777777" w:rsidR="003407CB" w:rsidRDefault="00B01312">
      <w:pPr>
        <w:spacing w:line="360" w:lineRule="auto"/>
        <w:jc w:val="both"/>
        <w:rPr>
          <w:rFonts w:ascii="Times New Roman Regular" w:hAnsi="Times New Roman Regular" w:cs="Times New Roman Regular"/>
          <w:sz w:val="24"/>
          <w:szCs w:val="24"/>
        </w:rPr>
      </w:pPr>
      <w:commentRangeStart w:id="5"/>
      <w:r>
        <w:rPr>
          <w:rFonts w:ascii="Times New Roman Regular" w:hAnsi="Times New Roman Regular" w:cs="Times New Roman Regular"/>
          <w:b/>
          <w:bCs/>
          <w:i/>
          <w:iCs/>
          <w:sz w:val="24"/>
          <w:szCs w:val="24"/>
        </w:rPr>
        <w:t>Cash Operating Cycle</w:t>
      </w:r>
      <w:commentRangeEnd w:id="5"/>
      <w:r>
        <w:rPr>
          <w:rStyle w:val="CommentReference"/>
          <w:rFonts w:ascii="Times New Roman Regular" w:hAnsi="Times New Roman Regular" w:cs="Times New Roman Regular"/>
          <w:sz w:val="24"/>
          <w:szCs w:val="24"/>
        </w:rPr>
        <w:commentReference w:id="5"/>
      </w:r>
    </w:p>
    <w:p w14:paraId="025358D8"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 xml:space="preserve">Cash Operating Cycle (COC) refers to a financial metric which computes the time taken by businesses from converting investments into cash flows. In other words, COC helps in determining the time from paying suppliers for inventory to collecting funds from customers (Clayman, Fridson and Troughton, 2012). COC comprises 3 components namely inventory days (days for converting inventory into sales), receivable days (days of collecting credit sales payment from customers), and payable days (days of meeting payment obligations for suppliers) (Ethan, 2025). </w:t>
      </w:r>
    </w:p>
    <w:p w14:paraId="528412B6"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hAnsi="Times New Roman Regular" w:cs="Times New Roman Regular"/>
          <w:noProof/>
          <w:sz w:val="24"/>
          <w:szCs w:val="24"/>
        </w:rPr>
        <w:drawing>
          <wp:inline distT="0" distB="0" distL="114300" distR="114300" wp14:anchorId="1D242AAC" wp14:editId="0F85D49D">
            <wp:extent cx="4886325" cy="2881630"/>
            <wp:effectExtent l="6350" t="6350" r="9525" b="762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CEAB75" w14:textId="77777777" w:rsidR="003407CB" w:rsidRDefault="00B01312">
      <w:pPr>
        <w:spacing w:line="360" w:lineRule="auto"/>
        <w:jc w:val="center"/>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Figure 7: Cash Operating Cycle of Volkswagen Group from 2020 to 2024</w:t>
      </w:r>
    </w:p>
    <w:p w14:paraId="26948218"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It has been identified that the COC of Volkswagen Group has decreased in last 5 years. The company’s COC during 2020 was 71 days, which dropped to 59 in the year 2024. Fall in inventory days from 90 days to 76 days and a fall in receivable days from 27 days to 24 days are the main reasons behind the fall in COC. The company has gradually improved its time for converting inventory into sales, which helped in improving COC. Similarly, fall in receivables also shows that the company is improving its collection period to improve cash flows. However, a fall in payable days can be seen as one of the main drawback for the company as fall in payable days indicates fast collection of payment to suppliers. The fast payment to suppliers can affect and reduce the cash flows of the company.  </w:t>
      </w:r>
    </w:p>
    <w:p w14:paraId="2A4F9D59"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(Note: See detail calculations in appendix 2)</w:t>
      </w:r>
    </w:p>
    <w:p w14:paraId="4B5435E0"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Recommend strategies to improve liquidity</w:t>
      </w:r>
    </w:p>
    <w:p w14:paraId="78A3A458"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Several strategies can be implemented to improve liquidity through working capital reforms, and the same are discussed hereunder:</w:t>
      </w:r>
    </w:p>
    <w:p w14:paraId="38E4B93B"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Trade Receivables: Managing trade receivables can be one of the effective approaches to improve liquidity, which can be attained by changing the terms and conditions of payments with debtors. Offering discounts for early payments can be helpful in collecting fast payments from the suppliers.</w:t>
      </w:r>
    </w:p>
    <w:p w14:paraId="39A2F09D"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Trade Payable: Changing terms with suppliers related to delayed payment can also be beneficial for improving liquidity. The company can retain more cash by delaying payments to suppliers; however, the same can effect relationship between the company and suppliers (BBB, 2025).</w:t>
      </w:r>
    </w:p>
    <w:p w14:paraId="3AF58B41"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Inventory Management: Managing inventory is another way to improve liquidity. The implementation of Just-In-Time (JIT) can help in saving different inventory costs like storage, handling, and others, which can improve liquidity. JIT is a system wherein inventory orders are placed based on actual production or demand requirements (Susanti et al., 2025).</w:t>
      </w:r>
    </w:p>
    <w:p w14:paraId="78EC1CBE"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Thus, it can be recommended that the company implement the above strategies in order to improve liquidity.</w:t>
      </w:r>
    </w:p>
    <w:p w14:paraId="1517A6F4" w14:textId="77777777" w:rsidR="003407CB" w:rsidRDefault="00B01312">
      <w:pPr>
        <w:spacing w:line="360" w:lineRule="auto"/>
        <w:jc w:val="both"/>
        <w:rPr>
          <w:rFonts w:ascii="Times New Roman Regular" w:hAnsi="Times New Roman Regular" w:cs="Times New Roman Regular"/>
          <w:sz w:val="24"/>
          <w:szCs w:val="24"/>
        </w:rPr>
      </w:pPr>
      <w:commentRangeStart w:id="6"/>
      <w:r>
        <w:rPr>
          <w:rFonts w:ascii="Times New Roman Regular" w:hAnsi="Times New Roman Regular" w:cs="Times New Roman Regular"/>
          <w:b/>
          <w:bCs/>
          <w:i/>
          <w:iCs/>
          <w:sz w:val="24"/>
          <w:szCs w:val="24"/>
        </w:rPr>
        <w:t>Short-term vs Long-term financing options</w:t>
      </w:r>
      <w:commentRangeEnd w:id="6"/>
      <w:r>
        <w:rPr>
          <w:rStyle w:val="CommentReference"/>
          <w:rFonts w:ascii="Times New Roman Regular" w:hAnsi="Times New Roman Regular" w:cs="Times New Roman Regular"/>
          <w:sz w:val="24"/>
          <w:szCs w:val="24"/>
        </w:rPr>
        <w:commentReference w:id="6"/>
      </w:r>
    </w:p>
    <w:p w14:paraId="476C90EB"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Funds are crucial for every business and are considered lifeblood. Funds are required at every stage of the business cycle, from purchasing raw material to managing working capital and others. The business entities can use both short-term and long-term sources of finance to meet business requirements. Short-term sources of finance are mainly used for the purpose of funding current assets or managing working capital requirements; whereas, long-term sources of finance are used to fund fixed assets (Gupta and Gosavi, 2023). Short-term sources of finance include short-term loans, cash credit, overdraft, and others. Short-term loans refers to borrowing of funds for a short period of time, usually for a period less than 1 year. On the other hand, cash credit is another short-term source; wherein, company can get funds or credit from financial institutions against security. Similarly, overdraft refers to the facility provided by a bank to business entities for withdrawing funds more than the credit up-to specific limit (Saikrishan, Ramya and Sumathi, 2023). Different sources of finance have their own merits and limitations. For example, cash credit and short-term loans are flexible and easy to arrange; however, over-borrowing, high costs, and others are the main limitations of cash credit and short-term loans (Kumar and kandekar, 2023). Similarly, getting an overdraft facility is also an easy process, but it also has a high rate of interest, which can be considered as a major limitation of overdrafts (Glasgow, 2011).</w:t>
      </w:r>
    </w:p>
    <w:p w14:paraId="2B005CA4"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Long-term sources of finance include equity financing, long-term loans, debentures, and others. Equity financing refers to a way to raise capital from the market by issuing shares. Long-term loan refers to borrowing of funds from banks or financial institutions in consideration of interest payments. Similarly, a debenture is another source, wherein the company receives funds through issuing instruments in the market in consideration of fixed interest payments (Kumar, 2019). Loans and debentures provide the benefit of a tax shield on interest payments. Similarly, the cost of loans and debentures is also low compared to equity. However, both enhance financial obligation on companies (Geek, 2025). On the other hand, equity financing does not enhance financial obligation; however, loss of control or dilution of ownership due to transfer of stake to shareholders is the main limitation of equity financing (The Hartford, n.d.).</w:t>
      </w:r>
    </w:p>
    <w:p w14:paraId="47EECE2E"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There are several theories as well for sources of finance like net income theory, pecking order theory, and others. Net income theory suggests that the company must use a mix of debt and equity to reduce the cost of capital and maximise wealth for the shareholders. On the other hand, the pecking order theory suggests that the company must prioritise using internal funds and keep external sources of finance as a last resort (Ahmadinia, Afrasiabishani and Hesami, 2018). Accordingly, companies can use different sources of finance based on their specific requirements after analysing both the merits and limitations of different sources of finance.</w:t>
      </w:r>
    </w:p>
    <w:p w14:paraId="2F6882F1"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7" w:name="_Toc674424694"/>
      <w:commentRangeStart w:id="8"/>
      <w:commentRangeStart w:id="9"/>
      <w:r>
        <w:rPr>
          <w:rFonts w:ascii="Times New Roman Regular" w:hAnsi="Times New Roman Regular" w:cs="Times New Roman Regular"/>
          <w:sz w:val="24"/>
          <w:szCs w:val="24"/>
        </w:rPr>
        <w:t>Strategic Financial Restructuring Plan</w:t>
      </w:r>
      <w:bookmarkEnd w:id="7"/>
      <w:commentRangeEnd w:id="8"/>
      <w:r>
        <w:rPr>
          <w:rStyle w:val="CommentReference"/>
          <w:rFonts w:ascii="Times New Roman Regular" w:hAnsi="Times New Roman Regular" w:cs="Times New Roman Regular"/>
          <w:sz w:val="24"/>
          <w:szCs w:val="24"/>
        </w:rPr>
        <w:commentReference w:id="8"/>
      </w:r>
      <w:commentRangeEnd w:id="9"/>
      <w:r>
        <w:rPr>
          <w:rStyle w:val="CommentReference"/>
          <w:rFonts w:ascii="Times New Roman Regular" w:hAnsi="Times New Roman Regular" w:cs="Times New Roman Regular"/>
          <w:sz w:val="24"/>
          <w:szCs w:val="24"/>
        </w:rPr>
        <w:commentReference w:id="9"/>
      </w:r>
    </w:p>
    <w:p w14:paraId="57743549" w14:textId="77777777" w:rsidR="003407CB" w:rsidRDefault="00B01312">
      <w:pPr>
        <w:spacing w:line="360" w:lineRule="auto"/>
        <w:jc w:val="both"/>
        <w:rPr>
          <w:rFonts w:ascii="Times New Roman Regular" w:hAnsi="Times New Roman Regular" w:cs="Times New Roman Regular"/>
          <w:b/>
          <w:i/>
          <w:sz w:val="24"/>
          <w:szCs w:val="24"/>
        </w:rPr>
      </w:pPr>
      <w:r>
        <w:rPr>
          <w:rFonts w:ascii="Times New Roman Regular" w:hAnsi="Times New Roman Regular" w:cs="Times New Roman Regular"/>
          <w:b/>
          <w:i/>
          <w:sz w:val="24"/>
          <w:szCs w:val="24"/>
        </w:rPr>
        <w:t>Recommended Financial Restructuring Alternatives</w:t>
      </w:r>
    </w:p>
    <w:p w14:paraId="202D1447"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Volkswagen Group can apply a multidimensional financial restructuring approach to address decreasing net profitability and cash shortages despite balanced growth and robust operational efficiency. One of the primary strategies is selective divestiture, in which a company may sell non-core or underperforming business units for generating immediate cash flows and advance capital allocation adequately (Pham et al., 2018).  This relates to the common principle that companies generally divert assets for streamlining operations and targeting high-margin segments. Another alternative is equity injection that can be through strategic investments or right issue for strengthening liquidity without enhancing leverage. This is especially relevant based on the declining debt levels of the company, as it offers a chance to restructure the capital structure, along with keeping financial stability. It is generally argued in financial practices that equity financing advances solvency ratios and decreases bankruptcy risk (Blessing and Sakouvogui, 2023). In addition, mergers or strategic partnerships, particularly in the EVs and digital mobility, can assist the company in reducing R&amp;D expenses and increasing economies of scale.</w:t>
      </w:r>
    </w:p>
    <w:p w14:paraId="7C6FAAB3"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Collaborations with technology-based companies can allow cost-sharing and overall innovative efficiency, which is essential in the capital-intensive sectors. Companies in dynamic industries generally pursue alliances to stay competitive and manage increasing costs adequately. Lastly, restructuring of working capital must be prioritised. This involves improving receivables collection, renegotiating supplier payment terms, optimising stock levels and other related things, which can ease the pressure of cash flows (Atere et al., 2019). Hence, efficient management of working capital is commonly considered an essential area of short-run financial health. Overall, such measures can assist the company in addressing liquidity issues along with stabilising profitability in the cost-intensive environment.</w:t>
      </w:r>
    </w:p>
    <w:p w14:paraId="62F49D18" w14:textId="77777777" w:rsidR="003407CB" w:rsidRDefault="00B01312">
      <w:pPr>
        <w:spacing w:line="360" w:lineRule="auto"/>
        <w:jc w:val="both"/>
        <w:rPr>
          <w:rFonts w:ascii="Times New Roman Regular" w:hAnsi="Times New Roman Regular" w:cs="Times New Roman Regular"/>
          <w:b/>
          <w:i/>
          <w:sz w:val="24"/>
          <w:szCs w:val="24"/>
        </w:rPr>
      </w:pPr>
      <w:r>
        <w:rPr>
          <w:rFonts w:ascii="Times New Roman Regular" w:hAnsi="Times New Roman Regular" w:cs="Times New Roman Regular"/>
          <w:b/>
          <w:i/>
          <w:sz w:val="24"/>
          <w:szCs w:val="24"/>
        </w:rPr>
        <w:t>Evaluating Impact on Shareholder Value, Debt Structure, and Operational Flexibility</w:t>
      </w:r>
    </w:p>
    <w:p w14:paraId="5D3B9C86"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The proposed restructuring approaches to Volkswagen Group are probably to carry a positive overall impact on shareholder value in the long-run business operations of the company. Divestitures can allow hidden value by letting the entity target its highly profitable business segments, thereby advancing overall return on equity. However, In medium term, such approaches may show restructuring issues and form volatility in the prices of stocks. It is usually noted that markets react favourably at the time restructuring programs are related to long-run value formation (Saltorato and Benatti, 2017). Besides, from the debt structure perspective, injection of equity and advanced cash flows from divestitures can further decrease overall reliance on debt financing. This will improve the overall balance sheet by decreasing the debt-to-equity ratio and advancing the firm’s creditworthiness. A lower leverage ratio increases the ability of a company to secure financing on good terms in the future.</w:t>
      </w:r>
    </w:p>
    <w:p w14:paraId="52F0B5B8"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Moreover, financial theory also highlights that a proper capital structure balance overall benefits of debt tax shields with the threat of financial distress (Michalkova et al., 2023). In relation to operational flexibility, restructuring approaches like partnerships and better working capital management can considerably increase agility. By decreasing fixed expenses and sharing investments, the firm can better align with market changes, especially in the change towards sustainable mobility and EVs. Greater liquidity also lets the company respond quickly to strategic opportunities and external shocks. However, there can be trade-offs; for example, equity dilution can decrease EPS or Earnings Per Share, and divestitures may lead to diversification loss. But such risks could be lowered or mitigated through careful strategic communication and planning with stakeholders. Hence, eventually, the restructuring is anticipated to strengthen financial resilience and assist overall sustainable growth.</w:t>
      </w:r>
    </w:p>
    <w:p w14:paraId="7778230A" w14:textId="77777777" w:rsidR="003407CB" w:rsidRDefault="00B01312">
      <w:pPr>
        <w:spacing w:line="360" w:lineRule="auto"/>
        <w:jc w:val="both"/>
        <w:rPr>
          <w:rFonts w:ascii="Times New Roman Regular" w:hAnsi="Times New Roman Regular" w:cs="Times New Roman Regular"/>
          <w:b/>
          <w:i/>
          <w:sz w:val="24"/>
          <w:szCs w:val="24"/>
        </w:rPr>
      </w:pPr>
      <w:commentRangeStart w:id="10"/>
      <w:r>
        <w:rPr>
          <w:rFonts w:ascii="Times New Roman Regular" w:hAnsi="Times New Roman Regular" w:cs="Times New Roman Regular"/>
          <w:b/>
          <w:i/>
          <w:sz w:val="24"/>
          <w:szCs w:val="24"/>
        </w:rPr>
        <w:t>Analysing International and Ethical Considerations</w:t>
      </w:r>
      <w:commentRangeEnd w:id="10"/>
      <w:r>
        <w:rPr>
          <w:rStyle w:val="CommentReference"/>
          <w:rFonts w:ascii="Times New Roman Regular" w:hAnsi="Times New Roman Regular" w:cs="Times New Roman Regular"/>
          <w:b/>
          <w:i/>
          <w:sz w:val="24"/>
          <w:szCs w:val="24"/>
        </w:rPr>
        <w:commentReference w:id="10"/>
      </w:r>
    </w:p>
    <w:p w14:paraId="56E5369C"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Operating at the transnational level, Volkswagen Group should consider multiple global and ethical elements, along with applying financial restructuring. One of the primary elements is taxation because divestitures and global transactions may have constant tax implications. Companies generally structure such areas strategically to optimise overall tax efficiency, along with ensuring compliance with transnational regulations (Herger et al., 2016). Besides, currency risk is another essential element, based on the overall presence of the company in global markets. Moreover, fluctuations in exchange rates could impact costs, revenues and profitability. It is generally recommended that transnational companies adopt hedging approaches to lower or mitigate such foreign currency-related risks and stabilise overall financial performance (Wang et al., 2015). Similarly, inflationary pressure, especially in the energy and raw material costs have led to a reduction in the net profitability of the company. Hence, the company should align inflation-adjusted cost control and financial planning mechanisms to balance margins. The economic theory related to inflation highlights that inflation can lower purchasing power and increase operational expenses if not managed adequately.</w:t>
      </w:r>
    </w:p>
    <w:p w14:paraId="326CE1CE"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Besides, from the ethical areas, restructuring decisions like plan closure, layoffs, or divestitures should be handled responsibly. Keeping robust CSR or Corporate Social Responsibility practices is important to safeguard the reputation and stakeholder trust for the company (Hakala, 2015). Ethical considerations are extending to environmental and governance sustainability, particularly as the automotive industry changes towards greener technologies. In governance, transparency in financial reporting and decision-making is essential. Moreover, it is widely accepted that good ethical governance increases investors’ confidence and longer value creation. By applying international ethical considerations to its restructuring approach, the company could ensure sustainability, compliance and worldwide confidence. Lastly, from the environmental area being an important segment of ESG, the company must apply sustainability into its overall financial restructuring by prioritising investments in EVs, lower-emission production processes as well as renewable energy use. Divestment from carbon-intensive mechanisms can decrease regulatory risks and increase long-run cost efficiency (Gozlugol et al., 2022). It is commonly noted that environmentally responsible companies attract ESG-likely investors and benefit from reduced capital cost.</w:t>
      </w:r>
    </w:p>
    <w:p w14:paraId="161F5B3A"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11" w:name="_Toc637143192"/>
      <w:commentRangeStart w:id="12"/>
      <w:commentRangeStart w:id="13"/>
      <w:r>
        <w:rPr>
          <w:rFonts w:ascii="Times New Roman Regular" w:hAnsi="Times New Roman Regular" w:cs="Times New Roman Regular"/>
          <w:sz w:val="24"/>
          <w:szCs w:val="24"/>
        </w:rPr>
        <w:t>Investment Appraisal</w:t>
      </w:r>
      <w:bookmarkEnd w:id="11"/>
      <w:commentRangeEnd w:id="12"/>
      <w:r>
        <w:rPr>
          <w:rStyle w:val="CommentReference"/>
          <w:rFonts w:ascii="Times New Roman Regular" w:hAnsi="Times New Roman Regular" w:cs="Times New Roman Regular"/>
          <w:sz w:val="24"/>
          <w:szCs w:val="24"/>
        </w:rPr>
        <w:commentReference w:id="12"/>
      </w:r>
      <w:commentRangeEnd w:id="13"/>
      <w:r>
        <w:rPr>
          <w:rStyle w:val="CommentReference"/>
          <w:rFonts w:ascii="Times New Roman Regular" w:hAnsi="Times New Roman Regular" w:cs="Times New Roman Regular"/>
          <w:sz w:val="24"/>
          <w:szCs w:val="24"/>
        </w:rPr>
        <w:commentReference w:id="13"/>
      </w:r>
    </w:p>
    <w:p w14:paraId="4BFB8D2C"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Payback Period: Payback period refers to an investment appraisal technique, which is used to compute the time period to recover the initial investment. It is a crude measure of liquidity, which tells projects managers time project will take to recoup the initial cost. Payback period is one of the simplest techniques and favours liquidity. However, there are several disadvantages of the payback period like it does not include cash flows that are generated after the payback period. In addition to this, the payback period is also not consistent with maximising wealth for the shareholders (Berk et al., 2013). The lower the payback period, the best it is for the company to invest due to faster collection.</w:t>
      </w:r>
    </w:p>
    <w:p w14:paraId="0C63A74E"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Accounting Rate of Return (ARR): ARR refers to a financial metric which is used for evaluating return on investment. In simple words, ARR reflects the profit percentage generated over the investment value. The computation of ARR is easy, and it is also simple to understand; however, there are several drawbacks to ARR. For instance, it lacks in considering the time value of money concept. Similarly, ARR also fails in considering the timing of profits (Birt et al., 2020).</w:t>
      </w:r>
    </w:p>
    <w:p w14:paraId="66161867"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Net Present Value (NPV): NPV is one of the most useful techniques, which helps in determining the value of the project. In simple terms, it is the difference between the present value of cash inflows and cash outflows. The NPV technique uses a discount rate to arrive at the present value of cash inflows. Investing in positive NPV is favourable as it creates value addition and also facilitates companies in maximising shareholders' wealth. Some of the key advantages of NPV are the consideration of the time value of money concept and the consideration of the risk of future cash flows. However, there are also several disadvantages of NPV like estimation of discount rate and difficulty to select mutually exclusive projects with similar size (Drake, Fabozzi and Fabozzi, 2022).</w:t>
      </w:r>
    </w:p>
    <w:p w14:paraId="78B302AD"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Profitability Index (PI): PI refers to the ratio of the present value of cash inflows and the initial investment value. In other words, it measures the benefit received on each dollar invested. PI of 1 and more than 1 reflects that the investment is feasible; whereas, investing in a project with a PI of less than 1 is not feasible. PI is helpful to use when investment funds are limited, and it is also related to NPV; however, a key drawback of PI is that it might provide wrong or inaccurate results when comparing mutually exclusive projects (Hillier, 2021).</w:t>
      </w:r>
    </w:p>
    <w:p w14:paraId="067AB032"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Internal Rate of Return (IRR): IRR is another technique which is used to compute return on potential investments. In simple terms, IRR is the rate at which a project reaches the break-even level. At IRR, the initial investment as well as present value of future cash inflows becomes equal or project neither generates profits nor losses. Generally, investing in a project is more feasible when the IRR exceeds the discount rate and vice versa. The key advantage of IRR is that it is related to NPV; however, it is hard to compute and also leads to ambiguity during multiple IRRs (Berk et al., 2013).</w:t>
      </w:r>
    </w:p>
    <w:p w14:paraId="2BC61FB1"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following section will discuss the results of investment appraisal techniques and provide recommendations regarding the feasibility of an investment.</w:t>
      </w:r>
    </w:p>
    <w:p w14:paraId="6ABAA59C"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Table 1: Investent appraisal techniques results </w:t>
      </w:r>
    </w:p>
    <w:tbl>
      <w:tblPr>
        <w:tblW w:w="4999" w:type="pct"/>
        <w:tblLook w:val="04A0" w:firstRow="1" w:lastRow="0" w:firstColumn="1" w:lastColumn="0" w:noHBand="0" w:noVBand="1"/>
      </w:tblPr>
      <w:tblGrid>
        <w:gridCol w:w="2860"/>
        <w:gridCol w:w="1441"/>
        <w:gridCol w:w="2542"/>
        <w:gridCol w:w="1441"/>
      </w:tblGrid>
      <w:tr w:rsidR="003407CB" w14:paraId="179A0D40" w14:textId="77777777">
        <w:trPr>
          <w:trHeight w:val="336"/>
        </w:trPr>
        <w:tc>
          <w:tcPr>
            <w:tcW w:w="1726" w:type="pct"/>
            <w:tcBorders>
              <w:top w:val="single" w:sz="8" w:space="0" w:color="4F81BD"/>
              <w:left w:val="single" w:sz="8" w:space="0" w:color="4F81BD"/>
              <w:bottom w:val="single" w:sz="18" w:space="0" w:color="FFFFFF"/>
              <w:right w:val="single" w:sz="8" w:space="0" w:color="4F81BD"/>
            </w:tcBorders>
            <w:shd w:val="clear" w:color="auto" w:fill="4F81BD"/>
            <w:noWrap/>
            <w:vAlign w:val="center"/>
          </w:tcPr>
          <w:p w14:paraId="1570497C" w14:textId="77777777" w:rsidR="003407CB" w:rsidRDefault="00B01312">
            <w:pPr>
              <w:spacing w:line="360" w:lineRule="auto"/>
              <w:jc w:val="both"/>
              <w:textAlignment w:val="center"/>
              <w:rPr>
                <w:rFonts w:ascii="Times New Roman Regular" w:hAnsi="Times New Roman Regular" w:cs="Times New Roman Regular"/>
                <w:b/>
                <w:bCs/>
                <w:color w:val="FFFFFF"/>
                <w:sz w:val="24"/>
                <w:szCs w:val="24"/>
              </w:rPr>
            </w:pPr>
            <w:r>
              <w:rPr>
                <w:rFonts w:ascii="Times New Roman Regular" w:eastAsia="SimSun" w:hAnsi="Times New Roman Regular" w:cs="Times New Roman Regular"/>
                <w:b/>
                <w:bCs/>
                <w:color w:val="FFFFFF"/>
                <w:sz w:val="24"/>
                <w:szCs w:val="24"/>
                <w:lang w:bidi="ar"/>
              </w:rPr>
              <w:t>Techniques</w:t>
            </w:r>
          </w:p>
        </w:tc>
        <w:tc>
          <w:tcPr>
            <w:tcW w:w="869" w:type="pct"/>
            <w:tcBorders>
              <w:top w:val="single" w:sz="8" w:space="0" w:color="4F81BD"/>
              <w:left w:val="single" w:sz="8" w:space="0" w:color="4F81BD"/>
              <w:bottom w:val="single" w:sz="18" w:space="0" w:color="FFFFFF"/>
              <w:right w:val="single" w:sz="8" w:space="0" w:color="4F81BD"/>
            </w:tcBorders>
            <w:shd w:val="clear" w:color="auto" w:fill="4F81BD"/>
            <w:noWrap/>
            <w:vAlign w:val="center"/>
          </w:tcPr>
          <w:p w14:paraId="0FBFDE89" w14:textId="77777777" w:rsidR="003407CB" w:rsidRDefault="00B01312">
            <w:pPr>
              <w:spacing w:line="360" w:lineRule="auto"/>
              <w:jc w:val="both"/>
              <w:textAlignment w:val="center"/>
              <w:rPr>
                <w:rFonts w:ascii="Times New Roman Regular" w:hAnsi="Times New Roman Regular" w:cs="Times New Roman Regular"/>
                <w:b/>
                <w:bCs/>
                <w:color w:val="FFFFFF"/>
                <w:sz w:val="24"/>
                <w:szCs w:val="24"/>
              </w:rPr>
            </w:pPr>
            <w:r>
              <w:rPr>
                <w:rFonts w:ascii="Times New Roman Regular" w:eastAsia="SimSun" w:hAnsi="Times New Roman Regular" w:cs="Times New Roman Regular"/>
                <w:b/>
                <w:bCs/>
                <w:color w:val="FFFFFF"/>
                <w:sz w:val="24"/>
                <w:szCs w:val="24"/>
                <w:lang w:bidi="ar"/>
              </w:rPr>
              <w:t>Project A</w:t>
            </w:r>
          </w:p>
        </w:tc>
        <w:tc>
          <w:tcPr>
            <w:tcW w:w="1533" w:type="pct"/>
            <w:tcBorders>
              <w:top w:val="single" w:sz="8" w:space="0" w:color="4F81BD"/>
              <w:left w:val="single" w:sz="8" w:space="0" w:color="4F81BD"/>
              <w:bottom w:val="single" w:sz="18" w:space="0" w:color="FFFFFF"/>
              <w:right w:val="single" w:sz="8" w:space="0" w:color="4F81BD"/>
            </w:tcBorders>
            <w:shd w:val="clear" w:color="auto" w:fill="4F81BD"/>
            <w:noWrap/>
            <w:vAlign w:val="center"/>
          </w:tcPr>
          <w:p w14:paraId="4EC8E1FE" w14:textId="77777777" w:rsidR="003407CB" w:rsidRDefault="00B01312">
            <w:pPr>
              <w:spacing w:line="360" w:lineRule="auto"/>
              <w:jc w:val="both"/>
              <w:textAlignment w:val="center"/>
              <w:rPr>
                <w:rFonts w:ascii="Times New Roman Regular" w:hAnsi="Times New Roman Regular" w:cs="Times New Roman Regular"/>
                <w:b/>
                <w:bCs/>
                <w:color w:val="FFFFFF"/>
                <w:sz w:val="24"/>
                <w:szCs w:val="24"/>
              </w:rPr>
            </w:pPr>
            <w:r>
              <w:rPr>
                <w:rFonts w:ascii="Times New Roman Regular" w:eastAsia="SimSun" w:hAnsi="Times New Roman Regular" w:cs="Times New Roman Regular"/>
                <w:b/>
                <w:bCs/>
                <w:color w:val="FFFFFF"/>
                <w:sz w:val="24"/>
                <w:szCs w:val="24"/>
                <w:lang w:bidi="ar"/>
              </w:rPr>
              <w:t xml:space="preserve">Project B </w:t>
            </w:r>
          </w:p>
        </w:tc>
        <w:tc>
          <w:tcPr>
            <w:tcW w:w="869" w:type="pct"/>
            <w:tcBorders>
              <w:top w:val="single" w:sz="8" w:space="0" w:color="4F81BD"/>
              <w:left w:val="single" w:sz="8" w:space="0" w:color="4F81BD"/>
              <w:bottom w:val="single" w:sz="18" w:space="0" w:color="FFFFFF"/>
              <w:right w:val="single" w:sz="8" w:space="0" w:color="4F81BD"/>
            </w:tcBorders>
            <w:shd w:val="clear" w:color="auto" w:fill="4F81BD"/>
            <w:noWrap/>
            <w:vAlign w:val="center"/>
          </w:tcPr>
          <w:p w14:paraId="0B92BE45" w14:textId="77777777" w:rsidR="003407CB" w:rsidRDefault="00B01312">
            <w:pPr>
              <w:spacing w:line="360" w:lineRule="auto"/>
              <w:jc w:val="both"/>
              <w:textAlignment w:val="center"/>
              <w:rPr>
                <w:rFonts w:ascii="Times New Roman Regular" w:hAnsi="Times New Roman Regular" w:cs="Times New Roman Regular"/>
                <w:b/>
                <w:bCs/>
                <w:color w:val="FFFFFF"/>
                <w:sz w:val="24"/>
                <w:szCs w:val="24"/>
              </w:rPr>
            </w:pPr>
            <w:r>
              <w:rPr>
                <w:rFonts w:ascii="Times New Roman Regular" w:eastAsia="SimSun" w:hAnsi="Times New Roman Regular" w:cs="Times New Roman Regular"/>
                <w:b/>
                <w:bCs/>
                <w:color w:val="FFFFFF"/>
                <w:sz w:val="24"/>
                <w:szCs w:val="24"/>
                <w:lang w:bidi="ar"/>
              </w:rPr>
              <w:t>Project C</w:t>
            </w:r>
          </w:p>
        </w:tc>
      </w:tr>
      <w:tr w:rsidR="003407CB" w14:paraId="7309D9CD" w14:textId="77777777">
        <w:trPr>
          <w:trHeight w:val="336"/>
        </w:trPr>
        <w:tc>
          <w:tcPr>
            <w:tcW w:w="1726" w:type="pct"/>
            <w:tcBorders>
              <w:top w:val="single" w:sz="18" w:space="0" w:color="FFFFFF"/>
              <w:left w:val="single" w:sz="8" w:space="0" w:color="4F81BD"/>
              <w:bottom w:val="single" w:sz="8" w:space="0" w:color="4F81BD"/>
              <w:right w:val="single" w:sz="8" w:space="0" w:color="4F81BD"/>
            </w:tcBorders>
            <w:shd w:val="clear" w:color="auto" w:fill="B8CCE4"/>
            <w:noWrap/>
            <w:vAlign w:val="center"/>
          </w:tcPr>
          <w:p w14:paraId="0BFAFBDD"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Payback Period</w:t>
            </w:r>
          </w:p>
        </w:tc>
        <w:tc>
          <w:tcPr>
            <w:tcW w:w="869" w:type="pct"/>
            <w:tcBorders>
              <w:top w:val="single" w:sz="18" w:space="0" w:color="FFFFFF"/>
              <w:left w:val="single" w:sz="8" w:space="0" w:color="4F81BD"/>
              <w:bottom w:val="single" w:sz="8" w:space="0" w:color="4F81BD"/>
              <w:right w:val="single" w:sz="8" w:space="0" w:color="4F81BD"/>
            </w:tcBorders>
            <w:shd w:val="clear" w:color="auto" w:fill="B8CCE4"/>
            <w:noWrap/>
            <w:vAlign w:val="center"/>
          </w:tcPr>
          <w:p w14:paraId="369CF5D3"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w:t>
            </w:r>
          </w:p>
        </w:tc>
        <w:tc>
          <w:tcPr>
            <w:tcW w:w="1533" w:type="pct"/>
            <w:tcBorders>
              <w:top w:val="single" w:sz="18" w:space="0" w:color="FFFFFF"/>
              <w:left w:val="single" w:sz="8" w:space="0" w:color="4F81BD"/>
              <w:bottom w:val="single" w:sz="8" w:space="0" w:color="4F81BD"/>
              <w:right w:val="single" w:sz="8" w:space="0" w:color="4F81BD"/>
            </w:tcBorders>
            <w:shd w:val="clear" w:color="auto" w:fill="B8CCE4"/>
            <w:noWrap/>
            <w:vAlign w:val="center"/>
          </w:tcPr>
          <w:p w14:paraId="3E8F5D65"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4.55</w:t>
            </w:r>
          </w:p>
        </w:tc>
        <w:tc>
          <w:tcPr>
            <w:tcW w:w="869" w:type="pct"/>
            <w:tcBorders>
              <w:top w:val="single" w:sz="18" w:space="0" w:color="FFFFFF"/>
              <w:left w:val="single" w:sz="8" w:space="0" w:color="4F81BD"/>
              <w:bottom w:val="single" w:sz="8" w:space="0" w:color="4F81BD"/>
              <w:right w:val="single" w:sz="8" w:space="0" w:color="4F81BD"/>
            </w:tcBorders>
            <w:shd w:val="clear" w:color="auto" w:fill="B8CCE4"/>
            <w:noWrap/>
            <w:vAlign w:val="center"/>
          </w:tcPr>
          <w:p w14:paraId="1CFEB8F2"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3.6</w:t>
            </w:r>
          </w:p>
        </w:tc>
      </w:tr>
      <w:tr w:rsidR="003407CB" w14:paraId="3E8908C8" w14:textId="77777777">
        <w:trPr>
          <w:trHeight w:val="336"/>
        </w:trPr>
        <w:tc>
          <w:tcPr>
            <w:tcW w:w="1726"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5BF58F06"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ARR</w:t>
            </w:r>
          </w:p>
        </w:tc>
        <w:tc>
          <w:tcPr>
            <w:tcW w:w="869"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767CB543"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1.60%</w:t>
            </w:r>
          </w:p>
        </w:tc>
        <w:tc>
          <w:tcPr>
            <w:tcW w:w="1533"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2942D49C"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869"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03E33586"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6%</w:t>
            </w:r>
          </w:p>
        </w:tc>
      </w:tr>
      <w:tr w:rsidR="003407CB" w14:paraId="5C2380A7" w14:textId="77777777">
        <w:trPr>
          <w:trHeight w:val="336"/>
        </w:trPr>
        <w:tc>
          <w:tcPr>
            <w:tcW w:w="1726"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2A22B5DA"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NPV</w:t>
            </w:r>
          </w:p>
        </w:tc>
        <w:tc>
          <w:tcPr>
            <w:tcW w:w="869"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10A733D4"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-£8.68</w:t>
            </w:r>
          </w:p>
        </w:tc>
        <w:tc>
          <w:tcPr>
            <w:tcW w:w="1533"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797C185D"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-£8.30</w:t>
            </w:r>
          </w:p>
        </w:tc>
        <w:tc>
          <w:tcPr>
            <w:tcW w:w="869"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28BFAB83"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-£1.98</w:t>
            </w:r>
          </w:p>
        </w:tc>
      </w:tr>
      <w:tr w:rsidR="003407CB" w14:paraId="6B14CD19" w14:textId="77777777">
        <w:trPr>
          <w:trHeight w:val="336"/>
        </w:trPr>
        <w:tc>
          <w:tcPr>
            <w:tcW w:w="1726"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590B6C1F"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PI</w:t>
            </w:r>
          </w:p>
        </w:tc>
        <w:tc>
          <w:tcPr>
            <w:tcW w:w="869"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263FB8DB"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0.83</w:t>
            </w:r>
          </w:p>
        </w:tc>
        <w:tc>
          <w:tcPr>
            <w:tcW w:w="1533"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75A369FE"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0.83</w:t>
            </w:r>
          </w:p>
        </w:tc>
        <w:tc>
          <w:tcPr>
            <w:tcW w:w="869" w:type="pct"/>
            <w:tcBorders>
              <w:top w:val="single" w:sz="8" w:space="0" w:color="4F81BD"/>
              <w:left w:val="single" w:sz="8" w:space="0" w:color="4F81BD"/>
              <w:bottom w:val="single" w:sz="8" w:space="0" w:color="4F81BD"/>
              <w:right w:val="single" w:sz="8" w:space="0" w:color="4F81BD"/>
            </w:tcBorders>
            <w:shd w:val="clear" w:color="auto" w:fill="FFFFFF"/>
            <w:noWrap/>
            <w:vAlign w:val="center"/>
          </w:tcPr>
          <w:p w14:paraId="19263D92"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0.96</w:t>
            </w:r>
          </w:p>
        </w:tc>
      </w:tr>
      <w:tr w:rsidR="003407CB" w14:paraId="68235527" w14:textId="77777777">
        <w:trPr>
          <w:trHeight w:val="336"/>
        </w:trPr>
        <w:tc>
          <w:tcPr>
            <w:tcW w:w="1726"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180D27BA"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IRR</w:t>
            </w:r>
          </w:p>
        </w:tc>
        <w:tc>
          <w:tcPr>
            <w:tcW w:w="869"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4BB9D6EC"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2.72%</w:t>
            </w:r>
          </w:p>
        </w:tc>
        <w:tc>
          <w:tcPr>
            <w:tcW w:w="1533"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3376F919"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3.26%</w:t>
            </w:r>
          </w:p>
        </w:tc>
        <w:tc>
          <w:tcPr>
            <w:tcW w:w="869" w:type="pct"/>
            <w:tcBorders>
              <w:top w:val="single" w:sz="8" w:space="0" w:color="4F81BD"/>
              <w:left w:val="single" w:sz="8" w:space="0" w:color="4F81BD"/>
              <w:bottom w:val="single" w:sz="8" w:space="0" w:color="4F81BD"/>
              <w:right w:val="single" w:sz="8" w:space="0" w:color="4F81BD"/>
            </w:tcBorders>
            <w:shd w:val="clear" w:color="auto" w:fill="B8CCE4"/>
            <w:noWrap/>
            <w:vAlign w:val="center"/>
          </w:tcPr>
          <w:p w14:paraId="763EF3FE" w14:textId="77777777" w:rsidR="003407CB" w:rsidRDefault="00B01312">
            <w:pPr>
              <w:spacing w:line="360" w:lineRule="auto"/>
              <w:jc w:val="both"/>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8.59%</w:t>
            </w:r>
          </w:p>
        </w:tc>
      </w:tr>
    </w:tbl>
    <w:p w14:paraId="2E869901" w14:textId="77777777" w:rsidR="003407CB" w:rsidRDefault="00B01312">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(Note: S</w:t>
      </w:r>
      <w:r>
        <w:rPr>
          <w:rFonts w:ascii="Times New Roman Regular" w:hAnsi="Times New Roman Regular" w:cs="Times New Roman Regular"/>
          <w:sz w:val="24"/>
          <w:szCs w:val="24"/>
        </w:rPr>
        <w:t>ee detailed calculations in appendix 3)</w:t>
      </w:r>
    </w:p>
    <w:p w14:paraId="7CA87B0D"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On analysis of the above results, it was found that all projects have generated negative NPV. Project A’s NPV is -£8.68, Project B’s NPV is -£8.30, and Project C’s NPV is -£1.98. Project A has generated the highest negative NPV, whereas Project C has generated the lowest negative NPV. In addition to this, the payback period of project A, B, and C are 4.5 years, 4.55 years and 3.6 years. Project C will takes least time compared to other projects to recoup initial investments. Similarly, ARR of project A, B, and C are 1.60%, 2% and 6%. This implies that the project C will generate the highest returns compared to project A and B. PI of project A, B, and C are 0.83, 0.83, and 0.96, which indicates that investing in project C is a more viable option compared to investing in other projects. Further, the IRR of project C is also slightly low (8.59%) compared to project A (2.72%) and project B (3.26%), which shows that investing in project C is viable. Overall, it can be stated that investing in all projects is not feasible as all projects has generated negative NPV; however, in case the company wants to invest in one project than investing in project C is feasible due to the low payback period and high ARR.</w:t>
      </w:r>
    </w:p>
    <w:p w14:paraId="66858AB2"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net profit ratio of the company has declined in the last few years, and thereby investing in project with the highest ARR is helpful for improving profit margins. Since project C has generated the highest ARR, it will help boosting company’s profits. Gearing is also affected due to a fall in interest cover, and thus investing in the highest ARR project will address this problem. Cash issue is also one of the concerns for the company, and thus investing in a project makes a perfect choice for the company as it has the lowest payback period. Overall, investing in project C can help in addressing profitability and cash weakness; however, investing in other projects can exacerbate them. On the other hand, non-financial risk like political risk is also high in the EV industry due to huge regulations, and thereby investing in project with a high payback can bring more challenges to policy changes and thus investing in project C with the least payback period can be helpful for reducing exposure and faster recovery. Similarly, Dieselgate has damaged reputation and customer loyalty, which can be seen as one of the main non-financial risks. Such risk makes it crucial for the company to improve customer loyalty. This can be achieved by investing in projects with higher inflows, like project C, which can assist in rebuilding brand royalty (Volkswagen Group, 2024; Jong, and van der Linde, 2022).</w:t>
      </w:r>
    </w:p>
    <w:p w14:paraId="2C26BAF0"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In the case of capital rationing, the company can invest only a maximum of £100 million, so investing in projects B and C is feasible. Investing in project C is feasible as it has growth potential and generated the highest ARR and the lowest payback; whereas, project B provides stable cash flows in all years, which supports liquidity management and can solve cash issue for the company. Overall, the combination of projects B and C is viable in case of capital rationing as they not only balance risk and return but also fit with the company’s financial constraints.</w:t>
      </w:r>
      <w:r>
        <w:rPr>
          <w:rFonts w:ascii="Times New Roman Regular" w:hAnsi="Times New Roman Regular" w:cs="Times New Roman Regular"/>
          <w:sz w:val="24"/>
          <w:szCs w:val="24"/>
        </w:rPr>
        <w:t xml:space="preserve"> </w:t>
      </w:r>
    </w:p>
    <w:p w14:paraId="64DE4EB8"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14" w:name="_Toc1112164002"/>
      <w:r>
        <w:rPr>
          <w:rFonts w:ascii="Times New Roman Regular" w:hAnsi="Times New Roman Regular" w:cs="Times New Roman Regular"/>
          <w:sz w:val="24"/>
          <w:szCs w:val="24"/>
        </w:rPr>
        <w:t>Conclusion</w:t>
      </w:r>
      <w:bookmarkEnd w:id="14"/>
    </w:p>
    <w:p w14:paraId="3F7ED843"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It can be concluded from the analysis of the above report that the profitability position of the company has been adversely affected in the last few years due to a rise in expenses and a fall in profits; however, the liquidity, efficiency, and gearing position of the company are effective. The company has a sufficient amount of assets to meet current obligations, and it is also effective in managing inventory and assets. A fall in gearing ratio also reflects the sign of improved solvency position. However, consistent fall in profits and cash flow issues are the main core problems identified in the report. Such problems can be addressed using TQM, controlling expenses, avoiding wastage, and others. In addition to this, the cash operating cycle has reduced in last 5 years; however, a slight rise has been seen in the cash operating cycle since last few years. Although the company is effective in managing working capital; however, it can be recommended to the company to further improve liquidity by taking working capital reforms like managing receivables, payable and inventory.</w:t>
      </w:r>
    </w:p>
    <w:p w14:paraId="003B6001" w14:textId="77777777" w:rsidR="003407CB" w:rsidRDefault="00B01312">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Additionally, </w:t>
      </w:r>
      <w:r>
        <w:rPr>
          <w:rFonts w:ascii="Times New Roman Regular" w:hAnsi="Times New Roman Regular" w:cs="Times New Roman Regular"/>
          <w:sz w:val="24"/>
          <w:szCs w:val="24"/>
        </w:rPr>
        <w:t xml:space="preserve">Volkswagen can fix declining profitability and cash shortages through a neutral financial restructuring approach integrating equity support, divestitures, and operational advancements. While short-run tradeoffs may emerge, the long-run advantage involves increased shareholder value, robust financial stability, and greater flexibility. Applying ethical, global and environmental considerations further increases sustainable growth, alignment, and resilience with changing worldwide regulatory and business expectations. </w:t>
      </w:r>
      <w:r>
        <w:rPr>
          <w:rFonts w:ascii="Times New Roman Regular" w:eastAsia="SimSun" w:hAnsi="Times New Roman Regular" w:cs="Times New Roman Regular"/>
          <w:sz w:val="24"/>
          <w:szCs w:val="24"/>
          <w:lang w:bidi="ar"/>
        </w:rPr>
        <w:t>Further, all projects have generated negative NPV, but project C is more favourable than the others due to the least negative NPV, the highest ARR, the highest PI, and the shortest payback period. Similarly, investing in project C can also help improve profitability and reduce cash flow issues and improve existing non-financial risks like reputation damage. In the case of capital rationing, the investment in project B and C is feasible as both can address current problems and help meet strategic goals.</w:t>
      </w:r>
    </w:p>
    <w:p w14:paraId="00DEBBCB" w14:textId="77777777" w:rsidR="003407CB" w:rsidRDefault="00B01312">
      <w:pPr>
        <w:rPr>
          <w:rFonts w:ascii="Times New Roman Regular" w:hAnsi="Times New Roman Regular" w:cs="Times New Roman Regular"/>
          <w:sz w:val="24"/>
          <w:szCs w:val="24"/>
        </w:rPr>
      </w:pPr>
      <w:bookmarkStart w:id="15" w:name="_Toc442718126"/>
      <w:r>
        <w:rPr>
          <w:rFonts w:ascii="Times New Roman Regular" w:hAnsi="Times New Roman Regular" w:cs="Times New Roman Regular"/>
          <w:sz w:val="24"/>
          <w:szCs w:val="24"/>
        </w:rPr>
        <w:br w:type="page"/>
      </w:r>
    </w:p>
    <w:p w14:paraId="7BD6FB6A"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References</w:t>
      </w:r>
      <w:bookmarkEnd w:id="15"/>
    </w:p>
    <w:p w14:paraId="01780138"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Abor, J.Y. and karimu, A. 2023. </w:t>
      </w:r>
      <w:r>
        <w:rPr>
          <w:rFonts w:ascii="Times New Roman Regular" w:hAnsi="Times New Roman Regular" w:cs="Times New Roman Regular"/>
          <w:i/>
          <w:iCs/>
          <w:sz w:val="24"/>
          <w:szCs w:val="24"/>
        </w:rPr>
        <w:t>The Economics of the Oil and Gas Industry</w:t>
      </w:r>
      <w:r>
        <w:rPr>
          <w:rFonts w:ascii="Times New Roman Regular" w:hAnsi="Times New Roman Regular" w:cs="Times New Roman Regular"/>
          <w:sz w:val="24"/>
          <w:szCs w:val="24"/>
        </w:rPr>
        <w:t>. Oxfordshire: Taylor &amp; Francis.</w:t>
      </w:r>
    </w:p>
    <w:p w14:paraId="73D362D5"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lang w:bidi="ar"/>
        </w:rPr>
        <w:t xml:space="preserve">Ahmadinia, H., Afrasiabishani, J. and Hesami, E. 2018. A comprehensive review on capital structure theories. </w:t>
      </w:r>
      <w:r>
        <w:rPr>
          <w:rFonts w:ascii="Times New Roman Regular" w:eastAsia="SimSun" w:hAnsi="Times New Roman Regular" w:cs="Times New Roman Regular"/>
          <w:i/>
          <w:iCs/>
          <w:color w:val="222222"/>
          <w:sz w:val="24"/>
          <w:szCs w:val="24"/>
          <w:shd w:val="clear" w:color="auto" w:fill="FFFFFF"/>
          <w:lang w:bidi="ar"/>
        </w:rPr>
        <w:t xml:space="preserve">The Romanian Economic Journal, </w:t>
      </w:r>
      <w:r>
        <w:rPr>
          <w:rFonts w:ascii="Times New Roman Regular" w:eastAsia="SimSun" w:hAnsi="Times New Roman Regular" w:cs="Times New Roman Regular"/>
          <w:color w:val="222222"/>
          <w:sz w:val="24"/>
          <w:szCs w:val="24"/>
          <w:shd w:val="clear" w:color="auto" w:fill="FFFFFF"/>
          <w:lang w:bidi="ar"/>
        </w:rPr>
        <w:t xml:space="preserve">45, pp. 3-26. </w:t>
      </w:r>
      <w:hyperlink r:id="rId19" w:history="1">
        <w:r>
          <w:rPr>
            <w:rStyle w:val="Hyperlink"/>
            <w:rFonts w:ascii="Times New Roman Regular" w:eastAsia="SimSun" w:hAnsi="Times New Roman Regular" w:cs="Times New Roman Regular"/>
            <w:sz w:val="24"/>
            <w:szCs w:val="24"/>
            <w:shd w:val="clear" w:color="auto" w:fill="FFFFFF"/>
          </w:rPr>
          <w:t>https://www.researchgate.net/publication/255725961_A_Comprehensive_Review_on_Capital_Structure_Theories</w:t>
        </w:r>
      </w:hyperlink>
    </w:p>
    <w:p w14:paraId="0F838D01"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Aswath, D. 2010. </w:t>
      </w:r>
      <w:r>
        <w:rPr>
          <w:rFonts w:ascii="Times New Roman Regular" w:hAnsi="Times New Roman Regular" w:cs="Times New Roman Regular"/>
          <w:i/>
          <w:iCs/>
          <w:sz w:val="24"/>
          <w:szCs w:val="24"/>
        </w:rPr>
        <w:t>Applied Corporate Finance</w:t>
      </w:r>
      <w:r>
        <w:rPr>
          <w:rFonts w:ascii="Times New Roman Regular" w:hAnsi="Times New Roman Regular" w:cs="Times New Roman Regular"/>
          <w:sz w:val="24"/>
          <w:szCs w:val="24"/>
        </w:rPr>
        <w:t>. New Jersey: John Wiley &amp; Sons.</w:t>
      </w:r>
    </w:p>
    <w:p w14:paraId="44C51589" w14:textId="77777777" w:rsidR="003407CB" w:rsidRDefault="00B01312">
      <w:pPr>
        <w:spacing w:beforeLines="100" w:before="240" w:afterLines="100" w:after="240" w:line="360" w:lineRule="auto"/>
        <w:jc w:val="both"/>
        <w:rPr>
          <w:rFonts w:ascii="Times New Roman Regular" w:hAnsi="Times New Roman Regular" w:cs="Times New Roman Regular"/>
          <w:color w:val="222222"/>
          <w:sz w:val="24"/>
          <w:szCs w:val="24"/>
          <w:shd w:val="clear" w:color="auto" w:fill="FFFFFF"/>
        </w:rPr>
      </w:pPr>
      <w:r>
        <w:rPr>
          <w:rFonts w:ascii="Times New Roman Regular" w:hAnsi="Times New Roman Regular" w:cs="Times New Roman Regular"/>
          <w:color w:val="222222"/>
          <w:sz w:val="24"/>
          <w:szCs w:val="24"/>
          <w:shd w:val="clear" w:color="auto" w:fill="FFFFFF"/>
        </w:rPr>
        <w:t xml:space="preserve">Atere, D.E.B.O.R.A.H., Shobande, A.O. and Toluwase, I.H. 2019. Framework for designing effective corporate restructuring strategies to optimize liquidity and working capital. </w:t>
      </w:r>
      <w:r>
        <w:rPr>
          <w:rFonts w:ascii="Times New Roman Regular" w:hAnsi="Times New Roman Regular" w:cs="Times New Roman Regular"/>
          <w:i/>
          <w:color w:val="222222"/>
          <w:sz w:val="24"/>
          <w:szCs w:val="24"/>
          <w:shd w:val="clear" w:color="auto" w:fill="FFFFFF"/>
        </w:rPr>
        <w:t>IRE Journals</w:t>
      </w:r>
      <w:r>
        <w:rPr>
          <w:rFonts w:ascii="Times New Roman Regular" w:hAnsi="Times New Roman Regular" w:cs="Times New Roman Regular"/>
          <w:color w:val="222222"/>
          <w:sz w:val="24"/>
          <w:szCs w:val="24"/>
          <w:shd w:val="clear" w:color="auto" w:fill="FFFFFF"/>
        </w:rPr>
        <w:t xml:space="preserve">, 2(10), pp.  555-562. </w:t>
      </w:r>
      <w:hyperlink r:id="rId20" w:history="1">
        <w:r>
          <w:rPr>
            <w:rStyle w:val="Hyperlink"/>
            <w:rFonts w:ascii="Times New Roman Regular" w:hAnsi="Times New Roman Regular" w:cs="Times New Roman Regular"/>
            <w:sz w:val="24"/>
            <w:szCs w:val="24"/>
            <w:shd w:val="clear" w:color="auto" w:fill="FFFFFF"/>
          </w:rPr>
          <w:t>https://www.researchgate.net/profile/Deborah-Atere-2/publication/399419573_Framework_for_Designing_Effective_Corporate_Restructuring_Strategies_to_Optimize_Liquidity_and_Working_Capital/links/6959b11a27359023a013262d/Framework-for-Designing-Effective-Corporate-Restructuring-Strategies-to-Optimize-Liquidity-and-Working-Capital.pdf</w:t>
        </w:r>
      </w:hyperlink>
      <w:r>
        <w:rPr>
          <w:rFonts w:ascii="Times New Roman Regular" w:hAnsi="Times New Roman Regular" w:cs="Times New Roman Regular"/>
          <w:color w:val="222222"/>
          <w:sz w:val="24"/>
          <w:szCs w:val="24"/>
          <w:shd w:val="clear" w:color="auto" w:fill="FFFFFF"/>
        </w:rPr>
        <w:t xml:space="preserve">  </w:t>
      </w:r>
    </w:p>
    <w:p w14:paraId="57D80F1F"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BBB. 2025. Working capital: why it’s important to your business. [Online]. Available at: </w:t>
      </w:r>
      <w:hyperlink r:id="rId21" w:history="1">
        <w:r>
          <w:rPr>
            <w:rStyle w:val="Hyperlink"/>
            <w:rFonts w:ascii="Times New Roman Regular" w:hAnsi="Times New Roman Regular" w:cs="Times New Roman Regular"/>
            <w:sz w:val="24"/>
            <w:szCs w:val="24"/>
          </w:rPr>
          <w:t>https://www.british-business-bank.co.uk/business-guidance/guidance-articles/finance/why-working-capital-is-important-to-your-business</w:t>
        </w:r>
      </w:hyperlink>
      <w:r>
        <w:rPr>
          <w:rFonts w:ascii="Times New Roman Regular" w:hAnsi="Times New Roman Regular" w:cs="Times New Roman Regular"/>
          <w:sz w:val="24"/>
          <w:szCs w:val="24"/>
        </w:rPr>
        <w:t xml:space="preserve"> [Accessed: 21 March 2026].</w:t>
      </w:r>
    </w:p>
    <w:p w14:paraId="16C8F6C0"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Berk, J., DeMarzo, P., Harford, J., Ford, G., Mollica, V. and Finch, N. 2013. </w:t>
      </w:r>
      <w:r>
        <w:rPr>
          <w:rFonts w:ascii="Times New Roman Regular" w:eastAsia="SimSun" w:hAnsi="Times New Roman Regular" w:cs="Times New Roman Regular"/>
          <w:i/>
          <w:iCs/>
          <w:color w:val="222222"/>
          <w:sz w:val="24"/>
          <w:szCs w:val="24"/>
          <w:shd w:val="clear" w:color="auto" w:fill="FFFFFF"/>
          <w:lang w:bidi="ar"/>
        </w:rPr>
        <w:t>Fundamentals of corporate finance</w:t>
      </w:r>
      <w:r>
        <w:rPr>
          <w:rFonts w:ascii="Times New Roman Regular" w:eastAsia="SimSun" w:hAnsi="Times New Roman Regular" w:cs="Times New Roman Regular"/>
          <w:color w:val="222222"/>
          <w:sz w:val="24"/>
          <w:szCs w:val="24"/>
          <w:shd w:val="clear" w:color="auto" w:fill="FFFFFF"/>
          <w:lang w:bidi="ar"/>
        </w:rPr>
        <w:t>. Australia: Pearson Higher Education.</w:t>
      </w:r>
    </w:p>
    <w:p w14:paraId="36AED91A"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Birt, J., Chalmers, K., Maloney, S., Brooks, A., Oliver, J. and Bond, D, 2020. </w:t>
      </w:r>
      <w:r>
        <w:rPr>
          <w:rFonts w:ascii="Times New Roman Regular" w:eastAsia="SimSun" w:hAnsi="Times New Roman Regular" w:cs="Times New Roman Regular"/>
          <w:i/>
          <w:iCs/>
          <w:color w:val="222222"/>
          <w:sz w:val="24"/>
          <w:szCs w:val="24"/>
          <w:shd w:val="clear" w:color="auto" w:fill="FFFFFF"/>
          <w:lang w:bidi="ar"/>
        </w:rPr>
        <w:t>Accounting: Business reporting for decision making</w:t>
      </w:r>
      <w:r>
        <w:rPr>
          <w:rFonts w:ascii="Times New Roman Regular" w:eastAsia="SimSun" w:hAnsi="Times New Roman Regular" w:cs="Times New Roman Regular"/>
          <w:color w:val="222222"/>
          <w:sz w:val="24"/>
          <w:szCs w:val="24"/>
          <w:shd w:val="clear" w:color="auto" w:fill="FFFFFF"/>
          <w:lang w:bidi="ar"/>
        </w:rPr>
        <w:t>. New Jersey: John Wiley &amp; Sons.</w:t>
      </w:r>
    </w:p>
    <w:p w14:paraId="6CCB7A82" w14:textId="77777777" w:rsidR="003407CB" w:rsidRDefault="00B01312">
      <w:pPr>
        <w:spacing w:beforeLines="100" w:before="240" w:afterLines="100" w:after="240" w:line="360" w:lineRule="auto"/>
        <w:jc w:val="both"/>
        <w:rPr>
          <w:rFonts w:ascii="Times New Roman Regular" w:hAnsi="Times New Roman Regular" w:cs="Times New Roman Regular"/>
          <w:color w:val="222222"/>
          <w:sz w:val="24"/>
          <w:szCs w:val="24"/>
          <w:shd w:val="clear" w:color="auto" w:fill="FFFFFF"/>
        </w:rPr>
      </w:pPr>
      <w:r>
        <w:rPr>
          <w:rFonts w:ascii="Times New Roman Regular" w:hAnsi="Times New Roman Regular" w:cs="Times New Roman Regular"/>
          <w:color w:val="222222"/>
          <w:sz w:val="24"/>
          <w:szCs w:val="24"/>
          <w:shd w:val="clear" w:color="auto" w:fill="FFFFFF"/>
        </w:rPr>
        <w:t>Blessing, H. and Sakouvogui, G. 2023. Impact of liquidity and solvency ratios on financial performance: a comprehensive analysis. </w:t>
      </w:r>
      <w:r>
        <w:rPr>
          <w:rFonts w:ascii="Times New Roman Regular" w:hAnsi="Times New Roman Regular" w:cs="Times New Roman Regular"/>
          <w:i/>
          <w:iCs/>
          <w:color w:val="222222"/>
          <w:sz w:val="24"/>
          <w:szCs w:val="24"/>
          <w:shd w:val="clear" w:color="auto" w:fill="FFFFFF"/>
        </w:rPr>
        <w:t>Indonesia Auditing Research Journal</w:t>
      </w:r>
      <w:r>
        <w:rPr>
          <w:rFonts w:ascii="Times New Roman Regular" w:hAnsi="Times New Roman Regular" w:cs="Times New Roman Regular"/>
          <w:color w:val="222222"/>
          <w:sz w:val="24"/>
          <w:szCs w:val="24"/>
          <w:shd w:val="clear" w:color="auto" w:fill="FFFFFF"/>
        </w:rPr>
        <w:t>, </w:t>
      </w:r>
      <w:r>
        <w:rPr>
          <w:rFonts w:ascii="Times New Roman Regular" w:hAnsi="Times New Roman Regular" w:cs="Times New Roman Regular"/>
          <w:iCs/>
          <w:color w:val="222222"/>
          <w:sz w:val="24"/>
          <w:szCs w:val="24"/>
          <w:shd w:val="clear" w:color="auto" w:fill="FFFFFF"/>
        </w:rPr>
        <w:t>12</w:t>
      </w:r>
      <w:r>
        <w:rPr>
          <w:rFonts w:ascii="Times New Roman Regular" w:hAnsi="Times New Roman Regular" w:cs="Times New Roman Regular"/>
          <w:color w:val="222222"/>
          <w:sz w:val="24"/>
          <w:szCs w:val="24"/>
          <w:shd w:val="clear" w:color="auto" w:fill="FFFFFF"/>
        </w:rPr>
        <w:t>(3), pp. 102-115.</w:t>
      </w:r>
      <w:r>
        <w:rPr>
          <w:rFonts w:ascii="Times New Roman Regular" w:hAnsi="Times New Roman Regular" w:cs="Times New Roman Regular"/>
          <w:sz w:val="24"/>
          <w:szCs w:val="24"/>
        </w:rPr>
        <w:t xml:space="preserve"> </w:t>
      </w:r>
      <w:hyperlink r:id="rId22" w:history="1">
        <w:r>
          <w:rPr>
            <w:rStyle w:val="Hyperlink"/>
            <w:rFonts w:ascii="Times New Roman Regular" w:hAnsi="Times New Roman Regular" w:cs="Times New Roman Regular"/>
            <w:sz w:val="24"/>
            <w:szCs w:val="24"/>
            <w:shd w:val="clear" w:color="auto" w:fill="FFFFFF"/>
          </w:rPr>
          <w:t>http://journals.iarn.or.id/index.php/ARJ/article/download/208/141</w:t>
        </w:r>
      </w:hyperlink>
    </w:p>
    <w:p w14:paraId="5527B2AE"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Clayman, M.R., Fridson, M.S. and Troughton, G.H. 2012. </w:t>
      </w:r>
      <w:r>
        <w:rPr>
          <w:rFonts w:ascii="Times New Roman Regular" w:eastAsia="SimSun" w:hAnsi="Times New Roman Regular" w:cs="Times New Roman Regular"/>
          <w:i/>
          <w:iCs/>
          <w:color w:val="222222"/>
          <w:sz w:val="24"/>
          <w:szCs w:val="24"/>
          <w:shd w:val="clear" w:color="auto" w:fill="FFFFFF"/>
          <w:lang w:bidi="ar"/>
        </w:rPr>
        <w:t>Corporate finance: A practical approach</w:t>
      </w:r>
      <w:r>
        <w:rPr>
          <w:rFonts w:ascii="Times New Roman Regular" w:eastAsia="SimSun" w:hAnsi="Times New Roman Regular" w:cs="Times New Roman Regular"/>
          <w:color w:val="222222"/>
          <w:sz w:val="24"/>
          <w:szCs w:val="24"/>
          <w:shd w:val="clear" w:color="auto" w:fill="FFFFFF"/>
          <w:lang w:bidi="ar"/>
        </w:rPr>
        <w:t>. New Jersey: John Wiley &amp; Sons.</w:t>
      </w:r>
    </w:p>
    <w:p w14:paraId="6EFE94F3"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Drake, P.P., Fabozzi, F.J. and Fabozzi, F.A. 2022. </w:t>
      </w:r>
      <w:r>
        <w:rPr>
          <w:rFonts w:ascii="Times New Roman Regular" w:eastAsia="SimSun" w:hAnsi="Times New Roman Regular" w:cs="Times New Roman Regular"/>
          <w:i/>
          <w:iCs/>
          <w:color w:val="222222"/>
          <w:sz w:val="24"/>
          <w:szCs w:val="24"/>
          <w:shd w:val="clear" w:color="auto" w:fill="FFFFFF"/>
          <w:lang w:bidi="ar"/>
        </w:rPr>
        <w:t>INTRODUCTION TO FINANCE: Financial Management and Investment Management</w:t>
      </w:r>
      <w:r>
        <w:rPr>
          <w:rFonts w:ascii="Times New Roman Regular" w:eastAsia="SimSun" w:hAnsi="Times New Roman Regular" w:cs="Times New Roman Regular"/>
          <w:color w:val="222222"/>
          <w:sz w:val="24"/>
          <w:szCs w:val="24"/>
          <w:shd w:val="clear" w:color="auto" w:fill="FFFFFF"/>
          <w:lang w:bidi="ar"/>
        </w:rPr>
        <w:t xml:space="preserve">. Singapore: </w:t>
      </w:r>
      <w:r>
        <w:rPr>
          <w:rFonts w:ascii="Times New Roman Regular" w:eastAsia="SimSun" w:hAnsi="Times New Roman Regular" w:cs="Times New Roman Regular"/>
          <w:color w:val="222222"/>
          <w:sz w:val="24"/>
          <w:szCs w:val="24"/>
          <w:shd w:val="clear" w:color="auto" w:fill="FFFFFF"/>
        </w:rPr>
        <w:t>World Scientific Publishing Company.</w:t>
      </w:r>
    </w:p>
    <w:p w14:paraId="37A52304"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Ethan, R. 2025. </w:t>
      </w:r>
      <w:r>
        <w:rPr>
          <w:rFonts w:ascii="Times New Roman Regular" w:hAnsi="Times New Roman Regular" w:cs="Times New Roman Regular"/>
          <w:i/>
          <w:iCs/>
          <w:sz w:val="24"/>
          <w:szCs w:val="24"/>
        </w:rPr>
        <w:t>Cash Science</w:t>
      </w:r>
      <w:r>
        <w:rPr>
          <w:rFonts w:ascii="Times New Roman Regular" w:hAnsi="Times New Roman Regular" w:cs="Times New Roman Regular"/>
          <w:sz w:val="24"/>
          <w:szCs w:val="24"/>
        </w:rPr>
        <w:t>. Amsterdam: Pubifye Publishers.</w:t>
      </w:r>
    </w:p>
    <w:p w14:paraId="553D2A4B"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Forbes. 2026. Volkswagen Group. [Online]. Available at: </w:t>
      </w:r>
      <w:hyperlink r:id="rId23" w:history="1">
        <w:r>
          <w:rPr>
            <w:rStyle w:val="Hyperlink"/>
            <w:rFonts w:ascii="Times New Roman Regular" w:hAnsi="Times New Roman Regular" w:cs="Times New Roman Regular"/>
            <w:sz w:val="24"/>
            <w:szCs w:val="24"/>
          </w:rPr>
          <w:t>https://www.forbes.com/companies/volkswagen-group/</w:t>
        </w:r>
      </w:hyperlink>
      <w:r>
        <w:rPr>
          <w:rFonts w:ascii="Times New Roman Regular" w:hAnsi="Times New Roman Regular" w:cs="Times New Roman Regular"/>
          <w:sz w:val="24"/>
          <w:szCs w:val="24"/>
        </w:rPr>
        <w:t xml:space="preserve"> [Accessed: 21 March 2026].</w:t>
      </w:r>
    </w:p>
    <w:p w14:paraId="268C50EB"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Geek. 2025. Long-Term Financing : Sources, Importance, Advantages &amp; Limitations. [Online]. Available at: </w:t>
      </w:r>
      <w:hyperlink r:id="rId24" w:history="1">
        <w:r>
          <w:rPr>
            <w:rStyle w:val="Hyperlink"/>
            <w:rFonts w:ascii="Times New Roman Regular" w:hAnsi="Times New Roman Regular" w:cs="Times New Roman Regular"/>
            <w:sz w:val="24"/>
            <w:szCs w:val="24"/>
          </w:rPr>
          <w:t>https://www.geeksforgeeks.org/finance/long-term-financing-sources-importance-advantages-limitations/</w:t>
        </w:r>
      </w:hyperlink>
      <w:r>
        <w:rPr>
          <w:rFonts w:ascii="Times New Roman Regular" w:hAnsi="Times New Roman Regular" w:cs="Times New Roman Regular"/>
          <w:sz w:val="24"/>
          <w:szCs w:val="24"/>
        </w:rPr>
        <w:t xml:space="preserve"> [Accessed: 21 March 2026].</w:t>
      </w:r>
    </w:p>
    <w:p w14:paraId="700920C2"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rPr>
        <w:t xml:space="preserve">Glasgow, F. 2011. </w:t>
      </w:r>
      <w:r>
        <w:rPr>
          <w:rFonts w:ascii="Times New Roman Regular" w:eastAsia="SimSun" w:hAnsi="Times New Roman Regular" w:cs="Times New Roman Regular"/>
          <w:i/>
          <w:iCs/>
          <w:color w:val="222222"/>
          <w:sz w:val="24"/>
          <w:szCs w:val="24"/>
          <w:shd w:val="clear" w:color="auto" w:fill="FFFFFF"/>
        </w:rPr>
        <w:t>Personal Finance and Investing All-In-One for Dummies</w:t>
      </w:r>
      <w:r>
        <w:rPr>
          <w:rFonts w:ascii="Times New Roman Regular" w:eastAsia="SimSun" w:hAnsi="Times New Roman Regular" w:cs="Times New Roman Regular"/>
          <w:color w:val="222222"/>
          <w:sz w:val="24"/>
          <w:szCs w:val="24"/>
          <w:shd w:val="clear" w:color="auto" w:fill="FFFFFF"/>
        </w:rPr>
        <w:t>. New Jersey: John Wiley &amp; Sons.</w:t>
      </w:r>
    </w:p>
    <w:p w14:paraId="293AA711"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Global Data. 2024. Volkswagen AG: Overview. [Online]. Available at: </w:t>
      </w:r>
      <w:hyperlink r:id="rId25" w:history="1">
        <w:r>
          <w:rPr>
            <w:rStyle w:val="Hyperlink"/>
            <w:rFonts w:ascii="Times New Roman Regular" w:hAnsi="Times New Roman Regular" w:cs="Times New Roman Regular"/>
            <w:sz w:val="24"/>
            <w:szCs w:val="24"/>
          </w:rPr>
          <w:t>https://www.globaldata.com/company-profile/volkswagen-ag/</w:t>
        </w:r>
      </w:hyperlink>
      <w:r>
        <w:rPr>
          <w:rFonts w:ascii="Times New Roman Regular" w:hAnsi="Times New Roman Regular" w:cs="Times New Roman Regular"/>
          <w:sz w:val="24"/>
          <w:szCs w:val="24"/>
        </w:rPr>
        <w:t xml:space="preserve"> [Accessed: 21 March 2026].</w:t>
      </w:r>
    </w:p>
    <w:p w14:paraId="4A2802EE"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Gozlugol, A.A. and Ringe, W.G. 2022. Net-zero transition and divestments of carbon-intensive assets. </w:t>
      </w:r>
      <w:r>
        <w:rPr>
          <w:rFonts w:ascii="Times New Roman Regular" w:hAnsi="Times New Roman Regular" w:cs="Times New Roman Regular"/>
          <w:i/>
          <w:sz w:val="24"/>
          <w:szCs w:val="24"/>
        </w:rPr>
        <w:t>UC Davis L. Rev</w:t>
      </w:r>
      <w:r>
        <w:rPr>
          <w:rFonts w:ascii="Times New Roman Regular" w:hAnsi="Times New Roman Regular" w:cs="Times New Roman Regular"/>
          <w:sz w:val="24"/>
          <w:szCs w:val="24"/>
        </w:rPr>
        <w:t xml:space="preserve">., 56, p.1963. </w:t>
      </w:r>
      <w:hyperlink r:id="rId26" w:history="1">
        <w:r>
          <w:rPr>
            <w:rStyle w:val="Hyperlink"/>
            <w:rFonts w:ascii="Times New Roman Regular" w:hAnsi="Times New Roman Regular" w:cs="Times New Roman Regular"/>
            <w:sz w:val="24"/>
            <w:szCs w:val="24"/>
          </w:rPr>
          <w:t>https://www.econstor.eu/bitstream/10419/271517/1/1847124054.pdf</w:t>
        </w:r>
      </w:hyperlink>
      <w:r>
        <w:rPr>
          <w:rFonts w:ascii="Times New Roman Regular" w:hAnsi="Times New Roman Regular" w:cs="Times New Roman Regular"/>
          <w:sz w:val="24"/>
          <w:szCs w:val="24"/>
        </w:rPr>
        <w:t xml:space="preserve"> </w:t>
      </w:r>
    </w:p>
    <w:p w14:paraId="7C05306F"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rPr>
        <w:t xml:space="preserve">Gupta, R. and Gosavi, S. 2023. </w:t>
      </w:r>
      <w:r>
        <w:rPr>
          <w:rFonts w:ascii="Times New Roman Regular" w:eastAsia="SimSun" w:hAnsi="Times New Roman Regular" w:cs="Times New Roman Regular"/>
          <w:i/>
          <w:iCs/>
          <w:color w:val="222222"/>
          <w:sz w:val="24"/>
          <w:szCs w:val="24"/>
          <w:shd w:val="clear" w:color="auto" w:fill="FFFFFF"/>
        </w:rPr>
        <w:t>FINANCIAL MANAGEMENT: e-Book for MBA</w:t>
      </w:r>
      <w:r>
        <w:rPr>
          <w:rFonts w:ascii="Times New Roman Regular" w:eastAsia="SimSun" w:hAnsi="Times New Roman Regular" w:cs="Times New Roman Regular"/>
          <w:color w:val="222222"/>
          <w:sz w:val="24"/>
          <w:szCs w:val="24"/>
          <w:shd w:val="clear" w:color="auto" w:fill="FFFFFF"/>
        </w:rPr>
        <w:t>. ND: Thakur Publication Limited.</w:t>
      </w:r>
    </w:p>
    <w:p w14:paraId="6E201991" w14:textId="77777777" w:rsidR="003407CB" w:rsidRDefault="00B01312">
      <w:pPr>
        <w:spacing w:beforeLines="100" w:before="240" w:afterLines="100" w:after="240" w:line="360" w:lineRule="auto"/>
        <w:jc w:val="both"/>
        <w:rPr>
          <w:rFonts w:ascii="Times New Roman Regular" w:hAnsi="Times New Roman Regular" w:cs="Times New Roman Regular"/>
          <w:color w:val="222222"/>
          <w:sz w:val="24"/>
          <w:szCs w:val="24"/>
          <w:shd w:val="clear" w:color="auto" w:fill="FFFFFF"/>
        </w:rPr>
      </w:pPr>
      <w:r>
        <w:rPr>
          <w:rFonts w:ascii="Times New Roman Regular" w:hAnsi="Times New Roman Regular" w:cs="Times New Roman Regular"/>
          <w:color w:val="222222"/>
          <w:sz w:val="24"/>
          <w:szCs w:val="24"/>
          <w:shd w:val="clear" w:color="auto" w:fill="FFFFFF"/>
        </w:rPr>
        <w:t>Hakala, S. 2015. Corporate social responsibility and organizational culture in corporate restructuring.</w:t>
      </w:r>
      <w:r>
        <w:rPr>
          <w:rFonts w:ascii="Times New Roman Regular" w:hAnsi="Times New Roman Regular" w:cs="Times New Roman Regular"/>
          <w:sz w:val="24"/>
          <w:szCs w:val="24"/>
        </w:rPr>
        <w:t xml:space="preserve"> </w:t>
      </w:r>
      <w:hyperlink r:id="rId27" w:history="1">
        <w:r>
          <w:rPr>
            <w:rStyle w:val="Hyperlink"/>
            <w:rFonts w:ascii="Times New Roman Regular" w:hAnsi="Times New Roman Regular" w:cs="Times New Roman Regular"/>
            <w:sz w:val="24"/>
            <w:szCs w:val="24"/>
            <w:shd w:val="clear" w:color="auto" w:fill="FFFFFF"/>
          </w:rPr>
          <w:t>https://stud.epsilon.slu.se/8559/7/Hakala_S_150904.pdf</w:t>
        </w:r>
      </w:hyperlink>
    </w:p>
    <w:p w14:paraId="6081CAA2"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Herger, N., Kotsogiannis, C. and McCorriston, S. 2016. Multiple taxes and alternative forms of FDI: evidence from cross-border acquisitions. </w:t>
      </w:r>
      <w:r>
        <w:rPr>
          <w:rFonts w:ascii="Times New Roman Regular" w:hAnsi="Times New Roman Regular" w:cs="Times New Roman Regular"/>
          <w:i/>
          <w:sz w:val="24"/>
          <w:szCs w:val="24"/>
        </w:rPr>
        <w:t>International Tax and Public Finance</w:t>
      </w:r>
      <w:r>
        <w:rPr>
          <w:rFonts w:ascii="Times New Roman Regular" w:hAnsi="Times New Roman Regular" w:cs="Times New Roman Regular"/>
          <w:sz w:val="24"/>
          <w:szCs w:val="24"/>
        </w:rPr>
        <w:t xml:space="preserve">, 23(1), pp. 82-113. </w:t>
      </w:r>
      <w:hyperlink r:id="rId28" w:history="1">
        <w:r>
          <w:rPr>
            <w:rStyle w:val="Hyperlink"/>
            <w:rFonts w:ascii="Times New Roman Regular" w:hAnsi="Times New Roman Regular" w:cs="Times New Roman Regular"/>
            <w:sz w:val="24"/>
            <w:szCs w:val="24"/>
          </w:rPr>
          <w:t>https://ore.exeter.ac.uk/articles/journal_contribution/Multiple_taxes_and_alternative_forms_of_FDI_evidence_from_cross-border_acquisitions/29706560/1/files/56954858.pdf</w:t>
        </w:r>
      </w:hyperlink>
      <w:r>
        <w:rPr>
          <w:rFonts w:ascii="Times New Roman Regular" w:hAnsi="Times New Roman Regular" w:cs="Times New Roman Regular"/>
          <w:sz w:val="24"/>
          <w:szCs w:val="24"/>
        </w:rPr>
        <w:t xml:space="preserve"> </w:t>
      </w:r>
    </w:p>
    <w:p w14:paraId="6E478589"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Hillier, D. 2021. </w:t>
      </w:r>
      <w:r>
        <w:rPr>
          <w:rFonts w:ascii="Times New Roman Regular" w:eastAsia="SimSun" w:hAnsi="Times New Roman Regular" w:cs="Times New Roman Regular"/>
          <w:i/>
          <w:iCs/>
          <w:color w:val="222222"/>
          <w:sz w:val="24"/>
          <w:szCs w:val="24"/>
          <w:shd w:val="clear" w:color="auto" w:fill="FFFFFF"/>
          <w:lang w:bidi="ar"/>
        </w:rPr>
        <w:t>eBook Fundamentals of Corporate Finance 4e</w:t>
      </w:r>
      <w:r>
        <w:rPr>
          <w:rFonts w:ascii="Times New Roman Regular" w:eastAsia="SimSun" w:hAnsi="Times New Roman Regular" w:cs="Times New Roman Regular"/>
          <w:color w:val="222222"/>
          <w:sz w:val="24"/>
          <w:szCs w:val="24"/>
          <w:shd w:val="clear" w:color="auto" w:fill="FFFFFF"/>
          <w:lang w:bidi="ar"/>
        </w:rPr>
        <w:t>. New York: McGraw Hill.</w:t>
      </w:r>
    </w:p>
    <w:p w14:paraId="48DACD0F"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lang w:bidi="ar"/>
        </w:rPr>
        <w:t>Jong, W. and van der Linde, V. 2022. Clean diesel and dirty scandal: The echo of Volkswagen’s dieselgate in an intra-industry setting. </w:t>
      </w:r>
      <w:r>
        <w:rPr>
          <w:rFonts w:ascii="Times New Roman Regular" w:eastAsia="SimSun" w:hAnsi="Times New Roman Regular" w:cs="Times New Roman Regular"/>
          <w:i/>
          <w:iCs/>
          <w:color w:val="222222"/>
          <w:sz w:val="24"/>
          <w:szCs w:val="24"/>
          <w:shd w:val="clear" w:color="auto" w:fill="FFFFFF"/>
          <w:lang w:bidi="ar"/>
        </w:rPr>
        <w:t>Public Relations Review</w:t>
      </w:r>
      <w:r>
        <w:rPr>
          <w:rFonts w:ascii="Times New Roman Regular" w:eastAsia="SimSun" w:hAnsi="Times New Roman Regular" w:cs="Times New Roman Regular"/>
          <w:color w:val="222222"/>
          <w:sz w:val="24"/>
          <w:szCs w:val="24"/>
          <w:shd w:val="clear" w:color="auto" w:fill="FFFFFF"/>
          <w:lang w:bidi="ar"/>
        </w:rPr>
        <w:t xml:space="preserve">, 48(1), p.102146. DOI: </w:t>
      </w:r>
      <w:hyperlink r:id="rId29" w:history="1">
        <w:r>
          <w:rPr>
            <w:rStyle w:val="Hyperlink"/>
            <w:rFonts w:ascii="Times New Roman Regular" w:eastAsia="SimSun" w:hAnsi="Times New Roman Regular" w:cs="Times New Roman Regular"/>
            <w:sz w:val="24"/>
            <w:szCs w:val="24"/>
            <w:shd w:val="clear" w:color="auto" w:fill="FFFFFF"/>
          </w:rPr>
          <w:t>https://doi.org/10.1016/j.pubrev.2022.102146</w:t>
        </w:r>
      </w:hyperlink>
    </w:p>
    <w:p w14:paraId="0CF98EB2"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rPr>
        <w:t xml:space="preserve">Kumar, S. and Kandekar. 2023. </w:t>
      </w:r>
      <w:r>
        <w:rPr>
          <w:rFonts w:ascii="Times New Roman Regular" w:eastAsia="SimSun" w:hAnsi="Times New Roman Regular" w:cs="Times New Roman Regular"/>
          <w:i/>
          <w:iCs/>
          <w:color w:val="222222"/>
          <w:sz w:val="24"/>
          <w:szCs w:val="24"/>
          <w:shd w:val="clear" w:color="auto" w:fill="FFFFFF"/>
        </w:rPr>
        <w:t>FINANCIAL MARKETS AND BANKING OPERATIONS</w:t>
      </w:r>
      <w:r>
        <w:rPr>
          <w:rFonts w:ascii="Times New Roman Regular" w:eastAsia="SimSun" w:hAnsi="Times New Roman Regular" w:cs="Times New Roman Regular"/>
          <w:color w:val="222222"/>
          <w:sz w:val="24"/>
          <w:szCs w:val="24"/>
          <w:shd w:val="clear" w:color="auto" w:fill="FFFFFF"/>
        </w:rPr>
        <w:t>. ND: Thakur Publication Limited.</w:t>
      </w:r>
    </w:p>
    <w:p w14:paraId="5CE3F8C3"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rPr>
        <w:t xml:space="preserve">Kumar, V. 2019. </w:t>
      </w:r>
      <w:r>
        <w:rPr>
          <w:rFonts w:ascii="Times New Roman Regular" w:eastAsia="SimSun" w:hAnsi="Times New Roman Regular" w:cs="Times New Roman Regular"/>
          <w:i/>
          <w:iCs/>
          <w:color w:val="222222"/>
          <w:sz w:val="24"/>
          <w:szCs w:val="24"/>
          <w:shd w:val="clear" w:color="auto" w:fill="FFFFFF"/>
        </w:rPr>
        <w:t>Financial Management Problems and Solutions</w:t>
      </w:r>
      <w:r>
        <w:rPr>
          <w:rFonts w:ascii="Times New Roman Regular" w:eastAsia="SimSun" w:hAnsi="Times New Roman Regular" w:cs="Times New Roman Regular"/>
          <w:color w:val="222222"/>
          <w:sz w:val="24"/>
          <w:szCs w:val="24"/>
          <w:shd w:val="clear" w:color="auto" w:fill="FFFFFF"/>
        </w:rPr>
        <w:t>. ND: VK Publications.</w:t>
      </w:r>
    </w:p>
    <w:p w14:paraId="30CB303A"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Michalkova, L., Stehel, V., Nica, E. and Durana, P. 2021. Corporate management: capital structure and tax shields. </w:t>
      </w:r>
      <w:r>
        <w:rPr>
          <w:rFonts w:ascii="Times New Roman Regular" w:hAnsi="Times New Roman Regular" w:cs="Times New Roman Regular"/>
          <w:i/>
          <w:sz w:val="24"/>
          <w:szCs w:val="24"/>
        </w:rPr>
        <w:t>Marketing i menedžment innovacij</w:t>
      </w:r>
      <w:r>
        <w:rPr>
          <w:rFonts w:ascii="Times New Roman Regular" w:hAnsi="Times New Roman Regular" w:cs="Times New Roman Regular"/>
          <w:sz w:val="24"/>
          <w:szCs w:val="24"/>
        </w:rPr>
        <w:t xml:space="preserve">, (3), pp. 276-295. </w:t>
      </w:r>
      <w:hyperlink r:id="rId30" w:history="1">
        <w:r>
          <w:rPr>
            <w:rStyle w:val="Hyperlink"/>
            <w:rFonts w:ascii="Times New Roman Regular" w:hAnsi="Times New Roman Regular" w:cs="Times New Roman Regular"/>
            <w:sz w:val="24"/>
            <w:szCs w:val="24"/>
          </w:rPr>
          <w:t>https://savearchive.zbw.eu/bitstream/11159/6880/1/1796306851_0.pdf</w:t>
        </w:r>
      </w:hyperlink>
      <w:r>
        <w:rPr>
          <w:rFonts w:ascii="Times New Roman Regular" w:hAnsi="Times New Roman Regular" w:cs="Times New Roman Regular"/>
          <w:sz w:val="24"/>
          <w:szCs w:val="24"/>
        </w:rPr>
        <w:t xml:space="preserve">  </w:t>
      </w:r>
    </w:p>
    <w:p w14:paraId="7E05DD4F"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rPr>
        <w:t xml:space="preserve">Morgan. 2025. Enhance your business’s financial health with effective cash flow management. </w:t>
      </w:r>
      <w:r>
        <w:rPr>
          <w:rFonts w:ascii="Times New Roman Regular" w:hAnsi="Times New Roman Regular" w:cs="Times New Roman Regular"/>
          <w:sz w:val="24"/>
          <w:szCs w:val="24"/>
        </w:rPr>
        <w:t xml:space="preserve">[Online]. Available at: </w:t>
      </w:r>
      <w:hyperlink r:id="rId31" w:history="1">
        <w:r>
          <w:rPr>
            <w:rStyle w:val="Hyperlink"/>
            <w:rFonts w:ascii="Times New Roman Regular" w:hAnsi="Times New Roman Regular" w:cs="Times New Roman Regular"/>
            <w:sz w:val="24"/>
            <w:szCs w:val="24"/>
          </w:rPr>
          <w:t>https://www.jpmorgan.com/insights/treasury/forecasting-planning/cash-flow-management-and-reporting-guide-for-businesses</w:t>
        </w:r>
      </w:hyperlink>
      <w:r>
        <w:rPr>
          <w:rFonts w:ascii="Times New Roman Regular" w:hAnsi="Times New Roman Regular" w:cs="Times New Roman Regular"/>
          <w:sz w:val="24"/>
          <w:szCs w:val="24"/>
        </w:rPr>
        <w:t xml:space="preserve"> [Accessed: 21 March 2026].</w:t>
      </w:r>
    </w:p>
    <w:p w14:paraId="42082166" w14:textId="77777777" w:rsidR="003407CB" w:rsidRDefault="00B01312">
      <w:pPr>
        <w:spacing w:beforeLines="100" w:before="240" w:afterLines="100" w:after="240" w:line="360" w:lineRule="auto"/>
        <w:jc w:val="both"/>
        <w:rPr>
          <w:rFonts w:ascii="Times New Roman Regular" w:hAnsi="Times New Roman Regular" w:cs="Times New Roman Regular"/>
          <w:color w:val="222222"/>
          <w:sz w:val="24"/>
          <w:szCs w:val="24"/>
          <w:shd w:val="clear" w:color="auto" w:fill="FFFFFF"/>
        </w:rPr>
      </w:pPr>
      <w:r>
        <w:rPr>
          <w:rFonts w:ascii="Times New Roman Regular" w:hAnsi="Times New Roman Regular" w:cs="Times New Roman Regular"/>
          <w:color w:val="222222"/>
          <w:sz w:val="24"/>
          <w:szCs w:val="24"/>
          <w:shd w:val="clear" w:color="auto" w:fill="FFFFFF"/>
        </w:rPr>
        <w:t>Pham, D., Nguyen, T., and Adhikari, H. 2018. Determinants of divestiture methods for US firms: asset sell-off versus equity carve-out. </w:t>
      </w:r>
      <w:r>
        <w:rPr>
          <w:rFonts w:ascii="Times New Roman Regular" w:hAnsi="Times New Roman Regular" w:cs="Times New Roman Regular"/>
          <w:i/>
          <w:iCs/>
          <w:color w:val="222222"/>
          <w:sz w:val="24"/>
          <w:szCs w:val="24"/>
          <w:shd w:val="clear" w:color="auto" w:fill="FFFFFF"/>
        </w:rPr>
        <w:t>Review of Accounting and Finance</w:t>
      </w:r>
      <w:r>
        <w:rPr>
          <w:rFonts w:ascii="Times New Roman Regular" w:hAnsi="Times New Roman Regular" w:cs="Times New Roman Regular"/>
          <w:color w:val="222222"/>
          <w:sz w:val="24"/>
          <w:szCs w:val="24"/>
          <w:shd w:val="clear" w:color="auto" w:fill="FFFFFF"/>
        </w:rPr>
        <w:t>, </w:t>
      </w:r>
      <w:r>
        <w:rPr>
          <w:rFonts w:ascii="Times New Roman Regular" w:hAnsi="Times New Roman Regular" w:cs="Times New Roman Regular"/>
          <w:iCs/>
          <w:color w:val="222222"/>
          <w:sz w:val="24"/>
          <w:szCs w:val="24"/>
          <w:shd w:val="clear" w:color="auto" w:fill="FFFFFF"/>
        </w:rPr>
        <w:t>17</w:t>
      </w:r>
      <w:r>
        <w:rPr>
          <w:rFonts w:ascii="Times New Roman Regular" w:hAnsi="Times New Roman Regular" w:cs="Times New Roman Regular"/>
          <w:color w:val="222222"/>
          <w:sz w:val="24"/>
          <w:szCs w:val="24"/>
          <w:shd w:val="clear" w:color="auto" w:fill="FFFFFF"/>
        </w:rPr>
        <w:t>(1), pp. 41-57.</w:t>
      </w:r>
      <w:r>
        <w:rPr>
          <w:rFonts w:ascii="Times New Roman Regular" w:hAnsi="Times New Roman Regular" w:cs="Times New Roman Regular"/>
          <w:sz w:val="24"/>
          <w:szCs w:val="24"/>
        </w:rPr>
        <w:t xml:space="preserve"> </w:t>
      </w:r>
      <w:hyperlink r:id="rId32" w:history="1">
        <w:r>
          <w:rPr>
            <w:rStyle w:val="Hyperlink"/>
            <w:rFonts w:ascii="Times New Roman Regular" w:hAnsi="Times New Roman Regular" w:cs="Times New Roman Regular"/>
            <w:sz w:val="24"/>
            <w:szCs w:val="24"/>
            <w:shd w:val="clear" w:color="auto" w:fill="FFFFFF"/>
          </w:rPr>
          <w:t>https://www.emerald.com/raf/article-pdf/17/1/41/2280696/raf-11-2015-0173.pdf</w:t>
        </w:r>
      </w:hyperlink>
      <w:r>
        <w:rPr>
          <w:rFonts w:ascii="Times New Roman Regular" w:hAnsi="Times New Roman Regular" w:cs="Times New Roman Regular"/>
          <w:color w:val="222222"/>
          <w:sz w:val="24"/>
          <w:szCs w:val="24"/>
          <w:shd w:val="clear" w:color="auto" w:fill="FFFFFF"/>
        </w:rPr>
        <w:t xml:space="preserve"> </w:t>
      </w:r>
    </w:p>
    <w:p w14:paraId="4CF63014"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Ranganatham, M. 2016. Investment Analysis and Portfolio Management. ND: Pearson Education.</w:t>
      </w:r>
    </w:p>
    <w:p w14:paraId="1B9F49EE"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Robinson, T.R., Henry, E., Pirie, W.L. and Broihahn, M.A. 2015. </w:t>
      </w:r>
      <w:r>
        <w:rPr>
          <w:rFonts w:ascii="Times New Roman Regular" w:eastAsia="SimSun" w:hAnsi="Times New Roman Regular" w:cs="Times New Roman Regular"/>
          <w:i/>
          <w:iCs/>
          <w:color w:val="222222"/>
          <w:sz w:val="24"/>
          <w:szCs w:val="24"/>
          <w:shd w:val="clear" w:color="auto" w:fill="FFFFFF"/>
          <w:lang w:bidi="ar"/>
        </w:rPr>
        <w:t>International financial statement analysis</w:t>
      </w:r>
      <w:r>
        <w:rPr>
          <w:rFonts w:ascii="Times New Roman Regular" w:eastAsia="SimSun" w:hAnsi="Times New Roman Regular" w:cs="Times New Roman Regular"/>
          <w:color w:val="222222"/>
          <w:sz w:val="24"/>
          <w:szCs w:val="24"/>
          <w:shd w:val="clear" w:color="auto" w:fill="FFFFFF"/>
          <w:lang w:bidi="ar"/>
        </w:rPr>
        <w:t>. New Jersey: John Wiley &amp; Sons.</w:t>
      </w:r>
    </w:p>
    <w:p w14:paraId="48E4010F"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rPr>
        <w:t xml:space="preserve">Saikrishan, S., Ramya, S. and Sumathi. 2023. </w:t>
      </w:r>
      <w:r>
        <w:rPr>
          <w:rFonts w:ascii="Times New Roman Regular" w:eastAsia="SimSun" w:hAnsi="Times New Roman Regular" w:cs="Times New Roman Regular"/>
          <w:i/>
          <w:iCs/>
          <w:color w:val="222222"/>
          <w:sz w:val="24"/>
          <w:szCs w:val="24"/>
          <w:shd w:val="clear" w:color="auto" w:fill="FFFFFF"/>
        </w:rPr>
        <w:t>FINANCIAL MANAGEMENT - THEORY AND PRACTICE</w:t>
      </w:r>
      <w:r>
        <w:rPr>
          <w:rFonts w:ascii="Times New Roman Regular" w:eastAsia="SimSun" w:hAnsi="Times New Roman Regular" w:cs="Times New Roman Regular"/>
          <w:color w:val="222222"/>
          <w:sz w:val="24"/>
          <w:szCs w:val="24"/>
          <w:shd w:val="clear" w:color="auto" w:fill="FFFFFF"/>
        </w:rPr>
        <w:t>. ND: SK Research.</w:t>
      </w:r>
    </w:p>
    <w:p w14:paraId="6E096EDE"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Saltorato, P. and Benatti, G. 2017. The organizational restructuring performative act under shareholder value management ideology. </w:t>
      </w:r>
      <w:r>
        <w:rPr>
          <w:rFonts w:ascii="Times New Roman Regular" w:hAnsi="Times New Roman Regular" w:cs="Times New Roman Regular"/>
          <w:i/>
          <w:sz w:val="24"/>
          <w:szCs w:val="24"/>
        </w:rPr>
        <w:t>Revista Brasileira de Gestão de Negócios</w:t>
      </w:r>
      <w:r>
        <w:rPr>
          <w:rFonts w:ascii="Times New Roman Regular" w:hAnsi="Times New Roman Regular" w:cs="Times New Roman Regular"/>
          <w:sz w:val="24"/>
          <w:szCs w:val="24"/>
        </w:rPr>
        <w:t xml:space="preserve">, 19, pp. 263-288. </w:t>
      </w:r>
      <w:hyperlink r:id="rId33" w:history="1">
        <w:r>
          <w:rPr>
            <w:rStyle w:val="Hyperlink"/>
            <w:rFonts w:ascii="Times New Roman Regular" w:hAnsi="Times New Roman Regular" w:cs="Times New Roman Regular"/>
            <w:sz w:val="24"/>
            <w:szCs w:val="24"/>
          </w:rPr>
          <w:t>https://www.scielo.br/j/rbgn/a/NSCWMBcVLj7xcjfBpCXJJks/?format=html&amp;lang=en</w:t>
        </w:r>
      </w:hyperlink>
      <w:r>
        <w:rPr>
          <w:rFonts w:ascii="Times New Roman Regular" w:hAnsi="Times New Roman Regular" w:cs="Times New Roman Regular"/>
          <w:sz w:val="24"/>
          <w:szCs w:val="24"/>
        </w:rPr>
        <w:t xml:space="preserve"> </w:t>
      </w:r>
    </w:p>
    <w:p w14:paraId="7AEF335B"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Singh, S.K. and Gupta, S. 2021. </w:t>
      </w:r>
      <w:r>
        <w:rPr>
          <w:rFonts w:ascii="Times New Roman Regular" w:hAnsi="Times New Roman Regular" w:cs="Times New Roman Regular"/>
          <w:i/>
          <w:iCs/>
          <w:sz w:val="24"/>
          <w:szCs w:val="24"/>
        </w:rPr>
        <w:t>Entrepreneurship With Practical Class</w:t>
      </w:r>
      <w:r>
        <w:rPr>
          <w:rFonts w:ascii="Times New Roman Regular" w:hAnsi="Times New Roman Regular" w:cs="Times New Roman Regular"/>
          <w:sz w:val="24"/>
          <w:szCs w:val="24"/>
        </w:rPr>
        <w:t>. ND: SPBD Publishing.</w:t>
      </w:r>
    </w:p>
    <w:p w14:paraId="45921BE0"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lang w:bidi="ar"/>
        </w:rPr>
        <w:t>Susanti, T., Rionaldi, R., Aristiawan, D., Taufid, H. and Lusiana, L. 2025. Implementation of Just-In-Time (JIT) in Inventory Management: A Case Study in a Manufacturing Company. </w:t>
      </w:r>
      <w:r>
        <w:rPr>
          <w:rFonts w:ascii="Times New Roman Regular" w:eastAsia="SimSun" w:hAnsi="Times New Roman Regular" w:cs="Times New Roman Regular"/>
          <w:i/>
          <w:iCs/>
          <w:color w:val="222222"/>
          <w:sz w:val="24"/>
          <w:szCs w:val="24"/>
          <w:shd w:val="clear" w:color="auto" w:fill="FFFFFF"/>
          <w:lang w:bidi="ar"/>
        </w:rPr>
        <w:t>Eduvest-Journal of Universal Studies</w:t>
      </w:r>
      <w:r>
        <w:rPr>
          <w:rFonts w:ascii="Times New Roman Regular" w:eastAsia="SimSun" w:hAnsi="Times New Roman Regular" w:cs="Times New Roman Regular"/>
          <w:color w:val="222222"/>
          <w:sz w:val="24"/>
          <w:szCs w:val="24"/>
          <w:shd w:val="clear" w:color="auto" w:fill="FFFFFF"/>
          <w:lang w:bidi="ar"/>
        </w:rPr>
        <w:t xml:space="preserve">, 5(7), pp. 6208-6216. </w:t>
      </w:r>
      <w:r>
        <w:rPr>
          <w:rFonts w:ascii="Times New Roman Regular" w:eastAsia="SimSun" w:hAnsi="Times New Roman Regular" w:cs="Times New Roman Regular"/>
          <w:color w:val="222222"/>
          <w:sz w:val="24"/>
          <w:szCs w:val="24"/>
          <w:shd w:val="clear" w:color="auto" w:fill="FFFFFF"/>
        </w:rPr>
        <w:t>DOI:10.59188/eduvest.v5i7.51625</w:t>
      </w:r>
    </w:p>
    <w:p w14:paraId="114436EC" w14:textId="77777777" w:rsidR="003407CB" w:rsidRDefault="00B01312">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rPr>
      </w:pPr>
      <w:r>
        <w:rPr>
          <w:rFonts w:ascii="Times New Roman Regular" w:eastAsia="SimSun" w:hAnsi="Times New Roman Regular" w:cs="Times New Roman Regular"/>
          <w:color w:val="222222"/>
          <w:sz w:val="24"/>
          <w:szCs w:val="24"/>
          <w:shd w:val="clear" w:color="auto" w:fill="FFFFFF"/>
          <w:lang w:bidi="ar"/>
        </w:rPr>
        <w:t>Taha, A.F., Atheer, A.G. and Asmar, A. 2024. The role of total quality management and target costing in reducing costs. </w:t>
      </w:r>
      <w:r>
        <w:rPr>
          <w:rFonts w:ascii="Times New Roman Regular" w:eastAsia="SimSun" w:hAnsi="Times New Roman Regular" w:cs="Times New Roman Regular"/>
          <w:i/>
          <w:iCs/>
          <w:color w:val="222222"/>
          <w:sz w:val="24"/>
          <w:szCs w:val="24"/>
          <w:shd w:val="clear" w:color="auto" w:fill="FFFFFF"/>
          <w:lang w:bidi="ar"/>
        </w:rPr>
        <w:t>International journal of business and management sciences</w:t>
      </w:r>
      <w:r>
        <w:rPr>
          <w:rFonts w:ascii="Times New Roman Regular" w:eastAsia="SimSun" w:hAnsi="Times New Roman Regular" w:cs="Times New Roman Regular"/>
          <w:color w:val="222222"/>
          <w:sz w:val="24"/>
          <w:szCs w:val="24"/>
          <w:shd w:val="clear" w:color="auto" w:fill="FFFFFF"/>
          <w:lang w:bidi="ar"/>
        </w:rPr>
        <w:t xml:space="preserve">, 4(05), pp. 367-381. </w:t>
      </w:r>
      <w:r>
        <w:rPr>
          <w:rFonts w:ascii="Times New Roman Regular" w:eastAsia="SimSun" w:hAnsi="Times New Roman Regular" w:cs="Times New Roman Regular"/>
          <w:color w:val="222222"/>
          <w:sz w:val="24"/>
          <w:szCs w:val="24"/>
          <w:shd w:val="clear" w:color="auto" w:fill="FFFFFF"/>
        </w:rPr>
        <w:t>DOI:10.55640/ijbms-04-05-24</w:t>
      </w:r>
    </w:p>
    <w:p w14:paraId="00FBA759"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rPr>
        <w:t xml:space="preserve">The Hartford. n.d. Advantages vs. Disadvantages of Equity Financing. </w:t>
      </w:r>
      <w:r>
        <w:rPr>
          <w:rFonts w:ascii="Times New Roman Regular" w:hAnsi="Times New Roman Regular" w:cs="Times New Roman Regular"/>
          <w:sz w:val="24"/>
          <w:szCs w:val="24"/>
        </w:rPr>
        <w:t xml:space="preserve">[Online]. Available at: </w:t>
      </w:r>
      <w:hyperlink r:id="rId34" w:history="1">
        <w:r>
          <w:rPr>
            <w:rStyle w:val="Hyperlink"/>
            <w:rFonts w:ascii="Times New Roman Regular" w:hAnsi="Times New Roman Regular" w:cs="Times New Roman Regular"/>
            <w:sz w:val="24"/>
            <w:szCs w:val="24"/>
          </w:rPr>
          <w:t>https://www.thehartford.com/business-insurance/strategy/business-financing/equity-financing</w:t>
        </w:r>
      </w:hyperlink>
      <w:r>
        <w:rPr>
          <w:rFonts w:ascii="Times New Roman Regular" w:hAnsi="Times New Roman Regular" w:cs="Times New Roman Regular"/>
          <w:sz w:val="24"/>
          <w:szCs w:val="24"/>
        </w:rPr>
        <w:t xml:space="preserve"> [Accessed: 21 March 2026].</w:t>
      </w:r>
    </w:p>
    <w:p w14:paraId="514FA9DE"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Treesa, J. 2024. </w:t>
      </w:r>
      <w:r>
        <w:rPr>
          <w:rFonts w:ascii="Times New Roman Regular" w:hAnsi="Times New Roman Regular" w:cs="Times New Roman Regular"/>
          <w:i/>
          <w:iCs/>
          <w:sz w:val="24"/>
          <w:szCs w:val="24"/>
        </w:rPr>
        <w:t>Accounting for Managers: A Skill-building Approach</w:t>
      </w:r>
      <w:r>
        <w:rPr>
          <w:rFonts w:ascii="Times New Roman Regular" w:hAnsi="Times New Roman Regular" w:cs="Times New Roman Regular"/>
          <w:sz w:val="24"/>
          <w:szCs w:val="24"/>
        </w:rPr>
        <w:t>. Oxfordshire: Taylor &amp; Francis.</w:t>
      </w:r>
    </w:p>
    <w:p w14:paraId="78348DC0"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rPr>
        <w:t xml:space="preserve">Volkswagen Group. 2024. Annual Report. </w:t>
      </w:r>
      <w:r>
        <w:rPr>
          <w:rFonts w:ascii="Times New Roman Regular" w:hAnsi="Times New Roman Regular" w:cs="Times New Roman Regular"/>
          <w:sz w:val="24"/>
          <w:szCs w:val="24"/>
        </w:rPr>
        <w:t xml:space="preserve">[Online]. Available at: </w:t>
      </w:r>
      <w:hyperlink r:id="rId35" w:history="1">
        <w:r>
          <w:rPr>
            <w:rStyle w:val="Hyperlink"/>
            <w:rFonts w:ascii="Times New Roman Regular" w:hAnsi="Times New Roman Regular" w:cs="Times New Roman Regular"/>
            <w:sz w:val="24"/>
            <w:szCs w:val="24"/>
          </w:rPr>
          <w:t>https://www.annualreports.com/HostedData/AnnualReports/PDF/OTC_VWAGY_2024.pdf</w:t>
        </w:r>
      </w:hyperlink>
      <w:r>
        <w:rPr>
          <w:rFonts w:ascii="Times New Roman Regular" w:hAnsi="Times New Roman Regular" w:cs="Times New Roman Regular"/>
          <w:sz w:val="24"/>
          <w:szCs w:val="24"/>
        </w:rPr>
        <w:t xml:space="preserve"> [Accessed: 21 March 2026].</w:t>
      </w:r>
    </w:p>
    <w:p w14:paraId="132EFDD5" w14:textId="77777777" w:rsidR="003407CB" w:rsidRDefault="00B01312">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Wang, Y., Wu, C. and Yang, L. 2015. Hedging with futures: Does anything beat the naïve hedging strategy? </w:t>
      </w:r>
      <w:r>
        <w:rPr>
          <w:rFonts w:ascii="Times New Roman Regular" w:hAnsi="Times New Roman Regular" w:cs="Times New Roman Regular"/>
          <w:i/>
          <w:sz w:val="24"/>
          <w:szCs w:val="24"/>
        </w:rPr>
        <w:t>Management Science</w:t>
      </w:r>
      <w:r>
        <w:rPr>
          <w:rFonts w:ascii="Times New Roman Regular" w:hAnsi="Times New Roman Regular" w:cs="Times New Roman Regular"/>
          <w:sz w:val="24"/>
          <w:szCs w:val="24"/>
        </w:rPr>
        <w:t xml:space="preserve">, 61(12), pp. 2870-2889. </w:t>
      </w:r>
      <w:hyperlink r:id="rId36" w:history="1">
        <w:r>
          <w:rPr>
            <w:rStyle w:val="Hyperlink"/>
            <w:rFonts w:ascii="Times New Roman Regular" w:hAnsi="Times New Roman Regular" w:cs="Times New Roman Regular"/>
            <w:sz w:val="24"/>
            <w:szCs w:val="24"/>
          </w:rPr>
          <w:t>https://papers.ssrn.com/sol3/Delivery.cfm?abstractid=2462728</w:t>
        </w:r>
      </w:hyperlink>
      <w:r>
        <w:rPr>
          <w:rFonts w:ascii="Times New Roman Regular" w:hAnsi="Times New Roman Regular" w:cs="Times New Roman Regular"/>
          <w:sz w:val="24"/>
          <w:szCs w:val="24"/>
        </w:rPr>
        <w:t xml:space="preserve"> </w:t>
      </w:r>
    </w:p>
    <w:p w14:paraId="0CCC8A41" w14:textId="77777777" w:rsidR="003407CB" w:rsidRDefault="00B01312">
      <w:pPr>
        <w:rPr>
          <w:rFonts w:ascii="Times New Roman Regular" w:hAnsi="Times New Roman Regular" w:cs="Times New Roman Regular"/>
          <w:sz w:val="24"/>
          <w:szCs w:val="24"/>
        </w:rPr>
      </w:pPr>
      <w:bookmarkStart w:id="16" w:name="_Toc1880190474"/>
      <w:r>
        <w:rPr>
          <w:rFonts w:ascii="Times New Roman Regular" w:hAnsi="Times New Roman Regular" w:cs="Times New Roman Regular"/>
          <w:sz w:val="24"/>
          <w:szCs w:val="24"/>
        </w:rPr>
        <w:br w:type="page"/>
      </w:r>
    </w:p>
    <w:p w14:paraId="1DE0AA18" w14:textId="77777777" w:rsidR="003407CB" w:rsidRDefault="00B01312">
      <w:pPr>
        <w:pStyle w:val="Heading1"/>
        <w:numPr>
          <w:ilvl w:val="0"/>
          <w:numId w:val="1"/>
        </w:numPr>
        <w:spacing w:before="0" w:after="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Appendices</w:t>
      </w:r>
      <w:bookmarkEnd w:id="16"/>
    </w:p>
    <w:p w14:paraId="4EEA2353" w14:textId="77777777" w:rsidR="003407CB" w:rsidRDefault="00B01312">
      <w:pPr>
        <w:numPr>
          <w:ilvl w:val="0"/>
          <w:numId w:val="2"/>
        </w:numPr>
        <w:spacing w:line="360" w:lineRule="auto"/>
        <w:jc w:val="both"/>
        <w:outlineLvl w:val="0"/>
        <w:rPr>
          <w:rFonts w:ascii="Times New Roman Regular" w:hAnsi="Times New Roman Regular" w:cs="Times New Roman Regular"/>
          <w:b/>
          <w:bCs/>
          <w:sz w:val="24"/>
          <w:szCs w:val="24"/>
        </w:rPr>
      </w:pPr>
      <w:bookmarkStart w:id="17" w:name="_Toc139430913"/>
      <w:r>
        <w:rPr>
          <w:rFonts w:ascii="Times New Roman Regular" w:hAnsi="Times New Roman Regular" w:cs="Times New Roman Regular"/>
          <w:b/>
          <w:bCs/>
          <w:sz w:val="24"/>
          <w:szCs w:val="24"/>
        </w:rPr>
        <w:t>Ratios</w:t>
      </w:r>
      <w:bookmarkEnd w:id="17"/>
    </w:p>
    <w:tbl>
      <w:tblPr>
        <w:tblW w:w="5000" w:type="pct"/>
        <w:tblLook w:val="04A0" w:firstRow="1" w:lastRow="0" w:firstColumn="1" w:lastColumn="0" w:noHBand="0" w:noVBand="1"/>
      </w:tblPr>
      <w:tblGrid>
        <w:gridCol w:w="3701"/>
        <w:gridCol w:w="919"/>
        <w:gridCol w:w="919"/>
        <w:gridCol w:w="919"/>
        <w:gridCol w:w="919"/>
        <w:gridCol w:w="919"/>
      </w:tblGrid>
      <w:tr w:rsidR="003407CB" w14:paraId="22F3414D"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tcPr>
          <w:p w14:paraId="075A015F"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Ratios</w:t>
            </w:r>
          </w:p>
        </w:tc>
      </w:tr>
      <w:tr w:rsidR="003407CB" w14:paraId="129A3129"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91CEBC1"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Profitability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58D419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71984E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90CB6A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7C941D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EEF04D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76C8518C"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05C9F14"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Gross profit</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C4F8A0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38,947</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26FC8A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47,241</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5715D6D"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52,228</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0919DF44"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60,985</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096DDD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59,472</w:t>
            </w:r>
          </w:p>
        </w:tc>
      </w:tr>
      <w:tr w:rsidR="003407CB" w14:paraId="72467ADD"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DED51A8"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Sales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4628628"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222,884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2C16435"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250,200</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702DF727"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279,232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E6F925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322,284</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094D371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324,656</w:t>
            </w:r>
          </w:p>
        </w:tc>
      </w:tr>
      <w:tr w:rsidR="003407CB" w14:paraId="082CAC1D"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4E45B83"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Gross profit ratio </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797615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17.47%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57F368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18.88%</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C5AC72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18.70%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19730A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18.92%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0318E4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18.32%</w:t>
            </w:r>
          </w:p>
        </w:tc>
      </w:tr>
      <w:tr w:rsidR="003407CB" w14:paraId="3A1B81A5"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34D39859"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(Gross profit)/sales*100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4885EF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EAF4596"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50D819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2325ED9"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16D5324" w14:textId="77777777" w:rsidR="003407CB" w:rsidRDefault="003407CB">
            <w:pPr>
              <w:rPr>
                <w:rFonts w:ascii="Times New Roman Regular" w:hAnsi="Times New Roman Regular" w:cs="Times New Roman Regular"/>
                <w:color w:val="000000"/>
                <w:sz w:val="24"/>
                <w:szCs w:val="24"/>
              </w:rPr>
            </w:pPr>
          </w:p>
        </w:tc>
      </w:tr>
      <w:tr w:rsidR="003407CB" w14:paraId="41AD6BA6"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C49613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622953B"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7C3B8A5"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A8F855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EFADD3A"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905E1A0" w14:textId="77777777" w:rsidR="003407CB" w:rsidRDefault="003407CB">
            <w:pPr>
              <w:rPr>
                <w:rFonts w:ascii="Times New Roman Regular" w:hAnsi="Times New Roman Regular" w:cs="Times New Roman Regular"/>
                <w:color w:val="000000"/>
                <w:sz w:val="24"/>
                <w:szCs w:val="24"/>
              </w:rPr>
            </w:pPr>
          </w:p>
        </w:tc>
      </w:tr>
      <w:tr w:rsidR="003407CB" w14:paraId="3B03101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3507A5C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Net profit</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0170BC4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8,824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CF3037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15,428</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71D81397"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15836</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097471B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17,861</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533BDFB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12,394</w:t>
            </w:r>
          </w:p>
        </w:tc>
      </w:tr>
      <w:tr w:rsidR="003407CB" w14:paraId="22C74AE2"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F8DA95B"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Sales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8A7082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222,884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AF1E44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250,200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CCFD66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279,232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C61205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322,284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523357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324,656</w:t>
            </w:r>
          </w:p>
        </w:tc>
      </w:tr>
      <w:tr w:rsidR="003407CB" w14:paraId="618E1BAF"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2909778"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Net profit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00FA87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3.96%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3BFB1B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6.17%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C112E9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5.67%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A36304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5.54%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BE6D53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3.82%</w:t>
            </w:r>
          </w:p>
        </w:tc>
      </w:tr>
      <w:tr w:rsidR="003407CB" w14:paraId="595EFF4F"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3C8E2B7"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(Net profit/sales)*100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CAE4DA9"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5E63BA9"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C8BB88F"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7340AA9"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289BE86" w14:textId="77777777" w:rsidR="003407CB" w:rsidRDefault="003407CB">
            <w:pPr>
              <w:rPr>
                <w:rFonts w:ascii="Times New Roman Regular" w:hAnsi="Times New Roman Regular" w:cs="Times New Roman Regular"/>
                <w:color w:val="000000"/>
                <w:sz w:val="24"/>
                <w:szCs w:val="24"/>
              </w:rPr>
            </w:pPr>
          </w:p>
        </w:tc>
      </w:tr>
      <w:tr w:rsidR="003407CB" w14:paraId="44808C3E"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C75515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BBF4A8F"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49C0765"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0D4976A"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6C1A2AA"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D8A0F7A" w14:textId="77777777" w:rsidR="003407CB" w:rsidRDefault="003407CB">
            <w:pPr>
              <w:rPr>
                <w:rFonts w:ascii="Times New Roman Regular" w:hAnsi="Times New Roman Regular" w:cs="Times New Roman Regular"/>
                <w:color w:val="000000"/>
                <w:sz w:val="24"/>
                <w:szCs w:val="24"/>
              </w:rPr>
            </w:pPr>
          </w:p>
        </w:tc>
      </w:tr>
      <w:tr w:rsidR="003407CB" w14:paraId="67BAAEE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29106F6"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Liquidity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0C4B61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589E545"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62D774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9450E1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93A96D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5DBA991C"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FD55944"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assets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6CE751F"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194,944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970040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200,347</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9563064"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224,309</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0A8B559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239,644</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1E5FD6A7"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245,231</w:t>
            </w:r>
          </w:p>
        </w:tc>
      </w:tr>
      <w:tr w:rsidR="003407CB" w14:paraId="17C0A99C"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A90BC3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liabilities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7D9132D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165,410</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657558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164,393</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F797244"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182,992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1215A18"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206,036</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78A17D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217,039</w:t>
            </w:r>
          </w:p>
        </w:tc>
      </w:tr>
      <w:tr w:rsidR="003407CB" w14:paraId="53CAD0BA"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53782BD"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Current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D9F67E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1.18</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762ABB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F62634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1.23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C882FF5"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1.16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FA4793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1.13</w:t>
            </w:r>
          </w:p>
        </w:tc>
      </w:tr>
      <w:tr w:rsidR="003407CB" w14:paraId="46714C4E"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6B64DA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(CA/CL)</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ACEEB7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F2B4916"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A9F8E36"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61F7074"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F29ECE1" w14:textId="77777777" w:rsidR="003407CB" w:rsidRDefault="003407CB">
            <w:pPr>
              <w:rPr>
                <w:rFonts w:ascii="Times New Roman Regular" w:hAnsi="Times New Roman Regular" w:cs="Times New Roman Regular"/>
                <w:color w:val="000000"/>
                <w:sz w:val="24"/>
                <w:szCs w:val="24"/>
              </w:rPr>
            </w:pPr>
          </w:p>
        </w:tc>
      </w:tr>
      <w:tr w:rsidR="003407CB" w14:paraId="1A21BAD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3891AA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DCFB1F0"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3EA0C0B"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4DCE341"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907059C"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D6F1913" w14:textId="77777777" w:rsidR="003407CB" w:rsidRDefault="003407CB">
            <w:pPr>
              <w:rPr>
                <w:rFonts w:ascii="Times New Roman Regular" w:hAnsi="Times New Roman Regular" w:cs="Times New Roman Regular"/>
                <w:color w:val="000000"/>
                <w:sz w:val="24"/>
                <w:szCs w:val="24"/>
              </w:rPr>
            </w:pPr>
          </w:p>
        </w:tc>
      </w:tr>
      <w:tr w:rsidR="003407CB" w14:paraId="49D10338"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B0A2BF1"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assets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04481D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194,944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F36AF7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200,347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FF51F5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224,309</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9C073F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239,644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72ECF3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245,231</w:t>
            </w:r>
          </w:p>
        </w:tc>
      </w:tr>
      <w:tr w:rsidR="003407CB" w14:paraId="5D102920"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2754DB0"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Inventory</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9324AAE"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43,823</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967C4D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43,725</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CF808F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52,274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27D75F4"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53,601</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1222D348"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56,720</w:t>
            </w:r>
          </w:p>
        </w:tc>
      </w:tr>
      <w:tr w:rsidR="003407CB" w14:paraId="523DB415"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006A4C3"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liabilities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9EBBB8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165,410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3854EE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164,393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C31DF1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182,992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04885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206,036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931455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217,039</w:t>
            </w:r>
          </w:p>
        </w:tc>
      </w:tr>
      <w:tr w:rsidR="003407CB" w14:paraId="54DE0BAE"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4325A2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Quick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ABA544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0.91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940F3A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0.95</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BD013C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0.94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89479E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0.90</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315C2C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0.87</w:t>
            </w:r>
          </w:p>
        </w:tc>
      </w:tr>
      <w:tr w:rsidR="003407CB" w14:paraId="60505A56"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57305AC"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(CA- inventory)/ CL</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8AD942B"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619F2B1"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C80253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B1FF882"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48D6B0B" w14:textId="77777777" w:rsidR="003407CB" w:rsidRDefault="003407CB">
            <w:pPr>
              <w:rPr>
                <w:rFonts w:ascii="Times New Roman Regular" w:hAnsi="Times New Roman Regular" w:cs="Times New Roman Regular"/>
                <w:color w:val="000000"/>
                <w:sz w:val="24"/>
                <w:szCs w:val="24"/>
              </w:rPr>
            </w:pPr>
          </w:p>
        </w:tc>
      </w:tr>
      <w:tr w:rsidR="003407CB" w14:paraId="1565E178" w14:textId="77777777">
        <w:trPr>
          <w:trHeight w:val="336"/>
        </w:trPr>
        <w:tc>
          <w:tcPr>
            <w:tcW w:w="2217" w:type="pct"/>
            <w:tcBorders>
              <w:top w:val="nil"/>
              <w:left w:val="nil"/>
              <w:bottom w:val="nil"/>
              <w:right w:val="nil"/>
            </w:tcBorders>
            <w:noWrap/>
            <w:vAlign w:val="center"/>
          </w:tcPr>
          <w:p w14:paraId="05A6912D"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621C2F75"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6E55799D"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60275B44"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60E53ACF" w14:textId="77777777" w:rsidR="003407CB" w:rsidRDefault="003407CB">
            <w:pPr>
              <w:rPr>
                <w:rFonts w:ascii="Times New Roman Regular" w:hAnsi="Times New Roman Regular" w:cs="Times New Roman Regular"/>
                <w:color w:val="000000"/>
                <w:sz w:val="24"/>
                <w:szCs w:val="24"/>
              </w:rPr>
            </w:pPr>
          </w:p>
        </w:tc>
        <w:tc>
          <w:tcPr>
            <w:tcW w:w="557" w:type="pct"/>
            <w:tcBorders>
              <w:top w:val="nil"/>
              <w:left w:val="nil"/>
              <w:bottom w:val="nil"/>
              <w:right w:val="nil"/>
            </w:tcBorders>
            <w:noWrap/>
            <w:vAlign w:val="center"/>
          </w:tcPr>
          <w:p w14:paraId="550E01BF" w14:textId="77777777" w:rsidR="003407CB" w:rsidRDefault="003407CB">
            <w:pPr>
              <w:rPr>
                <w:rFonts w:ascii="Times New Roman Regular" w:hAnsi="Times New Roman Regular" w:cs="Times New Roman Regular"/>
                <w:color w:val="000000"/>
                <w:sz w:val="24"/>
                <w:szCs w:val="24"/>
              </w:rPr>
            </w:pPr>
          </w:p>
        </w:tc>
      </w:tr>
      <w:tr w:rsidR="003407CB" w14:paraId="6331E7A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0876D59"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Efficiency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67A9E0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90CB92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827C6D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904E0E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B33F45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29B232EA"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C90CC09"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Sales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9F02AF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222,884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DAE352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250,200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F3AF69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279,232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411A57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322,284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406889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324,656</w:t>
            </w:r>
          </w:p>
        </w:tc>
      </w:tr>
      <w:tr w:rsidR="003407CB" w14:paraId="76EB066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345807BC"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Total assets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02D912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497,114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F25BD6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528,609</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5DF585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564,772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44D6949"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600,649</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8CCE14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632,905</w:t>
            </w:r>
          </w:p>
        </w:tc>
      </w:tr>
      <w:tr w:rsidR="003407CB" w14:paraId="600C6E32"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3161A4A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Asset turnover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9F6E25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0.45</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F56734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0.47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29264A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0.49</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52C5B6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0.54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1BB0DC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0.51</w:t>
            </w:r>
          </w:p>
        </w:tc>
      </w:tr>
      <w:tr w:rsidR="003407CB" w14:paraId="0B92B30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7EC6B60"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Sales/ Total assets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3E01B57"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785ADCC"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E69591C"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A8C2D28"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EAD5B41" w14:textId="77777777" w:rsidR="003407CB" w:rsidRDefault="003407CB">
            <w:pPr>
              <w:rPr>
                <w:rFonts w:ascii="Times New Roman Regular" w:hAnsi="Times New Roman Regular" w:cs="Times New Roman Regular"/>
                <w:color w:val="000000"/>
                <w:sz w:val="24"/>
                <w:szCs w:val="24"/>
              </w:rPr>
            </w:pPr>
          </w:p>
        </w:tc>
      </w:tr>
      <w:tr w:rsidR="003407CB" w14:paraId="19B3DC29"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5EB6C2A"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3A13F75"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C0C27D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9608598"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6F1FE0B"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CABE66D" w14:textId="77777777" w:rsidR="003407CB" w:rsidRDefault="003407CB">
            <w:pPr>
              <w:rPr>
                <w:rFonts w:ascii="Times New Roman Regular" w:hAnsi="Times New Roman Regular" w:cs="Times New Roman Regular"/>
                <w:color w:val="000000"/>
                <w:sz w:val="24"/>
                <w:szCs w:val="24"/>
              </w:rPr>
            </w:pPr>
          </w:p>
        </w:tc>
      </w:tr>
      <w:tr w:rsidR="003407CB" w14:paraId="4756DA1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411CE6A"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COGS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A2870D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183,937</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C7E4BD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202,959</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742F44A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227,005</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46894B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261,299</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B1D8A7E"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265,184</w:t>
            </w:r>
          </w:p>
        </w:tc>
      </w:tr>
      <w:tr w:rsidR="003407CB" w14:paraId="2FCADB1D"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9F987C8"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Average inventory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4DB054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45,283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1667E2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43,774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401DC8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48,000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67622C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52,938</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D2000C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55,161</w:t>
            </w:r>
          </w:p>
        </w:tc>
      </w:tr>
      <w:tr w:rsidR="003407CB" w14:paraId="2B1350F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444B4F0"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Inventory turnover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ADE270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4.06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78B976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4.64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13C00D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4.73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5F826D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4.94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BF6186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4.81</w:t>
            </w:r>
          </w:p>
        </w:tc>
      </w:tr>
      <w:tr w:rsidR="003407CB" w14:paraId="6720FC06"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F16891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(COGS/ average inventory)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E973F3B"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B619386"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965546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F6382EE"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7A2AF03" w14:textId="77777777" w:rsidR="003407CB" w:rsidRDefault="003407CB">
            <w:pPr>
              <w:rPr>
                <w:rFonts w:ascii="Times New Roman Regular" w:hAnsi="Times New Roman Regular" w:cs="Times New Roman Regular"/>
                <w:color w:val="000000"/>
                <w:sz w:val="24"/>
                <w:szCs w:val="24"/>
              </w:rPr>
            </w:pPr>
          </w:p>
        </w:tc>
      </w:tr>
      <w:tr w:rsidR="003407CB" w14:paraId="7DB34C17" w14:textId="77777777">
        <w:trPr>
          <w:trHeight w:val="336"/>
        </w:trPr>
        <w:tc>
          <w:tcPr>
            <w:tcW w:w="2217" w:type="pct"/>
            <w:tcBorders>
              <w:top w:val="nil"/>
              <w:left w:val="nil"/>
              <w:bottom w:val="nil"/>
              <w:right w:val="nil"/>
            </w:tcBorders>
            <w:noWrap/>
            <w:vAlign w:val="center"/>
          </w:tcPr>
          <w:p w14:paraId="77716EA2"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55AE31BD"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16B7074A"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069F5D61"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2ACE0E42" w14:textId="77777777" w:rsidR="003407CB" w:rsidRDefault="003407CB">
            <w:pPr>
              <w:rPr>
                <w:rFonts w:ascii="Times New Roman Regular" w:hAnsi="Times New Roman Regular" w:cs="Times New Roman Regular"/>
                <w:color w:val="000000"/>
                <w:sz w:val="24"/>
                <w:szCs w:val="24"/>
              </w:rPr>
            </w:pPr>
          </w:p>
        </w:tc>
        <w:tc>
          <w:tcPr>
            <w:tcW w:w="557" w:type="pct"/>
            <w:tcBorders>
              <w:top w:val="nil"/>
              <w:left w:val="nil"/>
              <w:bottom w:val="nil"/>
              <w:right w:val="nil"/>
            </w:tcBorders>
            <w:noWrap/>
            <w:vAlign w:val="center"/>
          </w:tcPr>
          <w:p w14:paraId="3E05C069" w14:textId="77777777" w:rsidR="003407CB" w:rsidRDefault="003407CB">
            <w:pPr>
              <w:rPr>
                <w:rFonts w:ascii="Times New Roman Regular" w:hAnsi="Times New Roman Regular" w:cs="Times New Roman Regular"/>
                <w:color w:val="000000"/>
                <w:sz w:val="24"/>
                <w:szCs w:val="24"/>
              </w:rPr>
            </w:pPr>
          </w:p>
        </w:tc>
      </w:tr>
      <w:tr w:rsidR="003407CB" w14:paraId="37E65B0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27B074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Gearing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4D3825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13B2E7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673AC8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EADC00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AADC835"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5600824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B3F7AE8"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Debt</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D5ADBD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202,921</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1AFA9F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218,062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B18DFE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203,453</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4531D2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205,427</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63913DE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219,134</w:t>
            </w:r>
          </w:p>
        </w:tc>
      </w:tr>
      <w:tr w:rsidR="003407CB" w14:paraId="43EEFE5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C9218C8"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Equity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BCDA5B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128,783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B5A6D0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146,154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714F3A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178,327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9D3B57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189,186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9E57CB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196,731</w:t>
            </w:r>
          </w:p>
        </w:tc>
      </w:tr>
      <w:tr w:rsidR="003407CB" w14:paraId="777B239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2A0BC8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Debt-equity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B6D6E3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1.58</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02A38C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1.49</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ED018D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1.14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056741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1.09</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FB114E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1.11</w:t>
            </w:r>
          </w:p>
        </w:tc>
      </w:tr>
      <w:tr w:rsidR="003407CB" w14:paraId="16A96ED0"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A10B9C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(Debt/equity)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EB51A5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4C00A7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65D69B1"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8AC8091"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CCD2FA3" w14:textId="77777777" w:rsidR="003407CB" w:rsidRDefault="003407CB">
            <w:pPr>
              <w:rPr>
                <w:rFonts w:ascii="Times New Roman Regular" w:hAnsi="Times New Roman Regular" w:cs="Times New Roman Regular"/>
                <w:color w:val="000000"/>
                <w:sz w:val="24"/>
                <w:szCs w:val="24"/>
              </w:rPr>
            </w:pPr>
          </w:p>
        </w:tc>
      </w:tr>
      <w:tr w:rsidR="003407CB" w14:paraId="0622FD3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D0CD8E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0EB2B9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8F3B632"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8A13F29"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D00B4B4"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F2128B2" w14:textId="77777777" w:rsidR="003407CB" w:rsidRDefault="003407CB">
            <w:pPr>
              <w:rPr>
                <w:rFonts w:ascii="Times New Roman Regular" w:hAnsi="Times New Roman Regular" w:cs="Times New Roman Regular"/>
                <w:color w:val="000000"/>
                <w:sz w:val="24"/>
                <w:szCs w:val="24"/>
              </w:rPr>
            </w:pPr>
          </w:p>
        </w:tc>
      </w:tr>
      <w:tr w:rsidR="003407CB" w14:paraId="5AA8039F"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7583A6A"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EBIT</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EC5A06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9,675</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EA7ED47"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19,275</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B46B6C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22,124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2DEBF0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22,528</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0653DF3E"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19,060</w:t>
            </w:r>
          </w:p>
        </w:tc>
      </w:tr>
      <w:tr w:rsidR="003407CB" w14:paraId="652BE6B6"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A9FCA24"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Interest</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F1AD00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2,291</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2AC37B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1818</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3E1919D"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442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F9C07B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3,640</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5FE166A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3,446</w:t>
            </w:r>
          </w:p>
        </w:tc>
      </w:tr>
      <w:tr w:rsidR="003407CB" w14:paraId="380FE5E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03ED059"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Interest coverage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4CBC650"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883DF0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10.60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610D67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50.05</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F000D2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6.19</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005C2D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5.53</w:t>
            </w:r>
          </w:p>
        </w:tc>
      </w:tr>
      <w:tr w:rsidR="003407CB" w14:paraId="7810E28C"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4F3B32C"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EBIT/ interest</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42D7A2D"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FB4C5F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51CA393"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6BC1372"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842DC79" w14:textId="77777777" w:rsidR="003407CB" w:rsidRDefault="003407CB">
            <w:pPr>
              <w:rPr>
                <w:rFonts w:ascii="Times New Roman Regular" w:hAnsi="Times New Roman Regular" w:cs="Times New Roman Regular"/>
                <w:color w:val="000000"/>
                <w:sz w:val="24"/>
                <w:szCs w:val="24"/>
              </w:rPr>
            </w:pPr>
          </w:p>
        </w:tc>
      </w:tr>
      <w:tr w:rsidR="003407CB" w14:paraId="7691DC98" w14:textId="77777777">
        <w:trPr>
          <w:trHeight w:val="336"/>
        </w:trPr>
        <w:tc>
          <w:tcPr>
            <w:tcW w:w="2217" w:type="pct"/>
            <w:tcBorders>
              <w:top w:val="nil"/>
              <w:left w:val="nil"/>
              <w:bottom w:val="nil"/>
              <w:right w:val="nil"/>
            </w:tcBorders>
            <w:noWrap/>
            <w:vAlign w:val="center"/>
          </w:tcPr>
          <w:p w14:paraId="3AD017D6"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5C2F33B3"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19DF3465"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22E9BC6B"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7BEE1169" w14:textId="77777777" w:rsidR="003407CB" w:rsidRDefault="003407CB">
            <w:pPr>
              <w:rPr>
                <w:rFonts w:ascii="Times New Roman Regular" w:hAnsi="Times New Roman Regular" w:cs="Times New Roman Regular"/>
                <w:color w:val="000000"/>
                <w:sz w:val="24"/>
                <w:szCs w:val="24"/>
              </w:rPr>
            </w:pPr>
          </w:p>
        </w:tc>
        <w:tc>
          <w:tcPr>
            <w:tcW w:w="557" w:type="pct"/>
            <w:tcBorders>
              <w:top w:val="nil"/>
              <w:left w:val="nil"/>
              <w:bottom w:val="nil"/>
              <w:right w:val="nil"/>
            </w:tcBorders>
            <w:noWrap/>
            <w:vAlign w:val="center"/>
          </w:tcPr>
          <w:p w14:paraId="771EE05A" w14:textId="77777777" w:rsidR="003407CB" w:rsidRDefault="003407CB">
            <w:pPr>
              <w:rPr>
                <w:rFonts w:ascii="Times New Roman Regular" w:hAnsi="Times New Roman Regular" w:cs="Times New Roman Regular"/>
                <w:color w:val="000000"/>
                <w:sz w:val="24"/>
                <w:szCs w:val="24"/>
              </w:rPr>
            </w:pPr>
          </w:p>
        </w:tc>
      </w:tr>
      <w:tr w:rsidR="003407CB" w14:paraId="774E95A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54C8B5D1"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Investment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2F403D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644450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4198D1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34679E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1BE945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7909B535"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CCF96F6"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Earnings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2DF21DF"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8,824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523654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15,428</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59F1BCB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15,836</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9E0D953"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17,861</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31FE04C5"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12,394</w:t>
            </w:r>
          </w:p>
        </w:tc>
      </w:tr>
      <w:tr w:rsidR="003407CB" w14:paraId="4AB4A7D5"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479A293"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Outstanding shares</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95E9FA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531</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E203AC9"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57C1EC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534</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5B60931"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562</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738B868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580</w:t>
            </w:r>
          </w:p>
        </w:tc>
      </w:tr>
      <w:tr w:rsidR="003407CB" w14:paraId="02F68F04"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F97789D"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EPS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0FAD78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16.62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22B549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29.56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359436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29.66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27BADB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31.78</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DC53E5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21.37</w:t>
            </w:r>
          </w:p>
        </w:tc>
      </w:tr>
      <w:tr w:rsidR="003407CB" w14:paraId="0EB320F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7D95163"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(Earnings/ outstanding shares)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7142100"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A42EC4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46EE2DD"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D022349"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61069AF" w14:textId="77777777" w:rsidR="003407CB" w:rsidRDefault="003407CB">
            <w:pPr>
              <w:rPr>
                <w:rFonts w:ascii="Times New Roman Regular" w:hAnsi="Times New Roman Regular" w:cs="Times New Roman Regular"/>
                <w:color w:val="000000"/>
                <w:sz w:val="24"/>
                <w:szCs w:val="24"/>
              </w:rPr>
            </w:pPr>
          </w:p>
        </w:tc>
      </w:tr>
      <w:tr w:rsidR="003407CB" w14:paraId="45E2172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90454AA"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630A25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2D01635"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3F0B0B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3B9396C"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3DCBA42" w14:textId="77777777" w:rsidR="003407CB" w:rsidRDefault="003407CB">
            <w:pPr>
              <w:rPr>
                <w:rFonts w:ascii="Times New Roman Regular" w:hAnsi="Times New Roman Regular" w:cs="Times New Roman Regular"/>
                <w:color w:val="000000"/>
                <w:sz w:val="24"/>
                <w:szCs w:val="24"/>
              </w:rPr>
            </w:pPr>
          </w:p>
        </w:tc>
      </w:tr>
      <w:tr w:rsidR="003407CB" w14:paraId="23578EB0"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D9FB85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Equity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370CFA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128,783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9DA396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146,154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3D88C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178,327</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58DC03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189,186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A142EE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196,731</w:t>
            </w:r>
          </w:p>
        </w:tc>
      </w:tr>
      <w:tr w:rsidR="003407CB" w14:paraId="7B8D6F4E"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109AFB4"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Net profit</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BA68E5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8,824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FAE921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15,428</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7266B7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15,836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7F4C30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17,861</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3EA38A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12,394</w:t>
            </w:r>
          </w:p>
        </w:tc>
      </w:tr>
      <w:tr w:rsidR="003407CB" w14:paraId="58FAAD88"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BF40C8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Return on equity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C91875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6.85%</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602B90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10.56%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181FF6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8.88%</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32F66B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9.44%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C85181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6.30%</w:t>
            </w:r>
          </w:p>
        </w:tc>
      </w:tr>
      <w:tr w:rsidR="003407CB" w14:paraId="0F2089B9"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23E01F90"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Net profit/ equity</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8279307"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1406AD4"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F4F2773"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AA937DA"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8D06E34" w14:textId="77777777" w:rsidR="003407CB" w:rsidRDefault="003407CB">
            <w:pPr>
              <w:rPr>
                <w:rFonts w:ascii="Times New Roman Regular" w:hAnsi="Times New Roman Regular" w:cs="Times New Roman Regular"/>
                <w:color w:val="000000"/>
                <w:sz w:val="24"/>
                <w:szCs w:val="24"/>
              </w:rPr>
            </w:pPr>
          </w:p>
        </w:tc>
      </w:tr>
      <w:tr w:rsidR="003407CB" w14:paraId="52C7A097" w14:textId="77777777">
        <w:trPr>
          <w:trHeight w:val="336"/>
        </w:trPr>
        <w:tc>
          <w:tcPr>
            <w:tcW w:w="2217" w:type="pct"/>
            <w:tcBorders>
              <w:top w:val="nil"/>
              <w:left w:val="nil"/>
              <w:bottom w:val="nil"/>
              <w:right w:val="nil"/>
            </w:tcBorders>
            <w:noWrap/>
            <w:vAlign w:val="center"/>
          </w:tcPr>
          <w:p w14:paraId="6E5046F6"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18BF3385"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7A283B5F"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747AA558" w14:textId="77777777" w:rsidR="003407CB" w:rsidRDefault="003407CB">
            <w:pPr>
              <w:rPr>
                <w:rFonts w:ascii="Times New Roman Regular" w:hAnsi="Times New Roman Regular" w:cs="Times New Roman Regular"/>
                <w:color w:val="000000"/>
                <w:sz w:val="24"/>
                <w:szCs w:val="24"/>
              </w:rPr>
            </w:pPr>
          </w:p>
        </w:tc>
        <w:tc>
          <w:tcPr>
            <w:tcW w:w="556" w:type="pct"/>
            <w:tcBorders>
              <w:top w:val="nil"/>
              <w:left w:val="nil"/>
              <w:bottom w:val="nil"/>
              <w:right w:val="nil"/>
            </w:tcBorders>
            <w:noWrap/>
            <w:vAlign w:val="center"/>
          </w:tcPr>
          <w:p w14:paraId="2026084C" w14:textId="77777777" w:rsidR="003407CB" w:rsidRDefault="003407CB">
            <w:pPr>
              <w:rPr>
                <w:rFonts w:ascii="Times New Roman Regular" w:hAnsi="Times New Roman Regular" w:cs="Times New Roman Regular"/>
                <w:color w:val="000000"/>
                <w:sz w:val="24"/>
                <w:szCs w:val="24"/>
              </w:rPr>
            </w:pPr>
          </w:p>
        </w:tc>
        <w:tc>
          <w:tcPr>
            <w:tcW w:w="557" w:type="pct"/>
            <w:tcBorders>
              <w:top w:val="nil"/>
              <w:left w:val="nil"/>
              <w:bottom w:val="nil"/>
              <w:right w:val="nil"/>
            </w:tcBorders>
            <w:noWrap/>
            <w:vAlign w:val="center"/>
          </w:tcPr>
          <w:p w14:paraId="6E1911AA" w14:textId="77777777" w:rsidR="003407CB" w:rsidRDefault="003407CB">
            <w:pPr>
              <w:rPr>
                <w:rFonts w:ascii="Times New Roman Regular" w:hAnsi="Times New Roman Regular" w:cs="Times New Roman Regular"/>
                <w:color w:val="000000"/>
                <w:sz w:val="24"/>
                <w:szCs w:val="24"/>
              </w:rPr>
            </w:pPr>
          </w:p>
        </w:tc>
      </w:tr>
      <w:tr w:rsidR="003407CB" w14:paraId="2F182FA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F68A82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 Ratios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D08D90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577BE0F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671B5A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3528650"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FF758D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58C77094"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DE83989"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Operating cash flow</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0F414E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24,901</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0ED2135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38,633</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2C3BF5E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28,496</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135457FD"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19,356</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25C02E92"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17,151</w:t>
            </w:r>
          </w:p>
        </w:tc>
      </w:tr>
      <w:tr w:rsidR="003407CB" w14:paraId="0204028B"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7636B9ED"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liabilities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C87A2F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165,410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A83F74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164,393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3B17FC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182,992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B800F9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206,036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AE22DC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217,039</w:t>
            </w:r>
          </w:p>
        </w:tc>
      </w:tr>
      <w:tr w:rsidR="003407CB" w14:paraId="0EC57EE2"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6EE245B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Operating cash flow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99978A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0.15</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FB6F3F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0.24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8BB0FD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0.16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B5BB0A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0.09</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793DE5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0.08</w:t>
            </w:r>
          </w:p>
        </w:tc>
      </w:tr>
      <w:tr w:rsidR="003407CB" w14:paraId="28EC639A"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9A15E52"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(Operating cash flow/ current liabilities)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EAC4ECC"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357CE3D"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A8FC3B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85511BD"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2963E9A" w14:textId="77777777" w:rsidR="003407CB" w:rsidRDefault="003407CB">
            <w:pPr>
              <w:rPr>
                <w:rFonts w:ascii="Times New Roman Regular" w:hAnsi="Times New Roman Regular" w:cs="Times New Roman Regular"/>
                <w:color w:val="000000"/>
                <w:sz w:val="24"/>
                <w:szCs w:val="24"/>
              </w:rPr>
            </w:pPr>
          </w:p>
        </w:tc>
      </w:tr>
      <w:tr w:rsidR="003407CB" w14:paraId="5B9D3665"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0FB5D3A1"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D84824E"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F87DABA"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9DEFD18"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0AA04E60"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2EB6562" w14:textId="77777777" w:rsidR="003407CB" w:rsidRDefault="003407CB">
            <w:pPr>
              <w:rPr>
                <w:rFonts w:ascii="Times New Roman Regular" w:hAnsi="Times New Roman Regular" w:cs="Times New Roman Regular"/>
                <w:color w:val="000000"/>
                <w:sz w:val="24"/>
                <w:szCs w:val="24"/>
              </w:rPr>
            </w:pPr>
          </w:p>
        </w:tc>
      </w:tr>
      <w:tr w:rsidR="003407CB" w14:paraId="5F105DD4"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393C99B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Cash</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4E1868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33,909</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3AF1BCD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39,723</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66E70E06"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29,172</w:t>
            </w:r>
          </w:p>
        </w:tc>
        <w:tc>
          <w:tcPr>
            <w:tcW w:w="556" w:type="pct"/>
            <w:tcBorders>
              <w:top w:val="single" w:sz="4" w:space="0" w:color="000000"/>
              <w:left w:val="single" w:sz="4" w:space="0" w:color="000000"/>
              <w:bottom w:val="single" w:sz="4" w:space="0" w:color="000000"/>
              <w:right w:val="single" w:sz="4" w:space="0" w:color="000000"/>
            </w:tcBorders>
            <w:noWrap/>
            <w:vAlign w:val="bottom"/>
          </w:tcPr>
          <w:p w14:paraId="4911EEAB"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43,449</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FFE04F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40,296</w:t>
            </w:r>
          </w:p>
        </w:tc>
      </w:tr>
      <w:tr w:rsidR="003407CB" w14:paraId="5B579587"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11EC6469"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Current liabilities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34D4D42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165,410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3DCBFD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164,393</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6B8F18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182,992</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017828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206,036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0F6E90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217,039</w:t>
            </w:r>
          </w:p>
        </w:tc>
      </w:tr>
      <w:tr w:rsidR="003407CB" w14:paraId="57D29333"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A1034E8"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ratio</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6ACA9274"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0.20</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86154B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0.24</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48FCC661"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0.16</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4534A7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0.21</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A5D495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0.19</w:t>
            </w:r>
          </w:p>
        </w:tc>
      </w:tr>
      <w:tr w:rsidR="003407CB" w14:paraId="3C84EB7F" w14:textId="77777777">
        <w:trPr>
          <w:trHeight w:val="336"/>
        </w:trPr>
        <w:tc>
          <w:tcPr>
            <w:tcW w:w="2217" w:type="pct"/>
            <w:tcBorders>
              <w:top w:val="single" w:sz="4" w:space="0" w:color="000000"/>
              <w:left w:val="single" w:sz="4" w:space="0" w:color="000000"/>
              <w:bottom w:val="single" w:sz="4" w:space="0" w:color="000000"/>
              <w:right w:val="single" w:sz="4" w:space="0" w:color="000000"/>
            </w:tcBorders>
            <w:noWrap/>
            <w:vAlign w:val="center"/>
          </w:tcPr>
          <w:p w14:paraId="4465DF26"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(Cash flow/ current liabilities)</w:t>
            </w: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132E838F"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A79B4C0"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2A18259C" w14:textId="77777777" w:rsidR="003407CB" w:rsidRDefault="003407CB">
            <w:pPr>
              <w:rPr>
                <w:rFonts w:ascii="Times New Roman Regular" w:hAnsi="Times New Roman Regular" w:cs="Times New Roman Regular"/>
                <w:color w:val="000000"/>
                <w:sz w:val="24"/>
                <w:szCs w:val="24"/>
              </w:rPr>
            </w:pPr>
          </w:p>
        </w:tc>
        <w:tc>
          <w:tcPr>
            <w:tcW w:w="556" w:type="pct"/>
            <w:tcBorders>
              <w:top w:val="single" w:sz="4" w:space="0" w:color="000000"/>
              <w:left w:val="single" w:sz="4" w:space="0" w:color="000000"/>
              <w:bottom w:val="single" w:sz="4" w:space="0" w:color="000000"/>
              <w:right w:val="single" w:sz="4" w:space="0" w:color="000000"/>
            </w:tcBorders>
            <w:noWrap/>
            <w:vAlign w:val="center"/>
          </w:tcPr>
          <w:p w14:paraId="7B678EE3" w14:textId="77777777" w:rsidR="003407CB" w:rsidRDefault="003407CB">
            <w:pPr>
              <w:rPr>
                <w:rFonts w:ascii="Times New Roman Regular" w:hAnsi="Times New Roman Regular" w:cs="Times New Roman Regular"/>
                <w:color w:val="000000"/>
                <w:sz w:val="24"/>
                <w:szCs w:val="24"/>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EE183AA" w14:textId="77777777" w:rsidR="003407CB" w:rsidRDefault="003407CB">
            <w:pPr>
              <w:rPr>
                <w:rFonts w:ascii="Times New Roman Regular" w:hAnsi="Times New Roman Regular" w:cs="Times New Roman Regular"/>
                <w:color w:val="000000"/>
                <w:sz w:val="24"/>
                <w:szCs w:val="24"/>
              </w:rPr>
            </w:pPr>
          </w:p>
        </w:tc>
      </w:tr>
    </w:tbl>
    <w:p w14:paraId="524B3FB3" w14:textId="77777777" w:rsidR="003407CB" w:rsidRDefault="003407CB">
      <w:pPr>
        <w:spacing w:line="360" w:lineRule="auto"/>
        <w:jc w:val="both"/>
        <w:rPr>
          <w:rFonts w:ascii="Times New Roman Regular" w:hAnsi="Times New Roman Regular" w:cs="Times New Roman Regular"/>
          <w:b/>
          <w:bCs/>
          <w:sz w:val="24"/>
          <w:szCs w:val="24"/>
        </w:rPr>
      </w:pPr>
    </w:p>
    <w:p w14:paraId="2BD7AAB1" w14:textId="77777777" w:rsidR="003407CB" w:rsidRDefault="00B01312">
      <w:pPr>
        <w:numPr>
          <w:ilvl w:val="0"/>
          <w:numId w:val="2"/>
        </w:numPr>
        <w:spacing w:line="360" w:lineRule="auto"/>
        <w:jc w:val="both"/>
        <w:outlineLvl w:val="0"/>
        <w:rPr>
          <w:rFonts w:ascii="Times New Roman Regular" w:hAnsi="Times New Roman Regular" w:cs="Times New Roman Regular"/>
          <w:b/>
          <w:bCs/>
          <w:sz w:val="24"/>
          <w:szCs w:val="24"/>
        </w:rPr>
      </w:pPr>
      <w:bookmarkStart w:id="18" w:name="_Toc510695914"/>
      <w:r>
        <w:rPr>
          <w:rFonts w:ascii="Times New Roman Regular" w:hAnsi="Times New Roman Regular" w:cs="Times New Roman Regular"/>
          <w:b/>
          <w:bCs/>
          <w:sz w:val="24"/>
          <w:szCs w:val="24"/>
        </w:rPr>
        <w:t>Cash Operating Cycle</w:t>
      </w:r>
      <w:bookmarkEnd w:id="18"/>
    </w:p>
    <w:tbl>
      <w:tblPr>
        <w:tblW w:w="5000" w:type="pct"/>
        <w:tblLook w:val="04A0" w:firstRow="1" w:lastRow="0" w:firstColumn="1" w:lastColumn="0" w:noHBand="0" w:noVBand="1"/>
      </w:tblPr>
      <w:tblGrid>
        <w:gridCol w:w="3981"/>
        <w:gridCol w:w="863"/>
        <w:gridCol w:w="863"/>
        <w:gridCol w:w="863"/>
        <w:gridCol w:w="863"/>
        <w:gridCol w:w="863"/>
      </w:tblGrid>
      <w:tr w:rsidR="003407CB" w14:paraId="4A657D09"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tcPr>
          <w:p w14:paraId="0BBC1B06"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Cash Operating Cycle</w:t>
            </w:r>
          </w:p>
        </w:tc>
      </w:tr>
      <w:tr w:rsidR="003407CB" w14:paraId="3C35565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327AA387" w14:textId="77777777" w:rsidR="003407CB" w:rsidRDefault="003407CB">
            <w:pPr>
              <w:rPr>
                <w:rFonts w:ascii="Times New Roman Regular" w:hAnsi="Times New Roman Regular" w:cs="Times New Roman Regular"/>
                <w:b/>
                <w:bCs/>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5E0430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2020</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778BE0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2021</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E1F2C3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2022</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CF04F1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2023</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A16EAA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2024</w:t>
            </w:r>
          </w:p>
        </w:tc>
      </w:tr>
      <w:tr w:rsidR="003407CB" w14:paraId="7BD72B2F"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653E5EF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Average inventory</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4CDD9E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45,283</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82D919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43,774</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738294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48,000</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0952CB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52,938</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15E135B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55,161</w:t>
            </w:r>
          </w:p>
        </w:tc>
      </w:tr>
      <w:tr w:rsidR="003407CB" w14:paraId="089C1EDF"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08A0ABA1"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COGS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6E4F53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183,937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89FFB8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202,959</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C81148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227,005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EFD588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261,299</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3839486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265,184</w:t>
            </w:r>
          </w:p>
        </w:tc>
      </w:tr>
      <w:tr w:rsidR="003407CB" w14:paraId="1683ECCE"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6858F700"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Inventory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808985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90</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CC9E7B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79</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8CA958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77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ED7D55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74</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391FDD9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76</w:t>
            </w:r>
          </w:p>
        </w:tc>
      </w:tr>
      <w:tr w:rsidR="003407CB" w14:paraId="1A9AE18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5E20483E"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(Average inventory/COGS)*365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7804F36"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06B988B"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AC7E2BD"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152491F"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CCC09A5" w14:textId="77777777" w:rsidR="003407CB" w:rsidRDefault="003407CB">
            <w:pPr>
              <w:rPr>
                <w:rFonts w:ascii="Times New Roman Regular" w:hAnsi="Times New Roman Regular" w:cs="Times New Roman Regular"/>
                <w:color w:val="000000"/>
                <w:sz w:val="24"/>
                <w:szCs w:val="24"/>
              </w:rPr>
            </w:pPr>
          </w:p>
        </w:tc>
      </w:tr>
      <w:tr w:rsidR="003407CB" w14:paraId="0BB3B5F8"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42CB9332"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6DACF1E"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3485F3A"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A7A3026"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C961A36"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57885D9" w14:textId="77777777" w:rsidR="003407CB" w:rsidRDefault="003407CB">
            <w:pPr>
              <w:rPr>
                <w:rFonts w:ascii="Times New Roman Regular" w:hAnsi="Times New Roman Regular" w:cs="Times New Roman Regular"/>
                <w:color w:val="000000"/>
                <w:sz w:val="24"/>
                <w:szCs w:val="24"/>
              </w:rPr>
            </w:pPr>
          </w:p>
        </w:tc>
      </w:tr>
      <w:tr w:rsidR="003407CB" w14:paraId="46086821"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0858A04C"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Receivables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B0A35B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16,243</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1BC5AF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15,521</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1FB991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18,581</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C2DDB6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21,849</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0645FD0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21,130</w:t>
            </w:r>
          </w:p>
        </w:tc>
      </w:tr>
      <w:tr w:rsidR="003407CB" w14:paraId="29479E6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4B8FA67C"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Sales</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60F2BD7C"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222,884</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5B5C211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250,200</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786EC13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279,232</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4BF7C5A8"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322,284</w:t>
            </w:r>
          </w:p>
        </w:tc>
        <w:tc>
          <w:tcPr>
            <w:tcW w:w="513" w:type="pct"/>
            <w:tcBorders>
              <w:top w:val="single" w:sz="4" w:space="0" w:color="000000"/>
              <w:left w:val="single" w:sz="4" w:space="0" w:color="000000"/>
              <w:bottom w:val="single" w:sz="4" w:space="0" w:color="000000"/>
              <w:right w:val="single" w:sz="4" w:space="0" w:color="000000"/>
            </w:tcBorders>
            <w:noWrap/>
            <w:vAlign w:val="bottom"/>
          </w:tcPr>
          <w:p w14:paraId="7B6693F8"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324,656</w:t>
            </w:r>
          </w:p>
        </w:tc>
      </w:tr>
      <w:tr w:rsidR="003407CB" w14:paraId="6A86427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3B94EBCD"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Receivable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B26E02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D72195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23</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D435BB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24</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C22B3BB"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25</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1A55D98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24</w:t>
            </w:r>
          </w:p>
        </w:tc>
      </w:tr>
      <w:tr w:rsidR="003407CB" w14:paraId="556314BB"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3BB1B5B0"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(Receivables/Sales)*365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B93F994"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6DA7808"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63BBFDE"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D3C963F"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385CA642" w14:textId="77777777" w:rsidR="003407CB" w:rsidRDefault="003407CB">
            <w:pPr>
              <w:rPr>
                <w:rFonts w:ascii="Times New Roman Regular" w:hAnsi="Times New Roman Regular" w:cs="Times New Roman Regular"/>
                <w:color w:val="000000"/>
                <w:sz w:val="24"/>
                <w:szCs w:val="24"/>
              </w:rPr>
            </w:pPr>
          </w:p>
        </w:tc>
      </w:tr>
      <w:tr w:rsidR="003407CB" w14:paraId="0E0BDA2F"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551F3335"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8FC59F6"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41406CF"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F56283D"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7527B82"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625911C7" w14:textId="77777777" w:rsidR="003407CB" w:rsidRDefault="003407CB">
            <w:pPr>
              <w:rPr>
                <w:rFonts w:ascii="Times New Roman Regular" w:hAnsi="Times New Roman Regular" w:cs="Times New Roman Regular"/>
                <w:color w:val="000000"/>
                <w:sz w:val="24"/>
                <w:szCs w:val="24"/>
              </w:rPr>
            </w:pPr>
          </w:p>
        </w:tc>
      </w:tr>
      <w:tr w:rsidR="003407CB" w14:paraId="4D66C77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7BDFD36"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Payables</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4EA7ED0A"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22,677</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1B3D6C2E"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23,624</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1E6BE87F"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28,748</w:t>
            </w:r>
          </w:p>
        </w:tc>
        <w:tc>
          <w:tcPr>
            <w:tcW w:w="511" w:type="pct"/>
            <w:tcBorders>
              <w:top w:val="single" w:sz="4" w:space="0" w:color="000000"/>
              <w:left w:val="single" w:sz="4" w:space="0" w:color="000000"/>
              <w:bottom w:val="single" w:sz="4" w:space="0" w:color="000000"/>
              <w:right w:val="single" w:sz="4" w:space="0" w:color="000000"/>
            </w:tcBorders>
            <w:noWrap/>
            <w:vAlign w:val="bottom"/>
          </w:tcPr>
          <w:p w14:paraId="2CC30410"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30,901</w:t>
            </w:r>
          </w:p>
        </w:tc>
        <w:tc>
          <w:tcPr>
            <w:tcW w:w="513" w:type="pct"/>
            <w:tcBorders>
              <w:top w:val="single" w:sz="4" w:space="0" w:color="000000"/>
              <w:left w:val="single" w:sz="4" w:space="0" w:color="000000"/>
              <w:bottom w:val="single" w:sz="4" w:space="0" w:color="000000"/>
              <w:right w:val="single" w:sz="4" w:space="0" w:color="000000"/>
            </w:tcBorders>
            <w:noWrap/>
            <w:vAlign w:val="bottom"/>
          </w:tcPr>
          <w:p w14:paraId="507FAEEE" w14:textId="77777777" w:rsidR="003407CB" w:rsidRDefault="00B01312">
            <w:pPr>
              <w:jc w:val="right"/>
              <w:textAlignment w:val="bottom"/>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29,772</w:t>
            </w:r>
          </w:p>
        </w:tc>
      </w:tr>
      <w:tr w:rsidR="003407CB" w14:paraId="03C2F290"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AFFD6E1"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COGS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3E3791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183,937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8A92AD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202,959</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CDE536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227,005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83163B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261,299</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79CB352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265,184</w:t>
            </w:r>
          </w:p>
        </w:tc>
      </w:tr>
      <w:tr w:rsidR="003407CB" w14:paraId="4F352747"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68E0263F"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Payable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A2837F8"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3F8134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42</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F09C566"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46</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4E68BBC"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43</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1B8B6F2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41</w:t>
            </w:r>
          </w:p>
        </w:tc>
      </w:tr>
      <w:tr w:rsidR="003407CB" w14:paraId="238FA514"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4530BA64"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(Payables/ COGS)*365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96B61DF"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7969628"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70B56F8"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9144B26"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4A93CF97" w14:textId="77777777" w:rsidR="003407CB" w:rsidRDefault="003407CB">
            <w:pPr>
              <w:rPr>
                <w:rFonts w:ascii="Times New Roman Regular" w:hAnsi="Times New Roman Regular" w:cs="Times New Roman Regular"/>
                <w:color w:val="000000"/>
                <w:sz w:val="24"/>
                <w:szCs w:val="24"/>
              </w:rPr>
            </w:pPr>
          </w:p>
        </w:tc>
      </w:tr>
      <w:tr w:rsidR="003407CB" w14:paraId="3E48ACDA"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58BCC635"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D0CC634"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E1CA8C2"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C82FB96"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7FA6C8F"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2D234CDE" w14:textId="77777777" w:rsidR="003407CB" w:rsidRDefault="003407CB">
            <w:pPr>
              <w:rPr>
                <w:rFonts w:ascii="Times New Roman Regular" w:hAnsi="Times New Roman Regular" w:cs="Times New Roman Regular"/>
                <w:color w:val="000000"/>
                <w:sz w:val="24"/>
                <w:szCs w:val="24"/>
              </w:rPr>
            </w:pPr>
          </w:p>
        </w:tc>
      </w:tr>
      <w:tr w:rsidR="003407CB" w14:paraId="4DCF1CBB"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051BF6A0"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CD0F9EC"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8108324"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C83BC97"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4E6D5C1"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6A33257" w14:textId="77777777" w:rsidR="003407CB" w:rsidRDefault="003407CB">
            <w:pPr>
              <w:rPr>
                <w:rFonts w:ascii="Times New Roman Regular" w:hAnsi="Times New Roman Regular" w:cs="Times New Roman Regular"/>
                <w:color w:val="000000"/>
                <w:sz w:val="24"/>
                <w:szCs w:val="24"/>
              </w:rPr>
            </w:pPr>
          </w:p>
        </w:tc>
      </w:tr>
      <w:tr w:rsidR="003407CB" w14:paraId="6C904211"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1D8E05B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Inventory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C7DA71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90</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B7F783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79</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432C60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77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AE4707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74</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68BB17E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76</w:t>
            </w:r>
          </w:p>
        </w:tc>
      </w:tr>
      <w:tr w:rsidR="003407CB" w14:paraId="05A51516"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54387E0"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Receivable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AC0866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27</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6F0D1C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23</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FAD314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24</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24998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2C66FA8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24</w:t>
            </w:r>
          </w:p>
        </w:tc>
      </w:tr>
      <w:tr w:rsidR="003407CB" w14:paraId="2A5E4300"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2926A7E3"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Payable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B03807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064164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42</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AB7220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46</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EA0E23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43</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D1283F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41</w:t>
            </w:r>
          </w:p>
        </w:tc>
      </w:tr>
      <w:tr w:rsidR="003407CB" w14:paraId="1F45BE8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D3D126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Operating Cycle</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AF86E4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71</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7ABB113"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59</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0B4F57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93A1F6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56</w:t>
            </w: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35D3F40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59</w:t>
            </w:r>
          </w:p>
        </w:tc>
      </w:tr>
      <w:tr w:rsidR="003407CB" w14:paraId="55F6E7EC"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51AB4943"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(Inventory days+receivable days-payable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32671B9"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4E58CA3"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5513F87" w14:textId="77777777" w:rsidR="003407CB" w:rsidRDefault="003407CB">
            <w:pPr>
              <w:rPr>
                <w:rFonts w:ascii="Times New Roman Regular" w:hAnsi="Times New Roman Regular" w:cs="Times New Roman Regular"/>
                <w:color w:val="000000"/>
                <w:sz w:val="24"/>
                <w:szCs w:val="24"/>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8FEF09E" w14:textId="77777777" w:rsidR="003407CB" w:rsidRDefault="003407CB">
            <w:pPr>
              <w:rPr>
                <w:rFonts w:ascii="Times New Roman Regular" w:hAnsi="Times New Roman Regular" w:cs="Times New Roman Regular"/>
                <w:color w:val="000000"/>
                <w:sz w:val="24"/>
                <w:szCs w:val="24"/>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7619751" w14:textId="77777777" w:rsidR="003407CB" w:rsidRDefault="003407CB">
            <w:pPr>
              <w:rPr>
                <w:rFonts w:ascii="Times New Roman Regular" w:hAnsi="Times New Roman Regular" w:cs="Times New Roman Regular"/>
                <w:color w:val="000000"/>
                <w:sz w:val="24"/>
                <w:szCs w:val="24"/>
              </w:rPr>
            </w:pPr>
          </w:p>
        </w:tc>
      </w:tr>
    </w:tbl>
    <w:p w14:paraId="7C2C3F58" w14:textId="77777777" w:rsidR="003407CB" w:rsidRDefault="003407CB">
      <w:pPr>
        <w:spacing w:line="360" w:lineRule="auto"/>
        <w:jc w:val="both"/>
        <w:rPr>
          <w:rFonts w:ascii="Times New Roman Regular" w:hAnsi="Times New Roman Regular" w:cs="Times New Roman Regular"/>
          <w:b/>
          <w:bCs/>
          <w:sz w:val="24"/>
          <w:szCs w:val="24"/>
        </w:rPr>
      </w:pPr>
    </w:p>
    <w:p w14:paraId="4887016A" w14:textId="77777777" w:rsidR="003407CB" w:rsidRDefault="00B01312">
      <w:pPr>
        <w:numPr>
          <w:ilvl w:val="0"/>
          <w:numId w:val="2"/>
        </w:numPr>
        <w:spacing w:line="360" w:lineRule="auto"/>
        <w:jc w:val="both"/>
        <w:outlineLvl w:val="0"/>
        <w:rPr>
          <w:rFonts w:ascii="Times New Roman Regular" w:hAnsi="Times New Roman Regular" w:cs="Times New Roman Regular"/>
          <w:b/>
          <w:bCs/>
          <w:sz w:val="24"/>
          <w:szCs w:val="24"/>
        </w:rPr>
      </w:pPr>
      <w:bookmarkStart w:id="19" w:name="_Toc1921573186"/>
      <w:r>
        <w:rPr>
          <w:rFonts w:ascii="Times New Roman Regular" w:hAnsi="Times New Roman Regular" w:cs="Times New Roman Regular"/>
          <w:b/>
          <w:bCs/>
          <w:sz w:val="24"/>
          <w:szCs w:val="24"/>
        </w:rPr>
        <w:t>Investment Appraisal Techniques</w:t>
      </w:r>
      <w:bookmarkEnd w:id="19"/>
    </w:p>
    <w:tbl>
      <w:tblPr>
        <w:tblW w:w="5000" w:type="pct"/>
        <w:tblLook w:val="04A0" w:firstRow="1" w:lastRow="0" w:firstColumn="1" w:lastColumn="0" w:noHBand="0" w:noVBand="1"/>
      </w:tblPr>
      <w:tblGrid>
        <w:gridCol w:w="1267"/>
        <w:gridCol w:w="1349"/>
        <w:gridCol w:w="994"/>
        <w:gridCol w:w="1349"/>
        <w:gridCol w:w="994"/>
        <w:gridCol w:w="1349"/>
        <w:gridCol w:w="994"/>
      </w:tblGrid>
      <w:tr w:rsidR="003407CB" w14:paraId="13B3CE14" w14:textId="77777777">
        <w:trPr>
          <w:trHeight w:val="336"/>
        </w:trPr>
        <w:tc>
          <w:tcPr>
            <w:tcW w:w="5000" w:type="pct"/>
            <w:gridSpan w:val="7"/>
            <w:tcBorders>
              <w:top w:val="single" w:sz="4" w:space="0" w:color="000000"/>
              <w:left w:val="single" w:sz="4" w:space="0" w:color="000000"/>
              <w:bottom w:val="single" w:sz="4" w:space="0" w:color="000000"/>
              <w:right w:val="single" w:sz="4" w:space="0" w:color="000000"/>
            </w:tcBorders>
            <w:noWrap/>
            <w:vAlign w:val="center"/>
          </w:tcPr>
          <w:p w14:paraId="7E4E0F74"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payback period</w:t>
            </w:r>
          </w:p>
        </w:tc>
      </w:tr>
      <w:tr w:rsidR="003407CB" w14:paraId="00644012"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73F58F55"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Projects</w:t>
            </w:r>
          </w:p>
        </w:tc>
        <w:tc>
          <w:tcPr>
            <w:tcW w:w="1405" w:type="pct"/>
            <w:gridSpan w:val="2"/>
            <w:tcBorders>
              <w:top w:val="single" w:sz="4" w:space="0" w:color="000000"/>
              <w:left w:val="single" w:sz="4" w:space="0" w:color="000000"/>
              <w:bottom w:val="single" w:sz="4" w:space="0" w:color="000000"/>
              <w:right w:val="single" w:sz="4" w:space="0" w:color="000000"/>
            </w:tcBorders>
            <w:noWrap/>
            <w:vAlign w:val="center"/>
          </w:tcPr>
          <w:p w14:paraId="2E88A751"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w:t>
            </w:r>
          </w:p>
        </w:tc>
        <w:tc>
          <w:tcPr>
            <w:tcW w:w="1405" w:type="pct"/>
            <w:gridSpan w:val="2"/>
            <w:tcBorders>
              <w:top w:val="single" w:sz="4" w:space="0" w:color="000000"/>
              <w:left w:val="single" w:sz="4" w:space="0" w:color="000000"/>
              <w:bottom w:val="single" w:sz="4" w:space="0" w:color="000000"/>
              <w:right w:val="single" w:sz="4" w:space="0" w:color="000000"/>
            </w:tcBorders>
            <w:noWrap/>
            <w:vAlign w:val="center"/>
          </w:tcPr>
          <w:p w14:paraId="4B879695"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B</w:t>
            </w:r>
          </w:p>
        </w:tc>
        <w:tc>
          <w:tcPr>
            <w:tcW w:w="1406" w:type="pct"/>
            <w:gridSpan w:val="2"/>
            <w:tcBorders>
              <w:top w:val="single" w:sz="4" w:space="0" w:color="000000"/>
              <w:left w:val="single" w:sz="4" w:space="0" w:color="000000"/>
              <w:bottom w:val="single" w:sz="4" w:space="0" w:color="000000"/>
              <w:right w:val="single" w:sz="4" w:space="0" w:color="000000"/>
            </w:tcBorders>
            <w:noWrap/>
            <w:vAlign w:val="center"/>
          </w:tcPr>
          <w:p w14:paraId="2BA8A8E6"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w:t>
            </w:r>
          </w:p>
        </w:tc>
      </w:tr>
      <w:tr w:rsidR="003407CB" w14:paraId="49BEDB2F"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20FAB514"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Year</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4D017F22"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4D770C6C"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Cumulative</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6B24799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7159F823"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Cumulative</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239145D6"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1730E49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Cumulative</w:t>
            </w:r>
          </w:p>
        </w:tc>
      </w:tr>
      <w:tr w:rsidR="003407CB" w14:paraId="3B69894D"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39EB81D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1AE151A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105414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51A594E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84D91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32CEB93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3FA516D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r>
      <w:tr w:rsidR="003407CB" w14:paraId="0C8252D1"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5AC510F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55296E5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317B9EF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-40</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6E8DE72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4EAC92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-39</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4E34616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4A89335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-45</w:t>
            </w:r>
          </w:p>
        </w:tc>
      </w:tr>
      <w:tr w:rsidR="003407CB" w14:paraId="1C432388"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7EAFCBB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39279A6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3F5C2B2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-28</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4DF1468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3C2C439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-28</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092A1D2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2FAD091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-35</w:t>
            </w:r>
          </w:p>
        </w:tc>
      </w:tr>
      <w:tr w:rsidR="003407CB" w14:paraId="31C7C9EC"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56B6E04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40C64B9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124EFD9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7B62FE2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1FBD849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-17</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4493C3D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73CD9B3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w:t>
            </w:r>
          </w:p>
        </w:tc>
      </w:tr>
      <w:tr w:rsidR="003407CB" w14:paraId="04069EC5"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589A26D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2CD10A9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6A8FAEF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253967A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264AEEB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-6</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23B4323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2F7B5C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r>
      <w:tr w:rsidR="003407CB" w14:paraId="488C9826"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0D05938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29F88E9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3F82D85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19B2AF9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770704D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6352069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CD3E888" w14:textId="77777777" w:rsidR="003407CB" w:rsidRDefault="003407CB">
            <w:pPr>
              <w:rPr>
                <w:rFonts w:ascii="Times New Roman Regular" w:hAnsi="Times New Roman Regular" w:cs="Times New Roman Regular"/>
                <w:color w:val="000000"/>
                <w:sz w:val="24"/>
                <w:szCs w:val="24"/>
              </w:rPr>
            </w:pPr>
          </w:p>
        </w:tc>
      </w:tr>
      <w:tr w:rsidR="003407CB" w14:paraId="6C4BE8B6"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tcPr>
          <w:p w14:paraId="54B5D57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Payback Period</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5ECB83D5" w14:textId="77777777" w:rsidR="003407CB" w:rsidRDefault="003407CB">
            <w:pPr>
              <w:rPr>
                <w:rFonts w:ascii="Times New Roman Regular" w:hAnsi="Times New Roman Regular" w:cs="Times New Roman Regular"/>
                <w:b/>
                <w:bCs/>
                <w:color w:val="000000"/>
                <w:sz w:val="24"/>
                <w:szCs w:val="24"/>
              </w:rPr>
            </w:pP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408D6C6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4.50 </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0C848616" w14:textId="77777777" w:rsidR="003407CB" w:rsidRDefault="003407CB">
            <w:pPr>
              <w:rPr>
                <w:rFonts w:ascii="Times New Roman Regular" w:hAnsi="Times New Roman Regular" w:cs="Times New Roman Regular"/>
                <w:b/>
                <w:bCs/>
                <w:color w:val="000000"/>
                <w:sz w:val="24"/>
                <w:szCs w:val="24"/>
              </w:rPr>
            </w:pP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5318A53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4.55 </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7387747D" w14:textId="77777777" w:rsidR="003407CB" w:rsidRDefault="003407CB">
            <w:pPr>
              <w:rPr>
                <w:rFonts w:ascii="Times New Roman Regular" w:hAnsi="Times New Roman Regular" w:cs="Times New Roman Regular"/>
                <w:b/>
                <w:bCs/>
                <w:color w:val="000000"/>
                <w:sz w:val="24"/>
                <w:szCs w:val="24"/>
              </w:rPr>
            </w:pP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2E8CD81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3.60 </w:t>
            </w:r>
          </w:p>
        </w:tc>
      </w:tr>
    </w:tbl>
    <w:p w14:paraId="372B8AF3" w14:textId="77777777" w:rsidR="003407CB" w:rsidRDefault="003407CB">
      <w:pPr>
        <w:spacing w:line="360" w:lineRule="auto"/>
        <w:jc w:val="both"/>
        <w:rPr>
          <w:rFonts w:ascii="Times New Roman Regular" w:hAnsi="Times New Roman Regular" w:cs="Times New Roman Regular"/>
          <w:sz w:val="24"/>
          <w:szCs w:val="24"/>
        </w:rPr>
      </w:pPr>
    </w:p>
    <w:tbl>
      <w:tblPr>
        <w:tblW w:w="5000" w:type="pct"/>
        <w:tblLook w:val="04A0" w:firstRow="1" w:lastRow="0" w:firstColumn="1" w:lastColumn="0" w:noHBand="0" w:noVBand="1"/>
      </w:tblPr>
      <w:tblGrid>
        <w:gridCol w:w="1320"/>
        <w:gridCol w:w="895"/>
        <w:gridCol w:w="959"/>
        <w:gridCol w:w="472"/>
        <w:gridCol w:w="894"/>
        <w:gridCol w:w="959"/>
        <w:gridCol w:w="472"/>
        <w:gridCol w:w="894"/>
        <w:gridCol w:w="959"/>
        <w:gridCol w:w="472"/>
      </w:tblGrid>
      <w:tr w:rsidR="003407CB" w14:paraId="35ECF7EB" w14:textId="77777777">
        <w:trPr>
          <w:trHeight w:val="336"/>
        </w:trPr>
        <w:tc>
          <w:tcPr>
            <w:tcW w:w="5000" w:type="pct"/>
            <w:gridSpan w:val="10"/>
            <w:tcBorders>
              <w:top w:val="single" w:sz="4" w:space="0" w:color="000000"/>
              <w:left w:val="single" w:sz="4" w:space="0" w:color="000000"/>
              <w:bottom w:val="single" w:sz="4" w:space="0" w:color="000000"/>
              <w:right w:val="single" w:sz="4" w:space="0" w:color="000000"/>
            </w:tcBorders>
            <w:noWrap/>
            <w:vAlign w:val="center"/>
          </w:tcPr>
          <w:p w14:paraId="1C7E576F"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Accounting rate of return</w:t>
            </w:r>
          </w:p>
        </w:tc>
      </w:tr>
      <w:tr w:rsidR="003407CB" w14:paraId="60D642E6"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5EEFCDD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Projects</w:t>
            </w:r>
          </w:p>
        </w:tc>
        <w:tc>
          <w:tcPr>
            <w:tcW w:w="1385" w:type="pct"/>
            <w:gridSpan w:val="3"/>
            <w:tcBorders>
              <w:top w:val="single" w:sz="4" w:space="0" w:color="000000"/>
              <w:left w:val="single" w:sz="4" w:space="0" w:color="000000"/>
              <w:bottom w:val="single" w:sz="4" w:space="0" w:color="000000"/>
              <w:right w:val="single" w:sz="4" w:space="0" w:color="000000"/>
            </w:tcBorders>
            <w:noWrap/>
            <w:vAlign w:val="center"/>
          </w:tcPr>
          <w:p w14:paraId="30B94272"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w:t>
            </w:r>
          </w:p>
        </w:tc>
        <w:tc>
          <w:tcPr>
            <w:tcW w:w="1385" w:type="pct"/>
            <w:gridSpan w:val="3"/>
            <w:tcBorders>
              <w:top w:val="single" w:sz="4" w:space="0" w:color="000000"/>
              <w:left w:val="single" w:sz="4" w:space="0" w:color="000000"/>
              <w:bottom w:val="single" w:sz="4" w:space="0" w:color="000000"/>
              <w:right w:val="single" w:sz="4" w:space="0" w:color="000000"/>
            </w:tcBorders>
            <w:noWrap/>
            <w:vAlign w:val="center"/>
          </w:tcPr>
          <w:p w14:paraId="4E36DADE"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B</w:t>
            </w:r>
          </w:p>
        </w:tc>
        <w:tc>
          <w:tcPr>
            <w:tcW w:w="1386" w:type="pct"/>
            <w:gridSpan w:val="3"/>
            <w:tcBorders>
              <w:top w:val="single" w:sz="4" w:space="0" w:color="000000"/>
              <w:left w:val="single" w:sz="4" w:space="0" w:color="000000"/>
              <w:bottom w:val="single" w:sz="4" w:space="0" w:color="000000"/>
              <w:right w:val="single" w:sz="4" w:space="0" w:color="000000"/>
            </w:tcBorders>
            <w:noWrap/>
            <w:vAlign w:val="center"/>
          </w:tcPr>
          <w:p w14:paraId="29774D1E"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w:t>
            </w:r>
          </w:p>
        </w:tc>
      </w:tr>
      <w:tr w:rsidR="003407CB" w14:paraId="0D6E253F"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16D16AF1"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Year</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B005CE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7F97425"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Less: Depreciation</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17E9821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Profit</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4306D3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00DBC8E8"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Less: Depreciation</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0AB7169F"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Profit</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2CEB76E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03E4B08"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Less: Depreciation</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50D16DCD"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Profit</w:t>
            </w:r>
          </w:p>
        </w:tc>
      </w:tr>
      <w:tr w:rsidR="003407CB" w14:paraId="566E0B37"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5597983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33B71D8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2F533B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63CEB61F" w14:textId="77777777" w:rsidR="003407CB" w:rsidRDefault="003407CB">
            <w:pPr>
              <w:rPr>
                <w:rFonts w:ascii="Times New Roman Regular" w:hAnsi="Times New Roman Regular" w:cs="Times New Roman Regular"/>
                <w:color w:val="000000"/>
                <w:sz w:val="24"/>
                <w:szCs w:val="24"/>
              </w:rPr>
            </w:pP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0C2DA2A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DC5768C"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2B61B433" w14:textId="77777777" w:rsidR="003407CB" w:rsidRDefault="003407CB">
            <w:pPr>
              <w:rPr>
                <w:rFonts w:ascii="Times New Roman Regular" w:hAnsi="Times New Roman Regular" w:cs="Times New Roman Regular"/>
                <w:color w:val="000000"/>
                <w:sz w:val="24"/>
                <w:szCs w:val="24"/>
              </w:rPr>
            </w:pP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5E4ACC1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685483A" w14:textId="77777777" w:rsidR="003407CB" w:rsidRDefault="003407CB">
            <w:pPr>
              <w:rPr>
                <w:rFonts w:ascii="Times New Roman Regular" w:hAnsi="Times New Roman Regular" w:cs="Times New Roman Regular"/>
                <w:color w:val="000000"/>
                <w:sz w:val="24"/>
                <w:szCs w:val="24"/>
              </w:rPr>
            </w:pP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7230D526" w14:textId="77777777" w:rsidR="003407CB" w:rsidRDefault="003407CB">
            <w:pPr>
              <w:rPr>
                <w:rFonts w:ascii="Times New Roman Regular" w:hAnsi="Times New Roman Regular" w:cs="Times New Roman Regular"/>
                <w:color w:val="000000"/>
                <w:sz w:val="24"/>
                <w:szCs w:val="24"/>
              </w:rPr>
            </w:pPr>
          </w:p>
        </w:tc>
      </w:tr>
      <w:tr w:rsidR="003407CB" w14:paraId="3830E8A7"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56B112E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22FCEA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F18FF7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5D0C732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41AAAEF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C06B64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388BDAB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852BAA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8CEA10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3A03A07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r>
      <w:tr w:rsidR="003407CB" w14:paraId="1452A58C"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475A113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552DD1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6F9B0F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2406271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1B160B1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7B3A57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01DF2CE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9CA8AF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A42C31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0E41FB4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r>
      <w:tr w:rsidR="003407CB" w14:paraId="12BB0524"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41A5A6E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0B00CAD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872EC5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2BE22CC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1EDBF62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780052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0553474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6E102D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136F2D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140EB17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r>
      <w:tr w:rsidR="003407CB" w14:paraId="3AB32758"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2BC0E09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2173CDC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2AA207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03AD230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2426295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70D18B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7C79249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4E7D194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03FBEF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188ED5F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15</w:t>
            </w:r>
          </w:p>
        </w:tc>
      </w:tr>
      <w:tr w:rsidR="003407CB" w14:paraId="11D55EE8"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05F920C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416C3D6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07C659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6F52558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44A7153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8E6F49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2F4140F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566C30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02541E2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7015DD3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r>
      <w:tr w:rsidR="003407CB" w14:paraId="53052052"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41A6AA7F"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Average profit</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31E7972A"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C9EF59C"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194122D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0.8</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2E32CCF"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03AE7B4"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3ED7AA7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2B2D13F"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1124510" w14:textId="77777777" w:rsidR="003407CB" w:rsidRDefault="003407CB">
            <w:pPr>
              <w:rPr>
                <w:rFonts w:ascii="Times New Roman Regular" w:hAnsi="Times New Roman Regular" w:cs="Times New Roman Regular"/>
                <w:color w:val="000000"/>
                <w:sz w:val="24"/>
                <w:szCs w:val="24"/>
              </w:rPr>
            </w:pP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44F0554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w:t>
            </w:r>
          </w:p>
        </w:tc>
      </w:tr>
      <w:tr w:rsidR="003407CB" w14:paraId="70802E74"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06B5D038"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Investment</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0801B370"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444D80EA"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6C5777C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29C2221"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AD63569"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36CBECD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484AAD88"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3F00CAD" w14:textId="77777777" w:rsidR="003407CB" w:rsidRDefault="003407CB">
            <w:pPr>
              <w:rPr>
                <w:rFonts w:ascii="Times New Roman Regular" w:hAnsi="Times New Roman Regular" w:cs="Times New Roman Regular"/>
                <w:color w:val="000000"/>
                <w:sz w:val="24"/>
                <w:szCs w:val="24"/>
              </w:rPr>
            </w:pP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5B23339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r>
      <w:tr w:rsidR="003407CB" w14:paraId="4F1CE8B3"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0083143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ARR</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3FABA0C1" w14:textId="77777777" w:rsidR="003407CB" w:rsidRDefault="003407CB">
            <w:pPr>
              <w:rPr>
                <w:rFonts w:ascii="Times New Roman Regular" w:hAnsi="Times New Roman Regular" w:cs="Times New Roman Regular"/>
                <w:b/>
                <w:bCs/>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3642E1FC" w14:textId="77777777" w:rsidR="003407CB" w:rsidRDefault="003407CB">
            <w:pPr>
              <w:rPr>
                <w:rFonts w:ascii="Times New Roman Regular" w:hAnsi="Times New Roman Regular" w:cs="Times New Roman Regular"/>
                <w:b/>
                <w:bCs/>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3EE445A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1.60%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56501D75" w14:textId="77777777" w:rsidR="003407CB" w:rsidRDefault="003407CB">
            <w:pPr>
              <w:rPr>
                <w:rFonts w:ascii="Times New Roman Regular" w:hAnsi="Times New Roman Regular" w:cs="Times New Roman Regular"/>
                <w:b/>
                <w:bCs/>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A8707E4" w14:textId="77777777" w:rsidR="003407CB" w:rsidRDefault="003407CB">
            <w:pPr>
              <w:rPr>
                <w:rFonts w:ascii="Times New Roman Regular" w:hAnsi="Times New Roman Regular" w:cs="Times New Roman Regular"/>
                <w:b/>
                <w:bCs/>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09468F5F"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2.00%</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72F6E54F" w14:textId="77777777" w:rsidR="003407CB" w:rsidRDefault="003407CB">
            <w:pPr>
              <w:rPr>
                <w:rFonts w:ascii="Times New Roman Regular" w:hAnsi="Times New Roman Regular" w:cs="Times New Roman Regular"/>
                <w:b/>
                <w:bCs/>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04C7F194" w14:textId="77777777" w:rsidR="003407CB" w:rsidRDefault="003407CB">
            <w:pPr>
              <w:rPr>
                <w:rFonts w:ascii="Times New Roman Regular" w:hAnsi="Times New Roman Regular" w:cs="Times New Roman Regular"/>
                <w:b/>
                <w:bCs/>
                <w:color w:val="000000"/>
                <w:sz w:val="24"/>
                <w:szCs w:val="24"/>
              </w:rPr>
            </w:pP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058B6135"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6.00%</w:t>
            </w:r>
          </w:p>
        </w:tc>
      </w:tr>
      <w:tr w:rsidR="003407CB" w14:paraId="77D06EE2" w14:textId="77777777">
        <w:trPr>
          <w:trHeight w:val="336"/>
        </w:trPr>
        <w:tc>
          <w:tcPr>
            <w:tcW w:w="841" w:type="pct"/>
            <w:tcBorders>
              <w:top w:val="single" w:sz="4" w:space="0" w:color="000000"/>
              <w:left w:val="single" w:sz="4" w:space="0" w:color="000000"/>
              <w:bottom w:val="single" w:sz="4" w:space="0" w:color="000000"/>
              <w:right w:val="single" w:sz="4" w:space="0" w:color="000000"/>
            </w:tcBorders>
            <w:noWrap/>
            <w:vAlign w:val="center"/>
          </w:tcPr>
          <w:p w14:paraId="2317E89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(Average profits/ investment)</w:t>
            </w: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67424F87"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75F1DF1B"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5B0912AE" w14:textId="77777777" w:rsidR="003407CB" w:rsidRDefault="003407CB">
            <w:pPr>
              <w:rPr>
                <w:rFonts w:ascii="Times New Roman Regular" w:hAnsi="Times New Roman Regular" w:cs="Times New Roman Regular"/>
                <w:color w:val="000000"/>
                <w:sz w:val="24"/>
                <w:szCs w:val="24"/>
              </w:rPr>
            </w:pP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061E916E"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5DBDD1DF" w14:textId="77777777" w:rsidR="003407CB" w:rsidRDefault="003407CB">
            <w:pPr>
              <w:rPr>
                <w:rFonts w:ascii="Times New Roman Regular" w:hAnsi="Times New Roman Regular" w:cs="Times New Roman Regular"/>
                <w:color w:val="000000"/>
                <w:sz w:val="24"/>
                <w:szCs w:val="24"/>
              </w:rPr>
            </w:pPr>
          </w:p>
        </w:tc>
        <w:tc>
          <w:tcPr>
            <w:tcW w:w="240" w:type="pct"/>
            <w:tcBorders>
              <w:top w:val="single" w:sz="4" w:space="0" w:color="000000"/>
              <w:left w:val="single" w:sz="4" w:space="0" w:color="000000"/>
              <w:bottom w:val="single" w:sz="4" w:space="0" w:color="000000"/>
              <w:right w:val="single" w:sz="4" w:space="0" w:color="000000"/>
            </w:tcBorders>
            <w:noWrap/>
            <w:vAlign w:val="center"/>
          </w:tcPr>
          <w:p w14:paraId="56293898" w14:textId="77777777" w:rsidR="003407CB" w:rsidRDefault="003407CB">
            <w:pPr>
              <w:rPr>
                <w:rFonts w:ascii="Times New Roman Regular" w:hAnsi="Times New Roman Regular" w:cs="Times New Roman Regular"/>
                <w:color w:val="000000"/>
                <w:sz w:val="24"/>
                <w:szCs w:val="24"/>
              </w:rPr>
            </w:pPr>
          </w:p>
        </w:tc>
        <w:tc>
          <w:tcPr>
            <w:tcW w:w="540" w:type="pct"/>
            <w:tcBorders>
              <w:top w:val="single" w:sz="4" w:space="0" w:color="000000"/>
              <w:left w:val="single" w:sz="4" w:space="0" w:color="000000"/>
              <w:bottom w:val="single" w:sz="4" w:space="0" w:color="000000"/>
              <w:right w:val="single" w:sz="4" w:space="0" w:color="000000"/>
            </w:tcBorders>
            <w:noWrap/>
            <w:vAlign w:val="center"/>
          </w:tcPr>
          <w:p w14:paraId="066CFE3B" w14:textId="77777777" w:rsidR="003407CB" w:rsidRDefault="003407CB">
            <w:pPr>
              <w:rPr>
                <w:rFonts w:ascii="Times New Roman Regular" w:hAnsi="Times New Roman Regular" w:cs="Times New Roman Regular"/>
                <w:color w:val="000000"/>
                <w:sz w:val="24"/>
                <w:szCs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1E61DD33" w14:textId="77777777" w:rsidR="003407CB" w:rsidRDefault="003407CB">
            <w:pPr>
              <w:rPr>
                <w:rFonts w:ascii="Times New Roman Regular" w:hAnsi="Times New Roman Regular" w:cs="Times New Roman Regular"/>
                <w:color w:val="000000"/>
                <w:sz w:val="24"/>
                <w:szCs w:val="24"/>
              </w:rPr>
            </w:pPr>
          </w:p>
        </w:tc>
        <w:tc>
          <w:tcPr>
            <w:tcW w:w="241" w:type="pct"/>
            <w:tcBorders>
              <w:top w:val="single" w:sz="4" w:space="0" w:color="000000"/>
              <w:left w:val="single" w:sz="4" w:space="0" w:color="000000"/>
              <w:bottom w:val="single" w:sz="4" w:space="0" w:color="000000"/>
              <w:right w:val="single" w:sz="4" w:space="0" w:color="000000"/>
            </w:tcBorders>
            <w:noWrap/>
            <w:vAlign w:val="center"/>
          </w:tcPr>
          <w:p w14:paraId="2B6FB71C" w14:textId="77777777" w:rsidR="003407CB" w:rsidRDefault="003407CB">
            <w:pPr>
              <w:rPr>
                <w:rFonts w:ascii="Times New Roman Regular" w:hAnsi="Times New Roman Regular" w:cs="Times New Roman Regular"/>
                <w:color w:val="000000"/>
                <w:sz w:val="24"/>
                <w:szCs w:val="24"/>
              </w:rPr>
            </w:pPr>
          </w:p>
        </w:tc>
      </w:tr>
    </w:tbl>
    <w:p w14:paraId="123AB968" w14:textId="77777777" w:rsidR="003407CB" w:rsidRDefault="003407CB">
      <w:pPr>
        <w:spacing w:line="360" w:lineRule="auto"/>
        <w:jc w:val="both"/>
        <w:rPr>
          <w:rFonts w:ascii="Times New Roman Regular" w:hAnsi="Times New Roman Regular" w:cs="Times New Roman Regular"/>
          <w:sz w:val="24"/>
          <w:szCs w:val="24"/>
        </w:rPr>
      </w:pPr>
    </w:p>
    <w:tbl>
      <w:tblPr>
        <w:tblW w:w="5000" w:type="pct"/>
        <w:tblLook w:val="04A0" w:firstRow="1" w:lastRow="0" w:firstColumn="1" w:lastColumn="0" w:noHBand="0" w:noVBand="1"/>
      </w:tblPr>
      <w:tblGrid>
        <w:gridCol w:w="766"/>
        <w:gridCol w:w="1792"/>
        <w:gridCol w:w="1362"/>
        <w:gridCol w:w="798"/>
        <w:gridCol w:w="991"/>
        <w:gridCol w:w="798"/>
        <w:gridCol w:w="991"/>
        <w:gridCol w:w="798"/>
      </w:tblGrid>
      <w:tr w:rsidR="003407CB" w14:paraId="5C36555E" w14:textId="77777777">
        <w:trPr>
          <w:trHeight w:val="336"/>
        </w:trPr>
        <w:tc>
          <w:tcPr>
            <w:tcW w:w="5000" w:type="pct"/>
            <w:gridSpan w:val="8"/>
            <w:tcBorders>
              <w:top w:val="single" w:sz="4" w:space="0" w:color="000000"/>
              <w:left w:val="single" w:sz="4" w:space="0" w:color="000000"/>
              <w:bottom w:val="single" w:sz="4" w:space="0" w:color="000000"/>
              <w:right w:val="single" w:sz="4" w:space="0" w:color="000000"/>
            </w:tcBorders>
            <w:noWrap/>
            <w:vAlign w:val="center"/>
          </w:tcPr>
          <w:p w14:paraId="71E7946F"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Net Present Value</w:t>
            </w:r>
          </w:p>
        </w:tc>
      </w:tr>
      <w:tr w:rsidR="003407CB" w14:paraId="2FD05DDF"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2B75D87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Projects</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62FEBEA6" w14:textId="77777777" w:rsidR="003407CB" w:rsidRDefault="003407CB">
            <w:pPr>
              <w:rPr>
                <w:rFonts w:ascii="Times New Roman Regular" w:hAnsi="Times New Roman Regular" w:cs="Times New Roman Regular"/>
                <w:b/>
                <w:bCs/>
                <w:color w:val="000000"/>
                <w:sz w:val="24"/>
                <w:szCs w:val="24"/>
              </w:rPr>
            </w:pPr>
          </w:p>
        </w:tc>
        <w:tc>
          <w:tcPr>
            <w:tcW w:w="1281" w:type="pct"/>
            <w:gridSpan w:val="2"/>
            <w:tcBorders>
              <w:top w:val="single" w:sz="4" w:space="0" w:color="000000"/>
              <w:left w:val="single" w:sz="4" w:space="0" w:color="000000"/>
              <w:bottom w:val="single" w:sz="4" w:space="0" w:color="000000"/>
              <w:right w:val="single" w:sz="4" w:space="0" w:color="000000"/>
            </w:tcBorders>
            <w:noWrap/>
            <w:vAlign w:val="center"/>
          </w:tcPr>
          <w:p w14:paraId="61E4C995"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w:t>
            </w:r>
          </w:p>
        </w:tc>
        <w:tc>
          <w:tcPr>
            <w:tcW w:w="1059" w:type="pct"/>
            <w:gridSpan w:val="2"/>
            <w:tcBorders>
              <w:top w:val="single" w:sz="4" w:space="0" w:color="000000"/>
              <w:left w:val="single" w:sz="4" w:space="0" w:color="000000"/>
              <w:bottom w:val="single" w:sz="4" w:space="0" w:color="000000"/>
              <w:right w:val="single" w:sz="4" w:space="0" w:color="000000"/>
            </w:tcBorders>
            <w:noWrap/>
            <w:vAlign w:val="center"/>
          </w:tcPr>
          <w:p w14:paraId="21164CD2"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B</w:t>
            </w:r>
          </w:p>
        </w:tc>
        <w:tc>
          <w:tcPr>
            <w:tcW w:w="1060" w:type="pct"/>
            <w:gridSpan w:val="2"/>
            <w:tcBorders>
              <w:top w:val="single" w:sz="4" w:space="0" w:color="000000"/>
              <w:left w:val="single" w:sz="4" w:space="0" w:color="000000"/>
              <w:bottom w:val="single" w:sz="4" w:space="0" w:color="000000"/>
              <w:right w:val="single" w:sz="4" w:space="0" w:color="000000"/>
            </w:tcBorders>
            <w:noWrap/>
            <w:vAlign w:val="center"/>
          </w:tcPr>
          <w:p w14:paraId="6F8DD925"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w:t>
            </w:r>
          </w:p>
        </w:tc>
      </w:tr>
      <w:tr w:rsidR="003407CB" w14:paraId="25580B87"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67AE108C"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Year</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1BBDB13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Discount factor @ 10%</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5744431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70CF1828"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PV (£M)</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53DE9CF5"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1E384889"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PV (£M)</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704367F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64F85169"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PV (£M)</w:t>
            </w:r>
          </w:p>
        </w:tc>
      </w:tr>
      <w:tr w:rsidR="003407CB" w14:paraId="1D9285C9"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3DBF007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6382184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10E9E1A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77820A7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52D993A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0001A47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5A0F314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13E399D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r>
      <w:tr w:rsidR="003407CB" w14:paraId="082153E5"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192322F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740171B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0.9091 </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7674495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662EF3C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9.09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324C3E9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320AF4E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10.00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696178D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5B668C4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4.55 </w:t>
            </w:r>
          </w:p>
        </w:tc>
      </w:tr>
      <w:tr w:rsidR="003407CB" w14:paraId="20B2598A"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019C3D9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61F311E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0.8264 </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4501F10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768799D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9.92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4B269FB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23C9B64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9.09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0C636FC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5DC3196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8.26 </w:t>
            </w:r>
          </w:p>
        </w:tc>
      </w:tr>
      <w:tr w:rsidR="003407CB" w14:paraId="2095B943"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7521C3C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2B61399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0.7513 </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4BEAE64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0D90901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10.52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7DF40CC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169B33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8.26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5B0E676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52A1B47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15.03 </w:t>
            </w:r>
          </w:p>
        </w:tc>
      </w:tr>
      <w:tr w:rsidR="003407CB" w14:paraId="7AA770BC"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2AF10C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7C74417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0.6830 </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13018CB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3D7F16F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6.83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4FA142E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78902F5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7.51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4E7623BB"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25459D1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17.08 </w:t>
            </w:r>
          </w:p>
        </w:tc>
      </w:tr>
      <w:tr w:rsidR="003407CB" w14:paraId="6BC4F57C"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049CDB2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10902E9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0.6209 </w:t>
            </w: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06579B3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69EA5057"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4.97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5D18FEC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22F23A8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6.83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41BD50D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16D45B7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3.10 </w:t>
            </w:r>
          </w:p>
        </w:tc>
      </w:tr>
      <w:tr w:rsidR="003407CB" w14:paraId="0C87264C"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tcPr>
          <w:p w14:paraId="7E0A846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NPV</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7486C5C6" w14:textId="77777777" w:rsidR="003407CB" w:rsidRDefault="003407CB">
            <w:pPr>
              <w:rPr>
                <w:rFonts w:ascii="Times New Roman Regular" w:hAnsi="Times New Roman Regular" w:cs="Times New Roman Regular"/>
                <w:b/>
                <w:bCs/>
                <w:color w:val="000000"/>
                <w:sz w:val="24"/>
                <w:szCs w:val="24"/>
              </w:rPr>
            </w:pP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715E3317" w14:textId="77777777" w:rsidR="003407CB" w:rsidRDefault="003407CB">
            <w:pPr>
              <w:rPr>
                <w:rFonts w:ascii="Times New Roman Regular" w:hAnsi="Times New Roman Regular" w:cs="Times New Roman Regular"/>
                <w:b/>
                <w:bCs/>
                <w:color w:val="000000"/>
                <w:sz w:val="24"/>
                <w:szCs w:val="24"/>
              </w:rPr>
            </w:pP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45DAE46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-8.68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797A192A" w14:textId="77777777" w:rsidR="003407CB" w:rsidRDefault="003407CB">
            <w:pPr>
              <w:rPr>
                <w:rFonts w:ascii="Times New Roman Regular" w:hAnsi="Times New Roman Regular" w:cs="Times New Roman Regular"/>
                <w:b/>
                <w:bCs/>
                <w:color w:val="000000"/>
                <w:sz w:val="24"/>
                <w:szCs w:val="24"/>
              </w:rPr>
            </w:pPr>
          </w:p>
        </w:tc>
        <w:tc>
          <w:tcPr>
            <w:tcW w:w="439" w:type="pct"/>
            <w:tcBorders>
              <w:top w:val="single" w:sz="4" w:space="0" w:color="000000"/>
              <w:left w:val="single" w:sz="4" w:space="0" w:color="000000"/>
              <w:bottom w:val="single" w:sz="4" w:space="0" w:color="000000"/>
              <w:right w:val="single" w:sz="4" w:space="0" w:color="000000"/>
            </w:tcBorders>
            <w:noWrap/>
            <w:vAlign w:val="center"/>
          </w:tcPr>
          <w:p w14:paraId="5C244BD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-8.30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777EE41A" w14:textId="77777777" w:rsidR="003407CB" w:rsidRDefault="003407CB">
            <w:pPr>
              <w:rPr>
                <w:rFonts w:ascii="Times New Roman Regular" w:hAnsi="Times New Roman Regular" w:cs="Times New Roman Regular"/>
                <w:b/>
                <w:bCs/>
                <w:color w:val="000000"/>
                <w:sz w:val="24"/>
                <w:szCs w:val="24"/>
              </w:rPr>
            </w:pPr>
          </w:p>
        </w:tc>
        <w:tc>
          <w:tcPr>
            <w:tcW w:w="440" w:type="pct"/>
            <w:tcBorders>
              <w:top w:val="single" w:sz="4" w:space="0" w:color="000000"/>
              <w:left w:val="single" w:sz="4" w:space="0" w:color="000000"/>
              <w:bottom w:val="single" w:sz="4" w:space="0" w:color="000000"/>
              <w:right w:val="single" w:sz="4" w:space="0" w:color="000000"/>
            </w:tcBorders>
            <w:noWrap/>
            <w:vAlign w:val="center"/>
          </w:tcPr>
          <w:p w14:paraId="5A01A797"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-1.98 </w:t>
            </w:r>
          </w:p>
        </w:tc>
      </w:tr>
    </w:tbl>
    <w:p w14:paraId="37D4EE4D" w14:textId="77777777" w:rsidR="003407CB" w:rsidRDefault="003407CB">
      <w:pPr>
        <w:spacing w:line="360" w:lineRule="auto"/>
        <w:jc w:val="both"/>
        <w:rPr>
          <w:rFonts w:ascii="Times New Roman Regular" w:hAnsi="Times New Roman Regular" w:cs="Times New Roman Regular"/>
          <w:sz w:val="24"/>
          <w:szCs w:val="24"/>
        </w:rPr>
      </w:pPr>
    </w:p>
    <w:tbl>
      <w:tblPr>
        <w:tblW w:w="5000" w:type="pct"/>
        <w:tblLook w:val="04A0" w:firstRow="1" w:lastRow="0" w:firstColumn="1" w:lastColumn="0" w:noHBand="0" w:noVBand="1"/>
      </w:tblPr>
      <w:tblGrid>
        <w:gridCol w:w="3700"/>
        <w:gridCol w:w="1530"/>
        <w:gridCol w:w="1530"/>
        <w:gridCol w:w="1536"/>
      </w:tblGrid>
      <w:tr w:rsidR="003407CB" w14:paraId="2E5C89B3"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tcPr>
          <w:p w14:paraId="7EC6DEC1"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Profitability Index</w:t>
            </w:r>
          </w:p>
        </w:tc>
      </w:tr>
      <w:tr w:rsidR="003407CB" w14:paraId="42A0D7C1"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tcPr>
          <w:p w14:paraId="2F1B6DF9" w14:textId="77777777" w:rsidR="003407CB" w:rsidRDefault="003407CB">
            <w:pPr>
              <w:rPr>
                <w:rFonts w:ascii="Times New Roman Regular" w:hAnsi="Times New Roman Regular" w:cs="Times New Roman Regular"/>
                <w:b/>
                <w:bCs/>
                <w:color w:val="000000"/>
                <w:sz w:val="24"/>
                <w:szCs w:val="24"/>
              </w:rPr>
            </w:pP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4A56AA0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79C657DC"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B</w:t>
            </w:r>
          </w:p>
        </w:tc>
        <w:tc>
          <w:tcPr>
            <w:tcW w:w="923" w:type="pct"/>
            <w:tcBorders>
              <w:top w:val="single" w:sz="4" w:space="0" w:color="000000"/>
              <w:left w:val="single" w:sz="4" w:space="0" w:color="000000"/>
              <w:bottom w:val="single" w:sz="4" w:space="0" w:color="000000"/>
              <w:right w:val="single" w:sz="4" w:space="0" w:color="000000"/>
            </w:tcBorders>
            <w:noWrap/>
            <w:vAlign w:val="center"/>
          </w:tcPr>
          <w:p w14:paraId="49259A64"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w:t>
            </w:r>
          </w:p>
        </w:tc>
      </w:tr>
      <w:tr w:rsidR="003407CB" w14:paraId="6A85356D"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tcPr>
          <w:p w14:paraId="2F81D065"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PV of cash flows</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22247EE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41.32 </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6D24E69D"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41.70 </w:t>
            </w:r>
          </w:p>
        </w:tc>
        <w:tc>
          <w:tcPr>
            <w:tcW w:w="923" w:type="pct"/>
            <w:tcBorders>
              <w:top w:val="single" w:sz="4" w:space="0" w:color="000000"/>
              <w:left w:val="single" w:sz="4" w:space="0" w:color="000000"/>
              <w:bottom w:val="single" w:sz="4" w:space="0" w:color="000000"/>
              <w:right w:val="single" w:sz="4" w:space="0" w:color="000000"/>
            </w:tcBorders>
            <w:noWrap/>
            <w:vAlign w:val="center"/>
          </w:tcPr>
          <w:p w14:paraId="3BB0038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 xml:space="preserve">48.02 </w:t>
            </w:r>
          </w:p>
        </w:tc>
      </w:tr>
      <w:tr w:rsidR="003407CB" w14:paraId="073CC9A9"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tcPr>
          <w:p w14:paraId="135F8472" w14:textId="77777777" w:rsidR="003407CB" w:rsidRDefault="00B01312">
            <w:pPr>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Investment</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5268C7D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18C6F59F"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923" w:type="pct"/>
            <w:tcBorders>
              <w:top w:val="single" w:sz="4" w:space="0" w:color="000000"/>
              <w:left w:val="single" w:sz="4" w:space="0" w:color="000000"/>
              <w:bottom w:val="single" w:sz="4" w:space="0" w:color="000000"/>
              <w:right w:val="single" w:sz="4" w:space="0" w:color="000000"/>
            </w:tcBorders>
            <w:noWrap/>
            <w:vAlign w:val="center"/>
          </w:tcPr>
          <w:p w14:paraId="23C993EE"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r>
      <w:tr w:rsidR="003407CB" w14:paraId="4D88FE4C"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tcPr>
          <w:p w14:paraId="421114B6"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PI</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24546C6D"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0.83 </w:t>
            </w:r>
          </w:p>
        </w:tc>
        <w:tc>
          <w:tcPr>
            <w:tcW w:w="922" w:type="pct"/>
            <w:tcBorders>
              <w:top w:val="single" w:sz="4" w:space="0" w:color="000000"/>
              <w:left w:val="single" w:sz="4" w:space="0" w:color="000000"/>
              <w:bottom w:val="single" w:sz="4" w:space="0" w:color="000000"/>
              <w:right w:val="single" w:sz="4" w:space="0" w:color="000000"/>
            </w:tcBorders>
            <w:noWrap/>
            <w:vAlign w:val="center"/>
          </w:tcPr>
          <w:p w14:paraId="55D05110"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0.83 </w:t>
            </w:r>
          </w:p>
        </w:tc>
        <w:tc>
          <w:tcPr>
            <w:tcW w:w="923" w:type="pct"/>
            <w:tcBorders>
              <w:top w:val="single" w:sz="4" w:space="0" w:color="000000"/>
              <w:left w:val="single" w:sz="4" w:space="0" w:color="000000"/>
              <w:bottom w:val="single" w:sz="4" w:space="0" w:color="000000"/>
              <w:right w:val="single" w:sz="4" w:space="0" w:color="000000"/>
            </w:tcBorders>
            <w:noWrap/>
            <w:vAlign w:val="center"/>
          </w:tcPr>
          <w:p w14:paraId="33C2A6E2"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 xml:space="preserve">0.96 </w:t>
            </w:r>
          </w:p>
        </w:tc>
      </w:tr>
    </w:tbl>
    <w:p w14:paraId="1B908D6B" w14:textId="77777777" w:rsidR="003407CB" w:rsidRDefault="003407CB">
      <w:pPr>
        <w:spacing w:line="360" w:lineRule="auto"/>
        <w:jc w:val="both"/>
        <w:rPr>
          <w:rFonts w:ascii="Times New Roman Regular" w:hAnsi="Times New Roman Regular" w:cs="Times New Roman Regular"/>
          <w:sz w:val="24"/>
          <w:szCs w:val="24"/>
        </w:rPr>
      </w:pPr>
    </w:p>
    <w:tbl>
      <w:tblPr>
        <w:tblW w:w="5000" w:type="pct"/>
        <w:tblLook w:val="04A0" w:firstRow="1" w:lastRow="0" w:firstColumn="1" w:lastColumn="0" w:noHBand="0" w:noVBand="1"/>
      </w:tblPr>
      <w:tblGrid>
        <w:gridCol w:w="1306"/>
        <w:gridCol w:w="2328"/>
        <w:gridCol w:w="2328"/>
        <w:gridCol w:w="2334"/>
      </w:tblGrid>
      <w:tr w:rsidR="003407CB" w14:paraId="47B9ACA0"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tcPr>
          <w:p w14:paraId="138DF340" w14:textId="77777777" w:rsidR="003407CB" w:rsidRDefault="00B01312">
            <w:pPr>
              <w:jc w:val="cente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Computation of Internal rate of return</w:t>
            </w:r>
          </w:p>
        </w:tc>
      </w:tr>
      <w:tr w:rsidR="003407CB" w14:paraId="5900499C"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39204FD1"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Projects</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27A2C8AA"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A</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2AF8DD07"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B</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28442305"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w:t>
            </w:r>
          </w:p>
        </w:tc>
      </w:tr>
      <w:tr w:rsidR="003407CB" w14:paraId="50CBD95F"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7B14DAD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Year</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6A1D070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76A49BE5"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23FD8B0B"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Cash Flows (£M)</w:t>
            </w:r>
          </w:p>
        </w:tc>
      </w:tr>
      <w:tr w:rsidR="003407CB" w14:paraId="1D155BE7"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375EEA1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0</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4F46CF91"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6A95C06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0E02D0E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-50</w:t>
            </w:r>
          </w:p>
        </w:tc>
      </w:tr>
      <w:tr w:rsidR="003407CB" w14:paraId="5BFA1B8A"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57737DE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04B2616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4A4FC61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716F757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r>
      <w:tr w:rsidR="003407CB" w14:paraId="06B3C89F"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24FF57B9"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72D51ED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12</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750CCE48"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0752989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r>
      <w:tr w:rsidR="003407CB" w14:paraId="6CF3A412"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3A243C5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3</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1B2C1234"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14</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04C30FA3"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4A3BA346"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20</w:t>
            </w:r>
          </w:p>
        </w:tc>
      </w:tr>
      <w:tr w:rsidR="003407CB" w14:paraId="1EC1B4F0"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59EA391A"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4</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099D905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10</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7CB5F5D2"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6BA4724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25</w:t>
            </w:r>
          </w:p>
        </w:tc>
      </w:tr>
      <w:tr w:rsidR="003407CB" w14:paraId="7F4E50FF"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08472140"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2BD3415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8</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627F273C"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11</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43110735" w14:textId="77777777" w:rsidR="003407CB" w:rsidRDefault="00B01312">
            <w:pPr>
              <w:jc w:val="right"/>
              <w:textAlignment w:val="center"/>
              <w:rPr>
                <w:rFonts w:ascii="Times New Roman Regular" w:hAnsi="Times New Roman Regular" w:cs="Times New Roman Regular"/>
                <w:color w:val="000000"/>
                <w:sz w:val="24"/>
                <w:szCs w:val="24"/>
              </w:rPr>
            </w:pPr>
            <w:r>
              <w:rPr>
                <w:rFonts w:ascii="Times New Roman Regular" w:eastAsia="SimSun" w:hAnsi="Times New Roman Regular" w:cs="Times New Roman Regular"/>
                <w:color w:val="000000"/>
                <w:sz w:val="24"/>
                <w:szCs w:val="24"/>
                <w:lang w:bidi="ar"/>
              </w:rPr>
              <w:t>5</w:t>
            </w:r>
          </w:p>
        </w:tc>
      </w:tr>
      <w:tr w:rsidR="003407CB" w14:paraId="16208DE2"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tcPr>
          <w:p w14:paraId="7A86312E" w14:textId="77777777" w:rsidR="003407CB" w:rsidRDefault="00B01312">
            <w:pPr>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IRR</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0919BD4E"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2.72%</w:t>
            </w:r>
          </w:p>
        </w:tc>
        <w:tc>
          <w:tcPr>
            <w:tcW w:w="1403" w:type="pct"/>
            <w:tcBorders>
              <w:top w:val="single" w:sz="4" w:space="0" w:color="000000"/>
              <w:left w:val="single" w:sz="4" w:space="0" w:color="000000"/>
              <w:bottom w:val="single" w:sz="4" w:space="0" w:color="000000"/>
              <w:right w:val="single" w:sz="4" w:space="0" w:color="000000"/>
            </w:tcBorders>
            <w:noWrap/>
            <w:vAlign w:val="center"/>
          </w:tcPr>
          <w:p w14:paraId="3B801C19"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3.26%</w:t>
            </w:r>
          </w:p>
        </w:tc>
        <w:tc>
          <w:tcPr>
            <w:tcW w:w="1405" w:type="pct"/>
            <w:tcBorders>
              <w:top w:val="single" w:sz="4" w:space="0" w:color="000000"/>
              <w:left w:val="single" w:sz="4" w:space="0" w:color="000000"/>
              <w:bottom w:val="single" w:sz="4" w:space="0" w:color="000000"/>
              <w:right w:val="single" w:sz="4" w:space="0" w:color="000000"/>
            </w:tcBorders>
            <w:noWrap/>
            <w:vAlign w:val="center"/>
          </w:tcPr>
          <w:p w14:paraId="3CC2BEDA" w14:textId="77777777" w:rsidR="003407CB" w:rsidRDefault="00B01312">
            <w:pPr>
              <w:jc w:val="right"/>
              <w:textAlignment w:val="center"/>
              <w:rPr>
                <w:rFonts w:ascii="Times New Roman Regular" w:hAnsi="Times New Roman Regular" w:cs="Times New Roman Regular"/>
                <w:b/>
                <w:bCs/>
                <w:color w:val="000000"/>
                <w:sz w:val="24"/>
                <w:szCs w:val="24"/>
              </w:rPr>
            </w:pPr>
            <w:r>
              <w:rPr>
                <w:rFonts w:ascii="Times New Roman Regular" w:eastAsia="SimSun" w:hAnsi="Times New Roman Regular" w:cs="Times New Roman Regular"/>
                <w:b/>
                <w:bCs/>
                <w:color w:val="000000"/>
                <w:sz w:val="24"/>
                <w:szCs w:val="24"/>
                <w:lang w:bidi="ar"/>
              </w:rPr>
              <w:t>8.59%</w:t>
            </w:r>
          </w:p>
        </w:tc>
      </w:tr>
    </w:tbl>
    <w:p w14:paraId="79EFE506" w14:textId="77777777" w:rsidR="003407CB" w:rsidRDefault="003407CB">
      <w:pPr>
        <w:spacing w:line="360" w:lineRule="auto"/>
        <w:jc w:val="both"/>
        <w:rPr>
          <w:rFonts w:ascii="Times New Roman Regular" w:hAnsi="Times New Roman Regular" w:cs="Times New Roman Regular"/>
          <w:sz w:val="24"/>
          <w:szCs w:val="24"/>
        </w:rPr>
      </w:pPr>
    </w:p>
    <w:sectPr w:rsidR="003407CB">
      <w:footerReference w:type="default" r:id="rId37"/>
      <w:pgSz w:w="11906" w:h="16838"/>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ujan Dhara" w:date="2026-04-03T12:56:00Z" w:initials="SD">
    <w:p w14:paraId="1CD55667" w14:textId="77777777" w:rsidR="003407CB" w:rsidRDefault="00F47D19">
      <w:pPr>
        <w:pStyle w:val="CommentText"/>
      </w:pPr>
      <w:r>
        <w:rPr>
          <w:rStyle w:val="CommentReference"/>
        </w:rPr>
        <w:annotationRef/>
      </w:r>
      <w:r w:rsidR="00B01312">
        <w:t>Current discussion is descriptive, but not fully analytical.</w:t>
      </w:r>
    </w:p>
    <w:p w14:paraId="2A6B74CA" w14:textId="77777777" w:rsidR="003407CB" w:rsidRDefault="00B01312">
      <w:pPr>
        <w:pStyle w:val="CommentText"/>
      </w:pPr>
      <w:r>
        <w:t>Add drivers like inflation, EV transition costs, R&amp;D</w:t>
      </w:r>
    </w:p>
    <w:p w14:paraId="3870E242" w14:textId="77777777" w:rsidR="003407CB" w:rsidRDefault="00B01312">
      <w:pPr>
        <w:pStyle w:val="CommentText"/>
      </w:pPr>
      <w:r>
        <w:t>External macro factors</w:t>
      </w:r>
    </w:p>
    <w:p w14:paraId="4A82F17F" w14:textId="77777777" w:rsidR="003407CB" w:rsidRDefault="00B01312">
      <w:pPr>
        <w:pStyle w:val="CommentText"/>
      </w:pPr>
      <w:r>
        <w:t>Industry competition impact.</w:t>
      </w:r>
    </w:p>
  </w:comment>
  <w:comment w:id="3" w:author="Sujan Dhara" w:date="2026-04-03T12:57:00Z" w:initials="SD">
    <w:p w14:paraId="6B2C5125" w14:textId="77777777" w:rsidR="003407CB" w:rsidRDefault="00F47D19">
      <w:pPr>
        <w:pStyle w:val="CommentText"/>
      </w:pPr>
      <w:r>
        <w:rPr>
          <w:rStyle w:val="CommentReference"/>
        </w:rPr>
        <w:annotationRef/>
      </w:r>
      <w:r w:rsidR="00B01312">
        <w:t>Need to strongly link the TQM to VW context.</w:t>
      </w:r>
    </w:p>
    <w:p w14:paraId="78E6DFB1" w14:textId="77777777" w:rsidR="003407CB" w:rsidRDefault="003407CB">
      <w:pPr>
        <w:pStyle w:val="CommentText"/>
      </w:pPr>
    </w:p>
    <w:p w14:paraId="514F7BDA" w14:textId="77777777" w:rsidR="003407CB" w:rsidRDefault="00B01312">
      <w:pPr>
        <w:pStyle w:val="CommentText"/>
      </w:pPr>
      <w:r>
        <w:t>Link to EV cost structure, battery investments and supply chain optimization.</w:t>
      </w:r>
    </w:p>
  </w:comment>
  <w:comment w:id="5" w:author="Sujan Dhara" w:date="2026-04-03T12:59:00Z" w:initials="SD">
    <w:p w14:paraId="78598B27" w14:textId="77777777" w:rsidR="003407CB" w:rsidRDefault="00F47D19">
      <w:pPr>
        <w:pStyle w:val="CommentText"/>
      </w:pPr>
      <w:r>
        <w:rPr>
          <w:rStyle w:val="CommentReference"/>
        </w:rPr>
        <w:annotationRef/>
      </w:r>
      <w:r w:rsidR="00B01312">
        <w:t>Limited critical evaluation of COC.</w:t>
      </w:r>
    </w:p>
    <w:p w14:paraId="0A94F083" w14:textId="77777777" w:rsidR="003407CB" w:rsidRDefault="00B01312">
      <w:pPr>
        <w:pStyle w:val="CommentText"/>
      </w:pPr>
      <w:r>
        <w:t>Please add, Is 59 days good or bad for automotive industry?</w:t>
      </w:r>
    </w:p>
    <w:p w14:paraId="20CB0E34" w14:textId="77777777" w:rsidR="003407CB" w:rsidRDefault="00B01312">
      <w:pPr>
        <w:pStyle w:val="CommentText"/>
      </w:pPr>
      <w:r>
        <w:t>Compared with capital intensive nature of EV sector.</w:t>
      </w:r>
    </w:p>
  </w:comment>
  <w:comment w:id="6" w:author="Sujan Dhara" w:date="2026-04-03T13:00:00Z" w:initials="SD">
    <w:p w14:paraId="4063FF5F" w14:textId="77777777" w:rsidR="003407CB" w:rsidRDefault="00F47D19">
      <w:pPr>
        <w:pStyle w:val="CommentText"/>
      </w:pPr>
      <w:r>
        <w:rPr>
          <w:rStyle w:val="CommentReference"/>
        </w:rPr>
        <w:annotationRef/>
      </w:r>
      <w:r w:rsidR="00B01312">
        <w:t>Add what VW should actually use internal funds? Debt? Equity?</w:t>
      </w:r>
    </w:p>
  </w:comment>
  <w:comment w:id="8" w:author="Sujan Dhara" w:date="2026-04-03T13:02:00Z" w:initials="SD">
    <w:p w14:paraId="1D7D1551" w14:textId="77777777" w:rsidR="003407CB" w:rsidRDefault="00F47D19">
      <w:pPr>
        <w:pStyle w:val="CommentText"/>
      </w:pPr>
      <w:r>
        <w:rPr>
          <w:rStyle w:val="CommentReference"/>
        </w:rPr>
        <w:annotationRef/>
      </w:r>
      <w:r w:rsidR="00B01312">
        <w:t>Lacks company-specific examples and too generic and theory-heavy.</w:t>
      </w:r>
    </w:p>
    <w:p w14:paraId="4FF73056" w14:textId="77777777" w:rsidR="003407CB" w:rsidRDefault="003407CB">
      <w:pPr>
        <w:pStyle w:val="CommentText"/>
      </w:pPr>
    </w:p>
    <w:p w14:paraId="72EC85B9" w14:textId="77777777" w:rsidR="003407CB" w:rsidRDefault="00B01312">
      <w:pPr>
        <w:pStyle w:val="CommentText"/>
      </w:pPr>
      <w:r>
        <w:t>Mention VW-specific possibilities:</w:t>
      </w:r>
    </w:p>
    <w:p w14:paraId="03053C2F" w14:textId="77777777" w:rsidR="003407CB" w:rsidRDefault="00B01312">
      <w:pPr>
        <w:pStyle w:val="CommentText"/>
      </w:pPr>
      <w:r>
        <w:tab/>
        <w:t>EV division expansion</w:t>
      </w:r>
    </w:p>
    <w:p w14:paraId="35604DBE" w14:textId="77777777" w:rsidR="003407CB" w:rsidRDefault="00B01312">
      <w:pPr>
        <w:pStyle w:val="CommentText"/>
      </w:pPr>
      <w:r>
        <w:tab/>
        <w:t>Battery partnerships.</w:t>
      </w:r>
    </w:p>
    <w:p w14:paraId="1660EC55" w14:textId="77777777" w:rsidR="003407CB" w:rsidRDefault="00B01312">
      <w:pPr>
        <w:pStyle w:val="CommentText"/>
      </w:pPr>
      <w:r>
        <w:tab/>
        <w:t>ICE vehicle divestment.</w:t>
      </w:r>
    </w:p>
    <w:p w14:paraId="70CB9404" w14:textId="77777777" w:rsidR="003407CB" w:rsidRDefault="003407CB">
      <w:pPr>
        <w:pStyle w:val="CommentText"/>
      </w:pPr>
    </w:p>
    <w:p w14:paraId="3CB6BE78" w14:textId="77777777" w:rsidR="003407CB" w:rsidRDefault="003407CB">
      <w:pPr>
        <w:pStyle w:val="CommentText"/>
      </w:pPr>
    </w:p>
    <w:p w14:paraId="5D71485F" w14:textId="77777777" w:rsidR="003407CB" w:rsidRDefault="003407CB">
      <w:pPr>
        <w:pStyle w:val="CommentText"/>
      </w:pPr>
    </w:p>
    <w:p w14:paraId="2F3C572E" w14:textId="77777777" w:rsidR="003407CB" w:rsidRDefault="00B01312">
      <w:pPr>
        <w:pStyle w:val="CommentText"/>
      </w:pPr>
      <w:r>
        <w:t>Weak financial as strategies need to be explained and supported with ratios.</w:t>
      </w:r>
    </w:p>
    <w:p w14:paraId="25287B97" w14:textId="77777777" w:rsidR="003407CB" w:rsidRDefault="00B01312">
      <w:pPr>
        <w:pStyle w:val="CommentText"/>
      </w:pPr>
      <w:r>
        <w:t>Link to failing ROE with required restructuring and declining interest cover with reduced debt.</w:t>
      </w:r>
    </w:p>
  </w:comment>
  <w:comment w:id="9" w:author="google1582520940" w:date="2026-04-03T16:38:00Z" w:initials="">
    <w:p w14:paraId="303DF52C" w14:textId="77777777" w:rsidR="003407CB" w:rsidRDefault="00F47D19">
      <w:pPr>
        <w:pStyle w:val="CommentText"/>
      </w:pPr>
      <w:r>
        <w:rPr>
          <w:rStyle w:val="CommentReference"/>
        </w:rPr>
        <w:annotationRef/>
      </w:r>
      <w:r w:rsidR="00B01312">
        <w:t>Asked only for alternatives in general</w:t>
      </w:r>
    </w:p>
  </w:comment>
  <w:comment w:id="10" w:author="Sujan Dhara" w:date="2026-04-03T13:05:00Z" w:initials="SD">
    <w:p w14:paraId="3BDA89DA" w14:textId="77777777" w:rsidR="003407CB" w:rsidRDefault="00F47D19">
      <w:pPr>
        <w:pStyle w:val="CommentText"/>
      </w:pPr>
      <w:r>
        <w:rPr>
          <w:rStyle w:val="CommentReference"/>
        </w:rPr>
        <w:annotationRef/>
      </w:r>
      <w:r w:rsidR="00B01312">
        <w:t xml:space="preserve">Link to Dieselgate legacy (https://theicct.org/ten-years-after-dieselgate-transportations-unfinished-business-sept25/) and EV sustainability commitments </w:t>
      </w:r>
    </w:p>
  </w:comment>
  <w:comment w:id="12" w:author="Sujan Dhara" w:date="2026-04-03T13:07:00Z" w:initials="SD">
    <w:p w14:paraId="78738C40" w14:textId="77777777" w:rsidR="003407CB" w:rsidRDefault="00F47D19">
      <w:pPr>
        <w:pStyle w:val="CommentText"/>
      </w:pPr>
      <w:r>
        <w:rPr>
          <w:rStyle w:val="CommentReference"/>
        </w:rPr>
        <w:annotationRef/>
      </w:r>
      <w:r w:rsidR="00B01312">
        <w:t>You recommend project C despite negative NPV</w:t>
      </w:r>
    </w:p>
    <w:p w14:paraId="2272F3A6" w14:textId="77777777" w:rsidR="003407CB" w:rsidRDefault="003407CB">
      <w:pPr>
        <w:pStyle w:val="CommentText"/>
      </w:pPr>
    </w:p>
    <w:p w14:paraId="30565995" w14:textId="77777777" w:rsidR="003407CB" w:rsidRDefault="00B01312">
      <w:pPr>
        <w:pStyle w:val="CommentText"/>
      </w:pPr>
      <w:r>
        <w:t>Please state all projects destroy value financially, then justify strategic reasons (EV transition, market positioning)</w:t>
      </w:r>
    </w:p>
    <w:p w14:paraId="4864EA12" w14:textId="77777777" w:rsidR="003407CB" w:rsidRDefault="003407CB">
      <w:pPr>
        <w:pStyle w:val="CommentText"/>
      </w:pPr>
    </w:p>
    <w:p w14:paraId="6038BF6D" w14:textId="77777777" w:rsidR="003407CB" w:rsidRDefault="00B01312">
      <w:pPr>
        <w:pStyle w:val="CommentText"/>
      </w:pPr>
      <w:r>
        <w:t xml:space="preserve">You say IRR is viable, but it is below 10% discount rate. Clarify: IRR &lt; discount rate </w:t>
      </w:r>
      <w:r>
        <w:rPr>
          <w:rFonts w:ascii="Times New Roman" w:hAnsi="Times New Roman" w:cs="Times New Roman"/>
        </w:rPr>
        <w:t>→</w:t>
      </w:r>
      <w:r>
        <w:t xml:space="preserve"> NOT financially viable</w:t>
      </w:r>
    </w:p>
    <w:p w14:paraId="3E704B45" w14:textId="77777777" w:rsidR="003407CB" w:rsidRDefault="003407CB">
      <w:pPr>
        <w:pStyle w:val="CommentText"/>
      </w:pPr>
    </w:p>
    <w:p w14:paraId="47205F20" w14:textId="77777777" w:rsidR="003407CB" w:rsidRDefault="003407CB">
      <w:pPr>
        <w:pStyle w:val="CommentText"/>
      </w:pPr>
    </w:p>
    <w:p w14:paraId="7A901AAF" w14:textId="77777777" w:rsidR="003407CB" w:rsidRDefault="00B01312">
      <w:pPr>
        <w:pStyle w:val="CommentText"/>
      </w:pPr>
      <w:r>
        <w:t xml:space="preserve">Capital rationing justification is brief. Show: Why </w:t>
      </w:r>
    </w:p>
    <w:p w14:paraId="75124D99" w14:textId="77777777" w:rsidR="003407CB" w:rsidRDefault="00B01312">
      <w:pPr>
        <w:pStyle w:val="CommentText"/>
      </w:pPr>
      <w:r>
        <w:t>B + C &gt; A + B</w:t>
      </w:r>
    </w:p>
    <w:p w14:paraId="16D7BD19" w14:textId="77777777" w:rsidR="003407CB" w:rsidRDefault="00B01312">
      <w:pPr>
        <w:pStyle w:val="CommentText"/>
      </w:pPr>
      <w:r>
        <w:t>Compact total NPV or strategic benefit.</w:t>
      </w:r>
    </w:p>
  </w:comment>
  <w:comment w:id="13" w:author="google1582520940" w:date="2026-04-03T16:39:00Z" w:initials="">
    <w:p w14:paraId="33FD46EE" w14:textId="77777777" w:rsidR="003407CB" w:rsidRDefault="00F47D19">
      <w:pPr>
        <w:pStyle w:val="CommentText"/>
      </w:pPr>
      <w:r>
        <w:rPr>
          <w:rStyle w:val="CommentReference"/>
        </w:rPr>
        <w:annotationRef/>
      </w:r>
      <w:r w:rsidR="00B01312">
        <w:t>Already given justification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A82F17F" w15:done="0"/>
  <w15:commentEx w15:paraId="514F7BDA" w15:done="0"/>
  <w15:commentEx w15:paraId="20CB0E34" w15:done="0"/>
  <w15:commentEx w15:paraId="4063FF5F" w15:done="0"/>
  <w15:commentEx w15:paraId="25287B97" w15:done="0"/>
  <w15:commentEx w15:paraId="303DF52C" w15:paraIdParent="25287B97" w15:done="0"/>
  <w15:commentEx w15:paraId="3BDA89DA" w15:done="0"/>
  <w15:commentEx w15:paraId="16D7BD19" w15:done="0"/>
  <w15:commentEx w15:paraId="33FD46EE" w15:paraIdParent="16D7BD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82F17F" w16cid:durableId="4A82F17F"/>
  <w16cid:commentId w16cid:paraId="514F7BDA" w16cid:durableId="514F7BDA"/>
  <w16cid:commentId w16cid:paraId="20CB0E34" w16cid:durableId="20CB0E34"/>
  <w16cid:commentId w16cid:paraId="4063FF5F" w16cid:durableId="4063FF5F"/>
  <w16cid:commentId w16cid:paraId="25287B97" w16cid:durableId="25287B97"/>
  <w16cid:commentId w16cid:paraId="303DF52C" w16cid:durableId="303DF52C"/>
  <w16cid:commentId w16cid:paraId="3BDA89DA" w16cid:durableId="3BDA89DA"/>
  <w16cid:commentId w16cid:paraId="16D7BD19" w16cid:durableId="16D7BD19"/>
  <w16cid:commentId w16cid:paraId="33FD46EE" w16cid:durableId="33FD46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B11E7" w14:textId="77777777" w:rsidR="00C44798" w:rsidRDefault="00C44798">
      <w:r>
        <w:separator/>
      </w:r>
    </w:p>
  </w:endnote>
  <w:endnote w:type="continuationSeparator" w:id="0">
    <w:p w14:paraId="06EAFDC9" w14:textId="77777777" w:rsidR="00C44798" w:rsidRDefault="00C44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MT">
    <w:altName w:val="Arial"/>
    <w:charset w:val="01"/>
    <w:family w:val="swiss"/>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3566" w14:textId="77777777" w:rsidR="003407CB" w:rsidRDefault="00B01312">
    <w:pPr>
      <w:pStyle w:val="Footer"/>
    </w:pPr>
    <w:r>
      <w:rPr>
        <w:noProof/>
      </w:rPr>
      <mc:AlternateContent>
        <mc:Choice Requires="wps">
          <w:drawing>
            <wp:anchor distT="0" distB="0" distL="114300" distR="114300" simplePos="0" relativeHeight="251659264" behindDoc="0" locked="0" layoutInCell="1" allowOverlap="1" wp14:anchorId="34D39BF8" wp14:editId="35133616">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DFF36D" w14:textId="77777777" w:rsidR="003407CB" w:rsidRDefault="00B01312">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D39BF8"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CDFF36D" w14:textId="77777777" w:rsidR="003407CB" w:rsidRDefault="00B01312">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52124" w14:textId="77777777" w:rsidR="00C44798" w:rsidRDefault="00C44798">
      <w:r>
        <w:separator/>
      </w:r>
    </w:p>
  </w:footnote>
  <w:footnote w:type="continuationSeparator" w:id="0">
    <w:p w14:paraId="2F1A2D7F" w14:textId="77777777" w:rsidR="00C44798" w:rsidRDefault="00C44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E151F"/>
    <w:multiLevelType w:val="singleLevel"/>
    <w:tmpl w:val="BD5E151F"/>
    <w:lvl w:ilvl="0">
      <w:start w:val="1"/>
      <w:numFmt w:val="decimal"/>
      <w:suff w:val="space"/>
      <w:lvlText w:val="%1."/>
      <w:lvlJc w:val="left"/>
    </w:lvl>
  </w:abstractNum>
  <w:abstractNum w:abstractNumId="1" w15:restartNumberingAfterBreak="0">
    <w:nsid w:val="FE3E6536"/>
    <w:multiLevelType w:val="singleLevel"/>
    <w:tmpl w:val="FE3E6536"/>
    <w:lvl w:ilvl="0">
      <w:start w:val="1"/>
      <w:numFmt w:val="decimal"/>
      <w:suff w:val="space"/>
      <w:lvlText w:val="%1."/>
      <w:lvlJc w:val="left"/>
    </w:lvl>
  </w:abstractNum>
  <w:num w:numId="1" w16cid:durableId="201211096">
    <w:abstractNumId w:val="0"/>
  </w:num>
  <w:num w:numId="2" w16cid:durableId="1627114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ujan Dhara">
    <w15:presenceInfo w15:providerId="Windows Live" w15:userId="522ef70b1f1a3e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VerticalSpacing w:val="156"/>
  <w:noPunctuationKerning/>
  <w:characterSpacingControl w:val="doNotCompress"/>
  <w:savePreviewPicture/>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E9DE46A3"/>
    <w:rsid w:val="002307C6"/>
    <w:rsid w:val="002854EE"/>
    <w:rsid w:val="003407CB"/>
    <w:rsid w:val="00406CC2"/>
    <w:rsid w:val="009C2459"/>
    <w:rsid w:val="00A76B39"/>
    <w:rsid w:val="00B01312"/>
    <w:rsid w:val="00BB494A"/>
    <w:rsid w:val="00C44798"/>
    <w:rsid w:val="00D26EF9"/>
    <w:rsid w:val="00E4020D"/>
    <w:rsid w:val="00EE693A"/>
    <w:rsid w:val="00F47D19"/>
    <w:rsid w:val="04FF9BD6"/>
    <w:rsid w:val="0B6EE535"/>
    <w:rsid w:val="0F7F351D"/>
    <w:rsid w:val="0FEF7B07"/>
    <w:rsid w:val="13AF392E"/>
    <w:rsid w:val="15E31723"/>
    <w:rsid w:val="177DD7ED"/>
    <w:rsid w:val="17CE4856"/>
    <w:rsid w:val="17EF874E"/>
    <w:rsid w:val="19376DD6"/>
    <w:rsid w:val="1BEDA427"/>
    <w:rsid w:val="1D7B1D43"/>
    <w:rsid w:val="1D7CC026"/>
    <w:rsid w:val="1DB9ABE0"/>
    <w:rsid w:val="1DDFA678"/>
    <w:rsid w:val="1DFF0B80"/>
    <w:rsid w:val="1E3D5390"/>
    <w:rsid w:val="1EC31A5E"/>
    <w:rsid w:val="1FFE911D"/>
    <w:rsid w:val="24BFF93D"/>
    <w:rsid w:val="26BDAF55"/>
    <w:rsid w:val="27BF56A0"/>
    <w:rsid w:val="2CF919D2"/>
    <w:rsid w:val="2DB7E985"/>
    <w:rsid w:val="2EBF1572"/>
    <w:rsid w:val="2EFEEF47"/>
    <w:rsid w:val="2F338704"/>
    <w:rsid w:val="2F47CF14"/>
    <w:rsid w:val="2F767207"/>
    <w:rsid w:val="2F7E0F09"/>
    <w:rsid w:val="2FCDBAF8"/>
    <w:rsid w:val="2FF7AF98"/>
    <w:rsid w:val="31FD7849"/>
    <w:rsid w:val="333FB6DF"/>
    <w:rsid w:val="33F590B8"/>
    <w:rsid w:val="36C6C23D"/>
    <w:rsid w:val="36F51C6C"/>
    <w:rsid w:val="37654833"/>
    <w:rsid w:val="379F0999"/>
    <w:rsid w:val="37BB9FC8"/>
    <w:rsid w:val="37BDB615"/>
    <w:rsid w:val="37BF1C61"/>
    <w:rsid w:val="37F5C998"/>
    <w:rsid w:val="37F66F7C"/>
    <w:rsid w:val="37F76E8A"/>
    <w:rsid w:val="37FF4099"/>
    <w:rsid w:val="38AF5597"/>
    <w:rsid w:val="39E9DF1A"/>
    <w:rsid w:val="39F72091"/>
    <w:rsid w:val="3A7E439E"/>
    <w:rsid w:val="3B69E9E6"/>
    <w:rsid w:val="3B9C866C"/>
    <w:rsid w:val="3BEFCB6C"/>
    <w:rsid w:val="3BF77D31"/>
    <w:rsid w:val="3BF9845E"/>
    <w:rsid w:val="3C76181D"/>
    <w:rsid w:val="3CB77FFB"/>
    <w:rsid w:val="3DDF66F0"/>
    <w:rsid w:val="3DF2E308"/>
    <w:rsid w:val="3DF39AC2"/>
    <w:rsid w:val="3DFB5A38"/>
    <w:rsid w:val="3DFCDD00"/>
    <w:rsid w:val="3EAF09F7"/>
    <w:rsid w:val="3EBF3A4F"/>
    <w:rsid w:val="3EBF5CFA"/>
    <w:rsid w:val="3EDD1E9E"/>
    <w:rsid w:val="3EE1FDEE"/>
    <w:rsid w:val="3F7DD987"/>
    <w:rsid w:val="3F7F07A6"/>
    <w:rsid w:val="3F974135"/>
    <w:rsid w:val="3F9FEBC2"/>
    <w:rsid w:val="3FAF1B2D"/>
    <w:rsid w:val="3FD49875"/>
    <w:rsid w:val="3FDD2869"/>
    <w:rsid w:val="3FDF4072"/>
    <w:rsid w:val="3FEFAD76"/>
    <w:rsid w:val="3FF37B23"/>
    <w:rsid w:val="3FF7AA0C"/>
    <w:rsid w:val="3FF7BA2E"/>
    <w:rsid w:val="3FFD73FE"/>
    <w:rsid w:val="425A7D5B"/>
    <w:rsid w:val="4BBFCD1C"/>
    <w:rsid w:val="4BE9827E"/>
    <w:rsid w:val="4DDFA0B3"/>
    <w:rsid w:val="4EFFFE6B"/>
    <w:rsid w:val="4F373D48"/>
    <w:rsid w:val="4F3FB7C2"/>
    <w:rsid w:val="4F5A0402"/>
    <w:rsid w:val="4F7B5C4F"/>
    <w:rsid w:val="4FEB2B80"/>
    <w:rsid w:val="4FF73506"/>
    <w:rsid w:val="51FF0131"/>
    <w:rsid w:val="53FD6D1C"/>
    <w:rsid w:val="54AE8AD7"/>
    <w:rsid w:val="551E7099"/>
    <w:rsid w:val="557F2AF1"/>
    <w:rsid w:val="55FDDD2B"/>
    <w:rsid w:val="5779D331"/>
    <w:rsid w:val="57FBB643"/>
    <w:rsid w:val="57FEBCA1"/>
    <w:rsid w:val="57FFB6B9"/>
    <w:rsid w:val="58BE6A08"/>
    <w:rsid w:val="58F72D0A"/>
    <w:rsid w:val="58FB450D"/>
    <w:rsid w:val="59B62132"/>
    <w:rsid w:val="59EB4876"/>
    <w:rsid w:val="59EF8820"/>
    <w:rsid w:val="59FF6BC9"/>
    <w:rsid w:val="5A3E435C"/>
    <w:rsid w:val="5AB7FFA7"/>
    <w:rsid w:val="5ABBBB88"/>
    <w:rsid w:val="5B87BFE9"/>
    <w:rsid w:val="5BD54846"/>
    <w:rsid w:val="5BF5FFBF"/>
    <w:rsid w:val="5BF9E712"/>
    <w:rsid w:val="5D2D0AB6"/>
    <w:rsid w:val="5D2E69AA"/>
    <w:rsid w:val="5D5F9F99"/>
    <w:rsid w:val="5DB7A652"/>
    <w:rsid w:val="5DD78D85"/>
    <w:rsid w:val="5DF71159"/>
    <w:rsid w:val="5DFF8756"/>
    <w:rsid w:val="5E6BA8FC"/>
    <w:rsid w:val="5E90CF7E"/>
    <w:rsid w:val="5EDF1D98"/>
    <w:rsid w:val="5EF61F04"/>
    <w:rsid w:val="5EFC00F9"/>
    <w:rsid w:val="5F09EC00"/>
    <w:rsid w:val="5F2F644A"/>
    <w:rsid w:val="5F47E1CB"/>
    <w:rsid w:val="5FB10FF7"/>
    <w:rsid w:val="5FB2D853"/>
    <w:rsid w:val="5FBFB726"/>
    <w:rsid w:val="5FDB977F"/>
    <w:rsid w:val="5FF73FE7"/>
    <w:rsid w:val="5FFE2F43"/>
    <w:rsid w:val="5FFE5192"/>
    <w:rsid w:val="5FFE8690"/>
    <w:rsid w:val="5FFF7FA8"/>
    <w:rsid w:val="61D50CE6"/>
    <w:rsid w:val="62BBD91E"/>
    <w:rsid w:val="62DECD48"/>
    <w:rsid w:val="63657A1A"/>
    <w:rsid w:val="64FEDF22"/>
    <w:rsid w:val="65B43244"/>
    <w:rsid w:val="65D72C39"/>
    <w:rsid w:val="65DC0542"/>
    <w:rsid w:val="65F71850"/>
    <w:rsid w:val="6696EC11"/>
    <w:rsid w:val="677E23E7"/>
    <w:rsid w:val="67CD467A"/>
    <w:rsid w:val="67FEEAC8"/>
    <w:rsid w:val="69D760F4"/>
    <w:rsid w:val="6AE7D53E"/>
    <w:rsid w:val="6AFF2581"/>
    <w:rsid w:val="6BB65868"/>
    <w:rsid w:val="6BF64DD2"/>
    <w:rsid w:val="6BF6E679"/>
    <w:rsid w:val="6BFE20DB"/>
    <w:rsid w:val="6CB9BA03"/>
    <w:rsid w:val="6D1FBEEE"/>
    <w:rsid w:val="6D42B0FF"/>
    <w:rsid w:val="6D7AEBAC"/>
    <w:rsid w:val="6D7B4054"/>
    <w:rsid w:val="6DCFFCBB"/>
    <w:rsid w:val="6DD14BFD"/>
    <w:rsid w:val="6DFD755A"/>
    <w:rsid w:val="6E399B0C"/>
    <w:rsid w:val="6E7FC7B5"/>
    <w:rsid w:val="6ECF8B15"/>
    <w:rsid w:val="6ED7C6B6"/>
    <w:rsid w:val="6ED7D462"/>
    <w:rsid w:val="6EDFB402"/>
    <w:rsid w:val="6EEFC78E"/>
    <w:rsid w:val="6EFF43D5"/>
    <w:rsid w:val="6F3FBBC3"/>
    <w:rsid w:val="6F561AFA"/>
    <w:rsid w:val="6F7FF353"/>
    <w:rsid w:val="6FB13D7A"/>
    <w:rsid w:val="6FBD2252"/>
    <w:rsid w:val="6FBEC57F"/>
    <w:rsid w:val="6FF7279B"/>
    <w:rsid w:val="6FFBC22E"/>
    <w:rsid w:val="6FFDF1D5"/>
    <w:rsid w:val="6FFF2DD2"/>
    <w:rsid w:val="6FFF51F6"/>
    <w:rsid w:val="6FFFC300"/>
    <w:rsid w:val="715DA765"/>
    <w:rsid w:val="717F979E"/>
    <w:rsid w:val="719FD73F"/>
    <w:rsid w:val="71FB2BBF"/>
    <w:rsid w:val="71FDEA93"/>
    <w:rsid w:val="71FE7236"/>
    <w:rsid w:val="725BCDD3"/>
    <w:rsid w:val="72AED4A7"/>
    <w:rsid w:val="735B0B88"/>
    <w:rsid w:val="737FA4AC"/>
    <w:rsid w:val="73B924BE"/>
    <w:rsid w:val="73F3B6E8"/>
    <w:rsid w:val="73F9F127"/>
    <w:rsid w:val="7476ED39"/>
    <w:rsid w:val="747F4068"/>
    <w:rsid w:val="74FE56AF"/>
    <w:rsid w:val="75374DC7"/>
    <w:rsid w:val="75995549"/>
    <w:rsid w:val="75BF69BE"/>
    <w:rsid w:val="75F42916"/>
    <w:rsid w:val="75FDE017"/>
    <w:rsid w:val="76DD88BA"/>
    <w:rsid w:val="76DFC023"/>
    <w:rsid w:val="772DC702"/>
    <w:rsid w:val="772FEB89"/>
    <w:rsid w:val="77492D46"/>
    <w:rsid w:val="776702B0"/>
    <w:rsid w:val="776BB886"/>
    <w:rsid w:val="77773C30"/>
    <w:rsid w:val="777ED123"/>
    <w:rsid w:val="77B7CB4C"/>
    <w:rsid w:val="77C753CE"/>
    <w:rsid w:val="77CF3AB9"/>
    <w:rsid w:val="77DC3811"/>
    <w:rsid w:val="77EE72C5"/>
    <w:rsid w:val="77EE8AE2"/>
    <w:rsid w:val="77EFD8B9"/>
    <w:rsid w:val="77FF884F"/>
    <w:rsid w:val="787B3D0C"/>
    <w:rsid w:val="787FE957"/>
    <w:rsid w:val="78AD3F3E"/>
    <w:rsid w:val="79FD64FD"/>
    <w:rsid w:val="7A37DE8E"/>
    <w:rsid w:val="7A5B4B6B"/>
    <w:rsid w:val="7A6F5268"/>
    <w:rsid w:val="7A7B204B"/>
    <w:rsid w:val="7ABF0517"/>
    <w:rsid w:val="7ABF37AC"/>
    <w:rsid w:val="7B1F5E69"/>
    <w:rsid w:val="7B30B8DC"/>
    <w:rsid w:val="7B5D7A6E"/>
    <w:rsid w:val="7B5F90FA"/>
    <w:rsid w:val="7B5FCA8A"/>
    <w:rsid w:val="7BB5FADF"/>
    <w:rsid w:val="7BBB5A16"/>
    <w:rsid w:val="7BBEDB5A"/>
    <w:rsid w:val="7BDF6C11"/>
    <w:rsid w:val="7BDFFEFC"/>
    <w:rsid w:val="7BF66DA8"/>
    <w:rsid w:val="7BFB9F54"/>
    <w:rsid w:val="7BFFE51B"/>
    <w:rsid w:val="7C03A68C"/>
    <w:rsid w:val="7C76AE54"/>
    <w:rsid w:val="7CCE8DC0"/>
    <w:rsid w:val="7CEEEA38"/>
    <w:rsid w:val="7CFF09BD"/>
    <w:rsid w:val="7D14D0B4"/>
    <w:rsid w:val="7D37A58E"/>
    <w:rsid w:val="7D4B0D40"/>
    <w:rsid w:val="7D6BEA78"/>
    <w:rsid w:val="7D6D09C8"/>
    <w:rsid w:val="7D76978F"/>
    <w:rsid w:val="7D99684C"/>
    <w:rsid w:val="7D9D7399"/>
    <w:rsid w:val="7DBF4D65"/>
    <w:rsid w:val="7DBFAA48"/>
    <w:rsid w:val="7DEF968A"/>
    <w:rsid w:val="7DF490F2"/>
    <w:rsid w:val="7DFE70AF"/>
    <w:rsid w:val="7DFE7FC7"/>
    <w:rsid w:val="7DFF4A51"/>
    <w:rsid w:val="7E3F687A"/>
    <w:rsid w:val="7E6F4325"/>
    <w:rsid w:val="7EBB1775"/>
    <w:rsid w:val="7EBB1F51"/>
    <w:rsid w:val="7ECF809B"/>
    <w:rsid w:val="7EDF1656"/>
    <w:rsid w:val="7EDFBB4F"/>
    <w:rsid w:val="7EE14EC1"/>
    <w:rsid w:val="7EF46936"/>
    <w:rsid w:val="7EF735D9"/>
    <w:rsid w:val="7EFB4092"/>
    <w:rsid w:val="7F2C57C1"/>
    <w:rsid w:val="7F3BE26D"/>
    <w:rsid w:val="7F3D039A"/>
    <w:rsid w:val="7F3F9EE6"/>
    <w:rsid w:val="7F5F4B05"/>
    <w:rsid w:val="7F69BFF8"/>
    <w:rsid w:val="7F6FF71E"/>
    <w:rsid w:val="7F773B7F"/>
    <w:rsid w:val="7F7EF244"/>
    <w:rsid w:val="7F7F5BA7"/>
    <w:rsid w:val="7F7F895C"/>
    <w:rsid w:val="7F8F74F1"/>
    <w:rsid w:val="7F9BE191"/>
    <w:rsid w:val="7F9F5835"/>
    <w:rsid w:val="7FAAC3B8"/>
    <w:rsid w:val="7FADE71E"/>
    <w:rsid w:val="7FAF6B01"/>
    <w:rsid w:val="7FAFA2C5"/>
    <w:rsid w:val="7FB389D6"/>
    <w:rsid w:val="7FBBECCC"/>
    <w:rsid w:val="7FBE8E60"/>
    <w:rsid w:val="7FBF8C88"/>
    <w:rsid w:val="7FC44F5B"/>
    <w:rsid w:val="7FD5C26B"/>
    <w:rsid w:val="7FD64D4E"/>
    <w:rsid w:val="7FD6C529"/>
    <w:rsid w:val="7FD7BAD1"/>
    <w:rsid w:val="7FD95345"/>
    <w:rsid w:val="7FDB55E0"/>
    <w:rsid w:val="7FDB6164"/>
    <w:rsid w:val="7FDEBD4A"/>
    <w:rsid w:val="7FDEE376"/>
    <w:rsid w:val="7FDFF5B1"/>
    <w:rsid w:val="7FECE3FE"/>
    <w:rsid w:val="7FEEBDE2"/>
    <w:rsid w:val="7FEF2A29"/>
    <w:rsid w:val="7FEF3274"/>
    <w:rsid w:val="7FEF7F0D"/>
    <w:rsid w:val="7FEF927F"/>
    <w:rsid w:val="7FF4FA8D"/>
    <w:rsid w:val="7FF6B8CC"/>
    <w:rsid w:val="7FFB2505"/>
    <w:rsid w:val="7FFD5FA5"/>
    <w:rsid w:val="7FFDB295"/>
    <w:rsid w:val="7FFECFFD"/>
    <w:rsid w:val="7FFF3438"/>
    <w:rsid w:val="7FFF470E"/>
    <w:rsid w:val="7FFF80B3"/>
    <w:rsid w:val="7FFFF3E5"/>
    <w:rsid w:val="87AF557D"/>
    <w:rsid w:val="88FB7A17"/>
    <w:rsid w:val="8B7E4680"/>
    <w:rsid w:val="8F3F8E65"/>
    <w:rsid w:val="8FFB778C"/>
    <w:rsid w:val="95FDA890"/>
    <w:rsid w:val="977E8C99"/>
    <w:rsid w:val="9B4FB8F4"/>
    <w:rsid w:val="9CEAAE6D"/>
    <w:rsid w:val="9D5FFCDF"/>
    <w:rsid w:val="9DD30B11"/>
    <w:rsid w:val="9DFF330D"/>
    <w:rsid w:val="9F7B3B10"/>
    <w:rsid w:val="9F9CB6A3"/>
    <w:rsid w:val="9FBFAACD"/>
    <w:rsid w:val="9FFB19C0"/>
    <w:rsid w:val="A2DF5001"/>
    <w:rsid w:val="A373120B"/>
    <w:rsid w:val="A61F1A1A"/>
    <w:rsid w:val="A67C8FA9"/>
    <w:rsid w:val="A7F2C703"/>
    <w:rsid w:val="A7F7536B"/>
    <w:rsid w:val="A7FDDE74"/>
    <w:rsid w:val="AABECD0B"/>
    <w:rsid w:val="AAFAAE14"/>
    <w:rsid w:val="AB32D48D"/>
    <w:rsid w:val="ABDB3D59"/>
    <w:rsid w:val="ABFF4971"/>
    <w:rsid w:val="AC5D4EBA"/>
    <w:rsid w:val="ADEEEC93"/>
    <w:rsid w:val="ADEF96C6"/>
    <w:rsid w:val="ADFB9179"/>
    <w:rsid w:val="AE9F5BF2"/>
    <w:rsid w:val="AEF7371A"/>
    <w:rsid w:val="AF5E4472"/>
    <w:rsid w:val="AFEC5A97"/>
    <w:rsid w:val="AFEF5D1F"/>
    <w:rsid w:val="AFF2534F"/>
    <w:rsid w:val="B2DFF2FC"/>
    <w:rsid w:val="B3BFAB90"/>
    <w:rsid w:val="B5BEF389"/>
    <w:rsid w:val="B5F35948"/>
    <w:rsid w:val="B6EF25C4"/>
    <w:rsid w:val="B6FD32A8"/>
    <w:rsid w:val="B74E3015"/>
    <w:rsid w:val="B7BFA1B1"/>
    <w:rsid w:val="B7E86033"/>
    <w:rsid w:val="B7FBB1F6"/>
    <w:rsid w:val="B7FC3510"/>
    <w:rsid w:val="B7FF5533"/>
    <w:rsid w:val="B8DFE5F2"/>
    <w:rsid w:val="B9E2A033"/>
    <w:rsid w:val="BB2F9EC9"/>
    <w:rsid w:val="BBE19FDA"/>
    <w:rsid w:val="BC2B9E29"/>
    <w:rsid w:val="BCEB189C"/>
    <w:rsid w:val="BDA8653D"/>
    <w:rsid w:val="BDB589CB"/>
    <w:rsid w:val="BDBD6ED5"/>
    <w:rsid w:val="BDEF50BD"/>
    <w:rsid w:val="BDF3615B"/>
    <w:rsid w:val="BDFB09ED"/>
    <w:rsid w:val="BDFD39DC"/>
    <w:rsid w:val="BE5D7A3E"/>
    <w:rsid w:val="BE7FCAC2"/>
    <w:rsid w:val="BEA7DE8F"/>
    <w:rsid w:val="BF37CE28"/>
    <w:rsid w:val="BF673E28"/>
    <w:rsid w:val="BF941FD8"/>
    <w:rsid w:val="BFABD4B5"/>
    <w:rsid w:val="BFBF72A8"/>
    <w:rsid w:val="BFDD4D4F"/>
    <w:rsid w:val="BFDFAD1A"/>
    <w:rsid w:val="BFDFB841"/>
    <w:rsid w:val="BFEDAA0B"/>
    <w:rsid w:val="BFEF4E7C"/>
    <w:rsid w:val="BFF98574"/>
    <w:rsid w:val="BFFDE142"/>
    <w:rsid w:val="BFFE845B"/>
    <w:rsid w:val="BFFF7A6D"/>
    <w:rsid w:val="BFFFBF2F"/>
    <w:rsid w:val="C70EA0EA"/>
    <w:rsid w:val="C9AFB035"/>
    <w:rsid w:val="CAEDAC19"/>
    <w:rsid w:val="CBB7FEE1"/>
    <w:rsid w:val="CBBA95A2"/>
    <w:rsid w:val="CBFBCB0D"/>
    <w:rsid w:val="CE772F62"/>
    <w:rsid w:val="CED3BED2"/>
    <w:rsid w:val="CEEF8196"/>
    <w:rsid w:val="CFB345AA"/>
    <w:rsid w:val="CFBFDF57"/>
    <w:rsid w:val="CFE70756"/>
    <w:rsid w:val="CFEF877A"/>
    <w:rsid w:val="CFF5D303"/>
    <w:rsid w:val="CFFE38AB"/>
    <w:rsid w:val="D1BBEB29"/>
    <w:rsid w:val="D1F7D08C"/>
    <w:rsid w:val="D3B47AAB"/>
    <w:rsid w:val="D3EB9AC4"/>
    <w:rsid w:val="D3FB92B4"/>
    <w:rsid w:val="D4FD96F8"/>
    <w:rsid w:val="D5DCDD91"/>
    <w:rsid w:val="D6565002"/>
    <w:rsid w:val="D737B7A9"/>
    <w:rsid w:val="D7DFE886"/>
    <w:rsid w:val="D7DFF225"/>
    <w:rsid w:val="D7F78347"/>
    <w:rsid w:val="D7FE3F93"/>
    <w:rsid w:val="D7FF181E"/>
    <w:rsid w:val="D7FF5B5A"/>
    <w:rsid w:val="D9DA654C"/>
    <w:rsid w:val="D9E3A6E4"/>
    <w:rsid w:val="DAFFC431"/>
    <w:rsid w:val="DBCAB7CF"/>
    <w:rsid w:val="DBEE87BE"/>
    <w:rsid w:val="DBFF075A"/>
    <w:rsid w:val="DC9EED6A"/>
    <w:rsid w:val="DD7743E9"/>
    <w:rsid w:val="DDAEC3AA"/>
    <w:rsid w:val="DE37E520"/>
    <w:rsid w:val="DE79E354"/>
    <w:rsid w:val="DEBE9BA2"/>
    <w:rsid w:val="DEE7AA49"/>
    <w:rsid w:val="DF3B1367"/>
    <w:rsid w:val="DF7E9ED5"/>
    <w:rsid w:val="DFAC5E34"/>
    <w:rsid w:val="DFAD4933"/>
    <w:rsid w:val="DFBFA0C7"/>
    <w:rsid w:val="DFD65E08"/>
    <w:rsid w:val="DFDF61A4"/>
    <w:rsid w:val="DFDFFFD0"/>
    <w:rsid w:val="DFE305B5"/>
    <w:rsid w:val="DFE7B8BE"/>
    <w:rsid w:val="DFEFD444"/>
    <w:rsid w:val="DFEFE5CC"/>
    <w:rsid w:val="DFF71C37"/>
    <w:rsid w:val="DFF7CBE3"/>
    <w:rsid w:val="DFFBBD5A"/>
    <w:rsid w:val="DFFDFCA1"/>
    <w:rsid w:val="DFFFE07E"/>
    <w:rsid w:val="DFFFEBB9"/>
    <w:rsid w:val="E2FF551D"/>
    <w:rsid w:val="E2FFB85D"/>
    <w:rsid w:val="E3FD5867"/>
    <w:rsid w:val="E4F7E871"/>
    <w:rsid w:val="E5BDF5AB"/>
    <w:rsid w:val="E5DB8803"/>
    <w:rsid w:val="E5FF12DE"/>
    <w:rsid w:val="E77B7BCF"/>
    <w:rsid w:val="E77BE0C9"/>
    <w:rsid w:val="E7D52896"/>
    <w:rsid w:val="E7F7EC25"/>
    <w:rsid w:val="E7F7EC4D"/>
    <w:rsid w:val="E93986C8"/>
    <w:rsid w:val="E94F16DB"/>
    <w:rsid w:val="E9DE46A3"/>
    <w:rsid w:val="E9F3EF06"/>
    <w:rsid w:val="EB4F1EF7"/>
    <w:rsid w:val="EB94DA16"/>
    <w:rsid w:val="EBED4F69"/>
    <w:rsid w:val="ECBD4E8F"/>
    <w:rsid w:val="ECEE06B3"/>
    <w:rsid w:val="ED7F9D53"/>
    <w:rsid w:val="EDD7BAA2"/>
    <w:rsid w:val="EDF7BF4E"/>
    <w:rsid w:val="EDFAAAFD"/>
    <w:rsid w:val="EDFFA8FA"/>
    <w:rsid w:val="EEBC4A19"/>
    <w:rsid w:val="EED0CABB"/>
    <w:rsid w:val="EF1F7E87"/>
    <w:rsid w:val="EF1F92A2"/>
    <w:rsid w:val="EF2DC8D2"/>
    <w:rsid w:val="EF379453"/>
    <w:rsid w:val="EF3E5941"/>
    <w:rsid w:val="EF6F8A58"/>
    <w:rsid w:val="EF7F0049"/>
    <w:rsid w:val="EF7F9CA0"/>
    <w:rsid w:val="EF9EC1B3"/>
    <w:rsid w:val="EFB0C431"/>
    <w:rsid w:val="EFBE63E7"/>
    <w:rsid w:val="EFEF2596"/>
    <w:rsid w:val="EFF72EE1"/>
    <w:rsid w:val="EFF787B2"/>
    <w:rsid w:val="EFFB3484"/>
    <w:rsid w:val="EFFD4754"/>
    <w:rsid w:val="F0E952B4"/>
    <w:rsid w:val="F1DBBA62"/>
    <w:rsid w:val="F1FB2887"/>
    <w:rsid w:val="F2F79744"/>
    <w:rsid w:val="F35F1533"/>
    <w:rsid w:val="F3E25469"/>
    <w:rsid w:val="F3FAAF73"/>
    <w:rsid w:val="F3FBC377"/>
    <w:rsid w:val="F4B6F1AD"/>
    <w:rsid w:val="F573A1F0"/>
    <w:rsid w:val="F5AC57CE"/>
    <w:rsid w:val="F5DAC299"/>
    <w:rsid w:val="F5ED4FEB"/>
    <w:rsid w:val="F5EF0510"/>
    <w:rsid w:val="F5FCA252"/>
    <w:rsid w:val="F5FE151E"/>
    <w:rsid w:val="F6FD655D"/>
    <w:rsid w:val="F6FFFD3A"/>
    <w:rsid w:val="F7571AE6"/>
    <w:rsid w:val="F75A59F1"/>
    <w:rsid w:val="F773CC50"/>
    <w:rsid w:val="F77D512B"/>
    <w:rsid w:val="F7BCA099"/>
    <w:rsid w:val="F7DC2DA4"/>
    <w:rsid w:val="F7DC644C"/>
    <w:rsid w:val="F7E5BE78"/>
    <w:rsid w:val="F7E9EA52"/>
    <w:rsid w:val="F7E9FD9E"/>
    <w:rsid w:val="F7ED28C0"/>
    <w:rsid w:val="F7EE0C3A"/>
    <w:rsid w:val="F7EE3D4E"/>
    <w:rsid w:val="F7F3B7B0"/>
    <w:rsid w:val="F7FA39DD"/>
    <w:rsid w:val="F7FD0D91"/>
    <w:rsid w:val="F7FE9EE1"/>
    <w:rsid w:val="F7FF734D"/>
    <w:rsid w:val="F7FFCAD7"/>
    <w:rsid w:val="F8D70F84"/>
    <w:rsid w:val="F8E23798"/>
    <w:rsid w:val="F97B8D02"/>
    <w:rsid w:val="F9AF598F"/>
    <w:rsid w:val="F9CF2B21"/>
    <w:rsid w:val="F9F7CACF"/>
    <w:rsid w:val="FA2ED4D0"/>
    <w:rsid w:val="FA6EAF54"/>
    <w:rsid w:val="FA7A18A8"/>
    <w:rsid w:val="FAAD8E37"/>
    <w:rsid w:val="FABF6E58"/>
    <w:rsid w:val="FAE22FFA"/>
    <w:rsid w:val="FB5E60AB"/>
    <w:rsid w:val="FB7E4610"/>
    <w:rsid w:val="FB7F0264"/>
    <w:rsid w:val="FB7F9728"/>
    <w:rsid w:val="FB7FD571"/>
    <w:rsid w:val="FB8FDDB2"/>
    <w:rsid w:val="FBAB9730"/>
    <w:rsid w:val="FBB90C7D"/>
    <w:rsid w:val="FBBF94A0"/>
    <w:rsid w:val="FBBFF445"/>
    <w:rsid w:val="FBCF88BF"/>
    <w:rsid w:val="FBD42E09"/>
    <w:rsid w:val="FBDBBF37"/>
    <w:rsid w:val="FBF1853A"/>
    <w:rsid w:val="FBF77AEF"/>
    <w:rsid w:val="FBFB18F6"/>
    <w:rsid w:val="FBFEB6E6"/>
    <w:rsid w:val="FC5F9069"/>
    <w:rsid w:val="FC6D6588"/>
    <w:rsid w:val="FC6FD6D7"/>
    <w:rsid w:val="FCDD9945"/>
    <w:rsid w:val="FCEF9E06"/>
    <w:rsid w:val="FD3FC87E"/>
    <w:rsid w:val="FD5B1F44"/>
    <w:rsid w:val="FD5B6D41"/>
    <w:rsid w:val="FD9498E8"/>
    <w:rsid w:val="FDB76A59"/>
    <w:rsid w:val="FDD68CB9"/>
    <w:rsid w:val="FDE9B96A"/>
    <w:rsid w:val="FDF33CCD"/>
    <w:rsid w:val="FDF6E0FF"/>
    <w:rsid w:val="FDFDF347"/>
    <w:rsid w:val="FDFE7B44"/>
    <w:rsid w:val="FDFF3C39"/>
    <w:rsid w:val="FDFF5A23"/>
    <w:rsid w:val="FDFFFB22"/>
    <w:rsid w:val="FE1F9234"/>
    <w:rsid w:val="FE39F227"/>
    <w:rsid w:val="FE7FB02B"/>
    <w:rsid w:val="FEBB395F"/>
    <w:rsid w:val="FECF2F13"/>
    <w:rsid w:val="FEDAFD1A"/>
    <w:rsid w:val="FEDB059A"/>
    <w:rsid w:val="FEE7DFF2"/>
    <w:rsid w:val="FEEC9032"/>
    <w:rsid w:val="FEF75A6A"/>
    <w:rsid w:val="FEF7E951"/>
    <w:rsid w:val="FEF9D1C8"/>
    <w:rsid w:val="FEFCD4E0"/>
    <w:rsid w:val="FEFD5500"/>
    <w:rsid w:val="FEFF522C"/>
    <w:rsid w:val="FEFFAF10"/>
    <w:rsid w:val="FF351AC1"/>
    <w:rsid w:val="FF5BEBAE"/>
    <w:rsid w:val="FF67A23F"/>
    <w:rsid w:val="FF6BA527"/>
    <w:rsid w:val="FF6ED637"/>
    <w:rsid w:val="FF77C3D4"/>
    <w:rsid w:val="FF7E73C4"/>
    <w:rsid w:val="FF7F94A5"/>
    <w:rsid w:val="FF7FCD7C"/>
    <w:rsid w:val="FF9F2CEE"/>
    <w:rsid w:val="FFB21417"/>
    <w:rsid w:val="FFBBDFA0"/>
    <w:rsid w:val="FFBE3C36"/>
    <w:rsid w:val="FFBF65BB"/>
    <w:rsid w:val="FFBF7AB3"/>
    <w:rsid w:val="FFC613A9"/>
    <w:rsid w:val="FFCDD9D6"/>
    <w:rsid w:val="FFD78F21"/>
    <w:rsid w:val="FFDB9C4C"/>
    <w:rsid w:val="FFDDC6D8"/>
    <w:rsid w:val="FFE3CAC3"/>
    <w:rsid w:val="FFE6EB48"/>
    <w:rsid w:val="FFEE4406"/>
    <w:rsid w:val="FFEE8653"/>
    <w:rsid w:val="FFEF1D19"/>
    <w:rsid w:val="FFF5AFF7"/>
    <w:rsid w:val="FFF7CC21"/>
    <w:rsid w:val="FFFB886A"/>
    <w:rsid w:val="FFFB9384"/>
    <w:rsid w:val="FFFBBF97"/>
    <w:rsid w:val="FFFBD2CE"/>
    <w:rsid w:val="FFFD1054"/>
    <w:rsid w:val="FFFECC2D"/>
    <w:rsid w:val="FFFF666B"/>
    <w:rsid w:val="FFFF9AAC"/>
    <w:rsid w:val="FFFFD615"/>
    <w:rsid w:val="FFFFE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243B4A4"/>
  <w15:docId w15:val="{7AE01777-F28D-42F4-B7C3-4D6C4448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eastAsia="Arial MT" w:hAnsi="Arial MT" w:cs="Arial MT"/>
      <w:sz w:val="22"/>
      <w:szCs w:val="22"/>
      <w:lang w:eastAsia="en-US"/>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style>
  <w:style w:type="paragraph" w:styleId="CommentSubject">
    <w:name w:val="annotation subject"/>
    <w:basedOn w:val="CommentText"/>
    <w:next w:val="CommentText"/>
    <w:link w:val="CommentSubjectChar"/>
    <w:rPr>
      <w:b/>
      <w:b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customStyle="1" w:styleId="WPSOffice1">
    <w:name w:val="WPSOffice手动目录 1"/>
  </w:style>
  <w:style w:type="paragraph" w:customStyle="1" w:styleId="TableParagraph">
    <w:name w:val="Table Paragraph"/>
    <w:basedOn w:val="Normal"/>
    <w:uiPriority w:val="1"/>
    <w:qFormat/>
    <w:rPr>
      <w:rFonts w:ascii="Arial MT" w:eastAsia="Arial MT" w:hAnsi="Arial MT" w:cs="Arial MT"/>
      <w:lang w:eastAsia="en-US"/>
    </w:rPr>
  </w:style>
  <w:style w:type="character" w:customStyle="1" w:styleId="CommentTextChar">
    <w:name w:val="Comment Text Char"/>
    <w:basedOn w:val="DefaultParagraphFont"/>
    <w:link w:val="CommentText"/>
    <w:rPr>
      <w:rFonts w:asciiTheme="minorHAnsi" w:eastAsiaTheme="minorEastAsia" w:hAnsiTheme="minorHAnsi" w:cstheme="minorBidi"/>
      <w:lang w:val="en-US" w:eastAsia="zh-CN"/>
    </w:rPr>
  </w:style>
  <w:style w:type="character" w:customStyle="1" w:styleId="CommentSubjectChar">
    <w:name w:val="Comment Subject Char"/>
    <w:basedOn w:val="CommentTextChar"/>
    <w:link w:val="CommentSubject"/>
    <w:rPr>
      <w:rFonts w:asciiTheme="minorHAnsi" w:eastAsiaTheme="minorEastAsia" w:hAnsiTheme="minorHAnsi" w:cstheme="minorBidi"/>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www.econstor.eu/bitstream/10419/271517/1/1847124054.pdf" TargetMode="External"/><Relationship Id="rId39" Type="http://schemas.microsoft.com/office/2011/relationships/people" Target="people.xml"/><Relationship Id="rId21" Type="http://schemas.openxmlformats.org/officeDocument/2006/relationships/hyperlink" Target="https://www.british-business-bank.co.uk/business-guidance/guidance-articles/finance/why-working-capital-is-important-to-your-business" TargetMode="External"/><Relationship Id="rId34" Type="http://schemas.openxmlformats.org/officeDocument/2006/relationships/hyperlink" Target="https://www.thehartford.com/business-insurance/strategy/business-financing/equity-financing"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globaldata.com/company-profile/volkswagen-ag/" TargetMode="External"/><Relationship Id="rId33" Type="http://schemas.openxmlformats.org/officeDocument/2006/relationships/hyperlink" Target="https://www.scielo.br/j/rbgn/a/NSCWMBcVLj7xcjfBpCXJJks/?format=html&amp;lang=en"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www.researchgate.net/profile/Deborah-Atere-2/publication/399419573_Framework_for_Designing_Effective_Corporate_Restructuring_Strategies_to_Optimize_Liquidity_and_Working_Capital/links/6959b11a27359023a013262d/Framework-for-Designing-Effective-Corporate-Restructuring-Strategies-to-Optimize-Liquidity-and-Working-Capital.pdf" TargetMode="External"/><Relationship Id="rId29" Type="http://schemas.openxmlformats.org/officeDocument/2006/relationships/hyperlink" Target="https://doi.org/10.1016/j.pubrev.2022.1021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geeksforgeeks.org/finance/long-term-financing-sources-importance-advantages-limitations/" TargetMode="External"/><Relationship Id="rId32" Type="http://schemas.openxmlformats.org/officeDocument/2006/relationships/hyperlink" Target="https://www.emerald.com/raf/article-pdf/17/1/41/2280696/raf-11-2015-0173.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forbes.com/companies/volkswagen-group/" TargetMode="External"/><Relationship Id="rId28" Type="http://schemas.openxmlformats.org/officeDocument/2006/relationships/hyperlink" Target="https://ore.exeter.ac.uk/articles/journal_contribution/Multiple_taxes_and_alternative_forms_of_FDI_evidence_from_cross-border_acquisitions/29706560/1/files/56954858.pdf" TargetMode="External"/><Relationship Id="rId36" Type="http://schemas.openxmlformats.org/officeDocument/2006/relationships/hyperlink" Target="https://papers.ssrn.com/sol3/Delivery.cfm?abstractid=2462728" TargetMode="External"/><Relationship Id="rId10" Type="http://schemas.microsoft.com/office/2011/relationships/commentsExtended" Target="commentsExtended.xml"/><Relationship Id="rId19" Type="http://schemas.openxmlformats.org/officeDocument/2006/relationships/hyperlink" Target="https://www.researchgate.net/publication/255725961_A_Comprehensive_Review_on_Capital_Structure_Theories" TargetMode="External"/><Relationship Id="rId31" Type="http://schemas.openxmlformats.org/officeDocument/2006/relationships/hyperlink" Target="https://www.jpmorgan.com/insights/treasury/forecasting-planning/cash-flow-management-and-reporting-guide-for-businesses"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chart" Target="charts/chart3.xml"/><Relationship Id="rId22" Type="http://schemas.openxmlformats.org/officeDocument/2006/relationships/hyperlink" Target="http://journals.iarn.or.id/index.php/ARJ/article/download/208/141" TargetMode="External"/><Relationship Id="rId27" Type="http://schemas.openxmlformats.org/officeDocument/2006/relationships/hyperlink" Target="https://stud.epsilon.slu.se/8559/7/Hakala_S_150904.pdf" TargetMode="External"/><Relationship Id="rId30" Type="http://schemas.openxmlformats.org/officeDocument/2006/relationships/hyperlink" Target="https://savearchive.zbw.eu/bitstream/11159/6880/1/1796306851_0.pdf" TargetMode="External"/><Relationship Id="rId35" Type="http://schemas.openxmlformats.org/officeDocument/2006/relationships/hyperlink" Target="https://www.annualreports.com/HostedData/AnnualReports/PDF/OTC_VWAGY_2024.pdf"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Users/vineet/Documents/CB/March%202026/G141468V1/210326.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rPr lang="en-IN"/>
              <a:t>Profitability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endParaRPr lang="en-IN"/>
        </a:p>
      </c:txPr>
    </c:title>
    <c:autoTitleDeleted val="0"/>
    <c:plotArea>
      <c:layout/>
      <c:barChart>
        <c:barDir val="bar"/>
        <c:grouping val="clustered"/>
        <c:varyColors val="0"/>
        <c:ser>
          <c:idx val="0"/>
          <c:order val="0"/>
          <c:tx>
            <c:strRef>
              <c:f>[210326.xlsx]Charts!$B$3</c:f>
              <c:strCache>
                <c:ptCount val="1"/>
                <c:pt idx="0">
                  <c:v>Gross profit ratio </c:v>
                </c:pt>
              </c:strCache>
            </c:strRef>
          </c:tx>
          <c:spPr>
            <a:gradFill>
              <a:gsLst>
                <a:gs pos="100000">
                  <a:schemeClr val="accent1"/>
                </a:gs>
                <a:gs pos="0">
                  <a:schemeClr val="accent1">
                    <a:hueOff val="-1670000"/>
                  </a:schemeClr>
                </a:gs>
              </a:gsLst>
              <a:lin ang="10800000" scaled="0"/>
            </a:gradFill>
            <a:ln>
              <a:gradFill>
                <a:gsLst>
                  <a:gs pos="95000">
                    <a:schemeClr val="accent1">
                      <a:lumMod val="75000"/>
                    </a:schemeClr>
                  </a:gs>
                  <a:gs pos="0">
                    <a:schemeClr val="accent1">
                      <a:lumMod val="75000"/>
                      <a:hueOff val="-1670000"/>
                    </a:schemeClr>
                  </a:gs>
                </a:gsLst>
                <a:lin ang="10800000" scaled="0"/>
              </a:gra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[210326.xlsx]Charts!$C$2:$G$2</c:f>
              <c:numCache>
                <c:formatCode>General</c:formatCode>
                <c:ptCount val="5"/>
                <c:pt idx="0">
                  <c:v>2020</c:v>
                </c:pt>
                <c:pt idx="1">
                  <c:v>2021</c:v>
                </c:pt>
                <c:pt idx="2">
                  <c:v>2022</c:v>
                </c:pt>
                <c:pt idx="3">
                  <c:v>2023</c:v>
                </c:pt>
                <c:pt idx="4">
                  <c:v>2024</c:v>
                </c:pt>
              </c:numCache>
            </c:numRef>
          </c:cat>
          <c:val>
            <c:numRef>
              <c:f>[210326.xlsx]Charts!$C$3:$G$3</c:f>
              <c:numCache>
                <c:formatCode>0.00%</c:formatCode>
                <c:ptCount val="5"/>
                <c:pt idx="0">
                  <c:v>0.174741120941835</c:v>
                </c:pt>
                <c:pt idx="1">
                  <c:v>0.188812949640288</c:v>
                </c:pt>
                <c:pt idx="2">
                  <c:v>0.18704159981664001</c:v>
                </c:pt>
                <c:pt idx="3">
                  <c:v>0.18922751362152601</c:v>
                </c:pt>
                <c:pt idx="4">
                  <c:v>0.18318466315115101</c:v>
                </c:pt>
              </c:numCache>
            </c:numRef>
          </c:val>
          <c:extLst>
            <c:ext xmlns:c16="http://schemas.microsoft.com/office/drawing/2014/chart" uri="{C3380CC4-5D6E-409C-BE32-E72D297353CC}">
              <c16:uniqueId val="{00000000-D3E8-4D4C-A08C-B763690A6EF7}"/>
            </c:ext>
          </c:extLst>
        </c:ser>
        <c:ser>
          <c:idx val="1"/>
          <c:order val="1"/>
          <c:tx>
            <c:strRef>
              <c:f>[210326.xlsx]Charts!$B$4</c:f>
              <c:strCache>
                <c:ptCount val="1"/>
                <c:pt idx="0">
                  <c:v>Net profit ratio</c:v>
                </c:pt>
              </c:strCache>
            </c:strRef>
          </c:tx>
          <c:spPr>
            <a:gradFill>
              <a:gsLst>
                <a:gs pos="100000">
                  <a:schemeClr val="accent3"/>
                </a:gs>
                <a:gs pos="0">
                  <a:schemeClr val="accent3">
                    <a:hueOff val="-1670000"/>
                  </a:schemeClr>
                </a:gs>
              </a:gsLst>
              <a:lin ang="10800000" scaled="0"/>
            </a:gradFill>
            <a:ln>
              <a:gradFill>
                <a:gsLst>
                  <a:gs pos="95000">
                    <a:schemeClr val="accent3">
                      <a:lumMod val="75000"/>
                    </a:schemeClr>
                  </a:gs>
                  <a:gs pos="0">
                    <a:schemeClr val="accent3">
                      <a:lumMod val="75000"/>
                      <a:hueOff val="-1670000"/>
                    </a:schemeClr>
                  </a:gs>
                </a:gsLst>
                <a:lin ang="10800000" scaled="0"/>
              </a:gra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[210326.xlsx]Charts!$C$2:$G$2</c:f>
              <c:numCache>
                <c:formatCode>General</c:formatCode>
                <c:ptCount val="5"/>
                <c:pt idx="0">
                  <c:v>2020</c:v>
                </c:pt>
                <c:pt idx="1">
                  <c:v>2021</c:v>
                </c:pt>
                <c:pt idx="2">
                  <c:v>2022</c:v>
                </c:pt>
                <c:pt idx="3">
                  <c:v>2023</c:v>
                </c:pt>
                <c:pt idx="4">
                  <c:v>2024</c:v>
                </c:pt>
              </c:numCache>
            </c:numRef>
          </c:cat>
          <c:val>
            <c:numRef>
              <c:f>[210326.xlsx]Charts!$C$4:$G$4</c:f>
              <c:numCache>
                <c:formatCode>0.00%</c:formatCode>
                <c:ptCount val="5"/>
                <c:pt idx="0">
                  <c:v>3.9590100680174399E-2</c:v>
                </c:pt>
                <c:pt idx="1">
                  <c:v>6.1662669864108698E-2</c:v>
                </c:pt>
                <c:pt idx="2">
                  <c:v>5.6712697685079097E-2</c:v>
                </c:pt>
                <c:pt idx="3">
                  <c:v>5.5420064291122097E-2</c:v>
                </c:pt>
                <c:pt idx="4">
                  <c:v>3.81757922231531E-2</c:v>
                </c:pt>
              </c:numCache>
            </c:numRef>
          </c:val>
          <c:extLst>
            <c:ext xmlns:c16="http://schemas.microsoft.com/office/drawing/2014/chart" uri="{C3380CC4-5D6E-409C-BE32-E72D297353CC}">
              <c16:uniqueId val="{00000001-D3E8-4D4C-A08C-B763690A6EF7}"/>
            </c:ext>
          </c:extLst>
        </c:ser>
        <c:dLbls>
          <c:showLegendKey val="0"/>
          <c:showVal val="1"/>
          <c:showCatName val="0"/>
          <c:showSerName val="0"/>
          <c:showPercent val="0"/>
          <c:showBubbleSize val="0"/>
        </c:dLbls>
        <c:gapWidth val="140"/>
        <c:overlap val="-40"/>
        <c:axId val="44862268"/>
        <c:axId val="338596808"/>
        <c:extLst>
          <c:ext xmlns:c15="http://schemas.microsoft.com/office/drawing/2012/chart" uri="{02D57815-91ED-43cb-92C2-25804820EDAC}">
            <c15:filteredBarSeries>
              <c15:ser>
                <c:idx val="2"/>
                <c:order val="2"/>
                <c:tx>
                  <c:strRef>
                    <c:extLst>
                      <c:ext uri="{02D57815-91ED-43cb-92C2-25804820EDAC}">
                        <c15:formulaRef>
                          <c15:sqref>[210326.xlsx]Charts!$B$21</c15:sqref>
                        </c15:formulaRef>
                      </c:ext>
                    </c:extLst>
                    <c:strCache>
                      <c:ptCount val="1"/>
                      <c:pt idx="0">
                        <c:v>Return on Equity</c:v>
                      </c:pt>
                    </c:strCache>
                  </c:strRef>
                </c:tx>
                <c:spPr>
                  <a:gradFill>
                    <a:gsLst>
                      <a:gs pos="100000">
                        <a:schemeClr val="accent5"/>
                      </a:gs>
                      <a:gs pos="0">
                        <a:schemeClr val="accent5">
                          <a:hueOff val="-1670000"/>
                        </a:schemeClr>
                      </a:gs>
                    </a:gsLst>
                    <a:lin ang="10800000" scaled="0"/>
                  </a:gradFill>
                  <a:ln>
                    <a:gradFill>
                      <a:gsLst>
                        <a:gs pos="95000">
                          <a:schemeClr val="accent5">
                            <a:lumMod val="75000"/>
                          </a:schemeClr>
                        </a:gs>
                        <a:gs pos="0">
                          <a:schemeClr val="accent5">
                            <a:lumMod val="75000"/>
                            <a:hueOff val="-1670000"/>
                          </a:schemeClr>
                        </a:gs>
                      </a:gsLst>
                      <a:lin ang="10800000" scaled="0"/>
                    </a:gra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dk1">
                                <a:lumMod val="35000"/>
                                <a:lumOff val="65000"/>
                              </a:schemeClr>
                            </a:solidFill>
                          </a:ln>
                          <a:effectLst/>
                        </c:spPr>
                      </c15:leaderLines>
                    </c:ext>
                  </c:extLst>
                </c:dLbls>
                <c:cat>
                  <c:numRef>
                    <c:extLst>
                      <c:ext uri="{02D57815-91ED-43cb-92C2-25804820EDAC}">
                        <c15:formulaRef>
                          <c15:sqref>[210326.xlsx]Charts!$C$2:$G$2</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{0.0685183603425918,0.105559888884327,0.0888031537568624,0.0944097343355217,0.0629997305966015}</c15:sqref>
                        </c15:formulaRef>
                      </c:ext>
                    </c:extLst>
                    <c:numCache>
                      <c:formatCode>0.00%</c:formatCode>
                      <c:ptCount val="5"/>
                      <c:pt idx="0">
                        <c:v>6.8518360342591803E-2</c:v>
                      </c:pt>
                      <c:pt idx="1">
                        <c:v>0.10555988888432701</c:v>
                      </c:pt>
                      <c:pt idx="2">
                        <c:v>8.8803153756862402E-2</c:v>
                      </c:pt>
                      <c:pt idx="3">
                        <c:v>9.4409734335521703E-2</c:v>
                      </c:pt>
                      <c:pt idx="4">
                        <c:v>6.2999730596601494E-2</c:v>
                      </c:pt>
                    </c:numCache>
                  </c:numRef>
                </c:val>
                <c:extLst>
                  <c:ext xmlns:c16="http://schemas.microsoft.com/office/drawing/2014/chart" uri="{C3380CC4-5D6E-409C-BE32-E72D297353CC}">
                    <c16:uniqueId val="{00000002-D3E8-4D4C-A08C-B763690A6EF7}"/>
                  </c:ext>
                </c:extLst>
              </c15:ser>
            </c15:filteredBarSeries>
          </c:ext>
        </c:extLst>
      </c:barChart>
      <c:catAx>
        <c:axId val="44862268"/>
        <c:scaling>
          <c:orientation val="minMax"/>
        </c:scaling>
        <c:delete val="0"/>
        <c:axPos val="l"/>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338596808"/>
        <c:crosses val="autoZero"/>
        <c:auto val="1"/>
        <c:lblAlgn val="ctr"/>
        <c:lblOffset val="100"/>
        <c:noMultiLvlLbl val="0"/>
      </c:catAx>
      <c:valAx>
        <c:axId val="338596808"/>
        <c:scaling>
          <c:orientation val="minMax"/>
        </c:scaling>
        <c:delete val="1"/>
        <c:axPos val="b"/>
        <c:numFmt formatCode="0.00%" sourceLinked="1"/>
        <c:majorTickMark val="none"/>
        <c:minorTickMark val="none"/>
        <c:tickLblPos val="nextTo"/>
        <c:crossAx val="44862268"/>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960f64f9-64f5-470a-a1b7-c360342066ba}"/>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IN"/>
              <a:t>Liquidity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IN"/>
        </a:p>
      </c:txPr>
    </c:title>
    <c:autoTitleDeleted val="0"/>
    <c:plotArea>
      <c:layout/>
      <c:barChart>
        <c:barDir val="col"/>
        <c:grouping val="clustered"/>
        <c:varyColors val="0"/>
        <c:ser>
          <c:idx val="0"/>
          <c:order val="0"/>
          <c:tx>
            <c:strRef>
              <c:f>[210326.xlsx]Charts!$B$8</c:f>
              <c:strCache>
                <c:ptCount val="1"/>
                <c:pt idx="0">
                  <c:v>Current ratio</c:v>
                </c:pt>
              </c:strCache>
            </c:strRef>
          </c:tx>
          <c:spPr>
            <a:gradFill>
              <a:gsLst>
                <a:gs pos="0">
                  <a:schemeClr val="accent1">
                    <a:shade val="76667"/>
                    <a:lumMod val="40000"/>
                    <a:lumOff val="60000"/>
                  </a:schemeClr>
                </a:gs>
                <a:gs pos="90000">
                  <a:schemeClr val="accent1">
                    <a:shade val="76667"/>
                  </a:schemeClr>
                </a:gs>
              </a:gsLst>
              <a:lin ang="5400000" scaled="0"/>
            </a:gradFill>
            <a:ln>
              <a:gradFill>
                <a:gsLst>
                  <a:gs pos="0">
                    <a:schemeClr val="accent1">
                      <a:shade val="76667"/>
                    </a:schemeClr>
                  </a:gs>
                  <a:gs pos="100000">
                    <a:schemeClr val="accent1">
                      <a:shade val="76667"/>
                      <a:lumMod val="75000"/>
                    </a:schemeClr>
                  </a:gs>
                </a:gsLst>
                <a:lin ang="5400000" scaled="1"/>
              </a:gradFill>
            </a:ln>
            <a:effectLst>
              <a:outerShdw blurRad="76200" dist="25400" dir="2700000" algn="tl" rotWithShape="0">
                <a:schemeClr val="accent1">
                  <a:shade val="76667"/>
                  <a:lumMod val="50000"/>
                  <a:alpha val="30000"/>
                </a:schemeClr>
              </a:outerShdw>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[210326.xlsx]Charts!$C$7:$G$7</c:f>
              <c:numCache>
                <c:formatCode>General</c:formatCode>
                <c:ptCount val="5"/>
                <c:pt idx="0">
                  <c:v>2020</c:v>
                </c:pt>
                <c:pt idx="1">
                  <c:v>2021</c:v>
                </c:pt>
                <c:pt idx="2">
                  <c:v>2022</c:v>
                </c:pt>
                <c:pt idx="3">
                  <c:v>2023</c:v>
                </c:pt>
                <c:pt idx="4">
                  <c:v>2024</c:v>
                </c:pt>
              </c:numCache>
            </c:numRef>
          </c:cat>
          <c:val>
            <c:numRef>
              <c:f>[210326.xlsx]Charts!$C$8:$G$8</c:f>
              <c:numCache>
                <c:formatCode>0.00_ </c:formatCode>
                <c:ptCount val="5"/>
                <c:pt idx="0">
                  <c:v>1.1785502690284699</c:v>
                </c:pt>
                <c:pt idx="1">
                  <c:v>1.2187076092047699</c:v>
                </c:pt>
                <c:pt idx="2">
                  <c:v>1.2257858267028101</c:v>
                </c:pt>
                <c:pt idx="3">
                  <c:v>1.16311712516259</c:v>
                </c:pt>
                <c:pt idx="4">
                  <c:v>1.12989370573952</c:v>
                </c:pt>
              </c:numCache>
            </c:numRef>
          </c:val>
          <c:extLst>
            <c:ext xmlns:c16="http://schemas.microsoft.com/office/drawing/2014/chart" uri="{C3380CC4-5D6E-409C-BE32-E72D297353CC}">
              <c16:uniqueId val="{00000000-A44B-44F8-93B2-664A76E0349C}"/>
            </c:ext>
          </c:extLst>
        </c:ser>
        <c:ser>
          <c:idx val="1"/>
          <c:order val="1"/>
          <c:tx>
            <c:strRef>
              <c:f>[210326.xlsx]Charts!$B$9</c:f>
              <c:strCache>
                <c:ptCount val="1"/>
                <c:pt idx="0">
                  <c:v>Quick ratio</c:v>
                </c:pt>
              </c:strCache>
            </c:strRef>
          </c:tx>
          <c:spPr>
            <a:gradFill>
              <a:gsLst>
                <a:gs pos="0">
                  <a:schemeClr val="accent1">
                    <a:tint val="76667"/>
                    <a:lumMod val="40000"/>
                    <a:lumOff val="60000"/>
                  </a:schemeClr>
                </a:gs>
                <a:gs pos="90000">
                  <a:schemeClr val="accent1">
                    <a:tint val="76667"/>
                  </a:schemeClr>
                </a:gs>
              </a:gsLst>
              <a:lin ang="5400000" scaled="0"/>
            </a:gradFill>
            <a:ln>
              <a:gradFill>
                <a:gsLst>
                  <a:gs pos="0">
                    <a:schemeClr val="accent1">
                      <a:tint val="76667"/>
                    </a:schemeClr>
                  </a:gs>
                  <a:gs pos="100000">
                    <a:schemeClr val="accent1">
                      <a:tint val="76667"/>
                      <a:lumMod val="75000"/>
                    </a:schemeClr>
                  </a:gs>
                </a:gsLst>
                <a:lin ang="5400000" scaled="1"/>
              </a:gradFill>
            </a:ln>
            <a:effectLst>
              <a:outerShdw blurRad="76200" dist="25400" dir="2700000" algn="tl" rotWithShape="0">
                <a:schemeClr val="accent1">
                  <a:tint val="76667"/>
                  <a:lumMod val="50000"/>
                  <a:alpha val="30000"/>
                </a:schemeClr>
              </a:outerShdw>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[210326.xlsx]Charts!$C$7:$G$7</c:f>
              <c:numCache>
                <c:formatCode>General</c:formatCode>
                <c:ptCount val="5"/>
                <c:pt idx="0">
                  <c:v>2020</c:v>
                </c:pt>
                <c:pt idx="1">
                  <c:v>2021</c:v>
                </c:pt>
                <c:pt idx="2">
                  <c:v>2022</c:v>
                </c:pt>
                <c:pt idx="3">
                  <c:v>2023</c:v>
                </c:pt>
                <c:pt idx="4">
                  <c:v>2024</c:v>
                </c:pt>
              </c:numCache>
            </c:numRef>
          </c:cat>
          <c:val>
            <c:numRef>
              <c:f>[210326.xlsx]Charts!$C$9:$G$9</c:f>
              <c:numCache>
                <c:formatCode>0.00_ </c:formatCode>
                <c:ptCount val="5"/>
                <c:pt idx="0">
                  <c:v>0.91361465449489099</c:v>
                </c:pt>
                <c:pt idx="1">
                  <c:v>0.95272913080240595</c:v>
                </c:pt>
                <c:pt idx="2">
                  <c:v>0.94012306548920199</c:v>
                </c:pt>
                <c:pt idx="3">
                  <c:v>0.90296355976625398</c:v>
                </c:pt>
                <c:pt idx="4">
                  <c:v>0.86855818539525198</c:v>
                </c:pt>
              </c:numCache>
            </c:numRef>
          </c:val>
          <c:extLst>
            <c:ext xmlns:c16="http://schemas.microsoft.com/office/drawing/2014/chart" uri="{C3380CC4-5D6E-409C-BE32-E72D297353CC}">
              <c16:uniqueId val="{00000001-A44B-44F8-93B2-664A76E0349C}"/>
            </c:ext>
          </c:extLst>
        </c:ser>
        <c:dLbls>
          <c:showLegendKey val="0"/>
          <c:showVal val="1"/>
          <c:showCatName val="0"/>
          <c:showSerName val="0"/>
          <c:showPercent val="0"/>
          <c:showBubbleSize val="0"/>
        </c:dLbls>
        <c:gapWidth val="260"/>
        <c:overlap val="-32"/>
        <c:axId val="364412653"/>
        <c:axId val="909446647"/>
      </c:barChart>
      <c:catAx>
        <c:axId val="36441265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09446647"/>
        <c:crosses val="autoZero"/>
        <c:auto val="1"/>
        <c:lblAlgn val="ctr"/>
        <c:lblOffset val="100"/>
        <c:noMultiLvlLbl val="0"/>
      </c:catAx>
      <c:valAx>
        <c:axId val="909446647"/>
        <c:scaling>
          <c:orientation val="minMax"/>
        </c:scaling>
        <c:delete val="1"/>
        <c:axPos val="l"/>
        <c:numFmt formatCode="0.00_ " sourceLinked="1"/>
        <c:majorTickMark val="none"/>
        <c:minorTickMark val="none"/>
        <c:tickLblPos val="nextTo"/>
        <c:crossAx val="364412653"/>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8a4d3696-8faf-4d1e-95e2-bcb88229d9b3}"/>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IN"/>
              <a:t>Efficiency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IN"/>
        </a:p>
      </c:txPr>
    </c:title>
    <c:autoTitleDeleted val="0"/>
    <c:plotArea>
      <c:layout/>
      <c:lineChart>
        <c:grouping val="stacked"/>
        <c:varyColors val="0"/>
        <c:ser>
          <c:idx val="0"/>
          <c:order val="0"/>
          <c:tx>
            <c:strRef>
              <c:f>[210326.xlsx]Charts!$B$12</c:f>
              <c:strCache>
                <c:ptCount val="1"/>
                <c:pt idx="0">
                  <c:v>Asset turnover ratio</c:v>
                </c:pt>
              </c:strCache>
            </c:strRef>
          </c:tx>
          <c:spPr>
            <a:ln w="28575" cap="rnd">
              <a:gradFill>
                <a:gsLst>
                  <a:gs pos="100000">
                    <a:schemeClr val="accent1">
                      <a:shade val="76667"/>
                    </a:schemeClr>
                  </a:gs>
                  <a:gs pos="0">
                    <a:schemeClr val="accent1">
                      <a:shade val="76667"/>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[210326.xlsx]Charts!$C$11:$G$11</c:f>
              <c:numCache>
                <c:formatCode>General</c:formatCode>
                <c:ptCount val="5"/>
                <c:pt idx="0">
                  <c:v>2020</c:v>
                </c:pt>
                <c:pt idx="1">
                  <c:v>2021</c:v>
                </c:pt>
                <c:pt idx="2">
                  <c:v>2022</c:v>
                </c:pt>
                <c:pt idx="3">
                  <c:v>2023</c:v>
                </c:pt>
                <c:pt idx="4">
                  <c:v>2024</c:v>
                </c:pt>
              </c:numCache>
            </c:numRef>
          </c:cat>
          <c:val>
            <c:numRef>
              <c:f>[210326.xlsx]Charts!$C$12:$G$12</c:f>
              <c:numCache>
                <c:formatCode>0.00_ </c:formatCode>
                <c:ptCount val="5"/>
                <c:pt idx="0">
                  <c:v>0.44835591031433403</c:v>
                </c:pt>
                <c:pt idx="1">
                  <c:v>0.47331770741701301</c:v>
                </c:pt>
                <c:pt idx="2">
                  <c:v>0.49441544552492001</c:v>
                </c:pt>
                <c:pt idx="3">
                  <c:v>0.53655962134291402</c:v>
                </c:pt>
                <c:pt idx="4">
                  <c:v>0.51296166091277495</c:v>
                </c:pt>
              </c:numCache>
            </c:numRef>
          </c:val>
          <c:smooth val="1"/>
          <c:extLst>
            <c:ext xmlns:c16="http://schemas.microsoft.com/office/drawing/2014/chart" uri="{C3380CC4-5D6E-409C-BE32-E72D297353CC}">
              <c16:uniqueId val="{00000000-BC56-4DAA-9FFA-3D8445684E2D}"/>
            </c:ext>
          </c:extLst>
        </c:ser>
        <c:ser>
          <c:idx val="1"/>
          <c:order val="1"/>
          <c:tx>
            <c:strRef>
              <c:f>[210326.xlsx]Charts!$B$13</c:f>
              <c:strCache>
                <c:ptCount val="1"/>
                <c:pt idx="0">
                  <c:v>Inventory turnover ratio</c:v>
                </c:pt>
              </c:strCache>
            </c:strRef>
          </c:tx>
          <c:spPr>
            <a:ln w="28575" cap="rnd">
              <a:gradFill>
                <a:gsLst>
                  <a:gs pos="100000">
                    <a:schemeClr val="accent1">
                      <a:tint val="76667"/>
                    </a:schemeClr>
                  </a:gs>
                  <a:gs pos="0">
                    <a:schemeClr val="accent1">
                      <a:tint val="76667"/>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[210326.xlsx]Charts!$C$11:$G$11</c:f>
              <c:numCache>
                <c:formatCode>General</c:formatCode>
                <c:ptCount val="5"/>
                <c:pt idx="0">
                  <c:v>2020</c:v>
                </c:pt>
                <c:pt idx="1">
                  <c:v>2021</c:v>
                </c:pt>
                <c:pt idx="2">
                  <c:v>2022</c:v>
                </c:pt>
                <c:pt idx="3">
                  <c:v>2023</c:v>
                </c:pt>
                <c:pt idx="4">
                  <c:v>2024</c:v>
                </c:pt>
              </c:numCache>
            </c:numRef>
          </c:cat>
          <c:val>
            <c:numRef>
              <c:f>[210326.xlsx]Charts!$C$13:$G$13</c:f>
              <c:numCache>
                <c:formatCode>0.00_ </c:formatCode>
                <c:ptCount val="5"/>
                <c:pt idx="0">
                  <c:v>4.0619886269530197</c:v>
                </c:pt>
                <c:pt idx="1">
                  <c:v>4.6365193950746999</c:v>
                </c:pt>
                <c:pt idx="2">
                  <c:v>4.7293200970843401</c:v>
                </c:pt>
                <c:pt idx="3">
                  <c:v>4.9359905548996501</c:v>
                </c:pt>
                <c:pt idx="4">
                  <c:v>4.8074981191250998</c:v>
                </c:pt>
              </c:numCache>
            </c:numRef>
          </c:val>
          <c:smooth val="1"/>
          <c:extLst>
            <c:ext xmlns:c16="http://schemas.microsoft.com/office/drawing/2014/chart" uri="{C3380CC4-5D6E-409C-BE32-E72D297353CC}">
              <c16:uniqueId val="{00000001-BC56-4DAA-9FFA-3D8445684E2D}"/>
            </c:ext>
          </c:extLst>
        </c:ser>
        <c:dLbls>
          <c:showLegendKey val="0"/>
          <c:showVal val="1"/>
          <c:showCatName val="0"/>
          <c:showSerName val="0"/>
          <c:showPercent val="0"/>
          <c:showBubbleSize val="0"/>
        </c:dLbls>
        <c:smooth val="0"/>
        <c:axId val="404311014"/>
        <c:axId val="157173667"/>
      </c:lineChart>
      <c:catAx>
        <c:axId val="40431101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57173667"/>
        <c:crosses val="autoZero"/>
        <c:auto val="1"/>
        <c:lblAlgn val="ctr"/>
        <c:lblOffset val="100"/>
        <c:noMultiLvlLbl val="0"/>
      </c:catAx>
      <c:valAx>
        <c:axId val="157173667"/>
        <c:scaling>
          <c:orientation val="minMax"/>
        </c:scaling>
        <c:delete val="1"/>
        <c:axPos val="l"/>
        <c:numFmt formatCode="0.00_ " sourceLinked="1"/>
        <c:majorTickMark val="none"/>
        <c:minorTickMark val="none"/>
        <c:tickLblPos val="nextTo"/>
        <c:crossAx val="404311014"/>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596f088e-d9de-4240-bcf6-51b94733749b}"/>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rPr lang="en-IN"/>
              <a:t>Gearing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endParaRPr lang="en-IN"/>
        </a:p>
      </c:txPr>
    </c:title>
    <c:autoTitleDeleted val="0"/>
    <c:plotArea>
      <c:layout/>
      <c:barChart>
        <c:barDir val="bar"/>
        <c:grouping val="clustered"/>
        <c:varyColors val="0"/>
        <c:ser>
          <c:idx val="0"/>
          <c:order val="0"/>
          <c:tx>
            <c:strRef>
              <c:f>[210326.xlsx]Charts!$B$16</c:f>
              <c:strCache>
                <c:ptCount val="1"/>
                <c:pt idx="0">
                  <c:v>Debt-equity ratio</c:v>
                </c:pt>
              </c:strCache>
            </c:strRef>
          </c:tx>
          <c:spPr>
            <a:gradFill>
              <a:gsLst>
                <a:gs pos="100000">
                  <a:schemeClr val="accent6"/>
                </a:gs>
                <a:gs pos="0">
                  <a:schemeClr val="accent6">
                    <a:hueOff val="-1670000"/>
                  </a:schemeClr>
                </a:gs>
              </a:gsLst>
              <a:lin ang="10800000" scaled="0"/>
            </a:gradFill>
            <a:ln>
              <a:gradFill>
                <a:gsLst>
                  <a:gs pos="100000">
                    <a:schemeClr val="accent6">
                      <a:lumMod val="75000"/>
                    </a:schemeClr>
                  </a:gs>
                  <a:gs pos="0">
                    <a:schemeClr val="accent6">
                      <a:lumMod val="75000"/>
                      <a:hueOff val="-1670000"/>
                    </a:schemeClr>
                  </a:gs>
                </a:gsLst>
                <a:lin ang="10800000" scaled="0"/>
              </a:gra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[210326.xlsx]Charts!$C$15:$G$15</c:f>
              <c:numCache>
                <c:formatCode>General</c:formatCode>
                <c:ptCount val="5"/>
                <c:pt idx="0">
                  <c:v>2020</c:v>
                </c:pt>
                <c:pt idx="1">
                  <c:v>2021</c:v>
                </c:pt>
                <c:pt idx="2">
                  <c:v>2022</c:v>
                </c:pt>
                <c:pt idx="3">
                  <c:v>2023</c:v>
                </c:pt>
                <c:pt idx="4">
                  <c:v>2024</c:v>
                </c:pt>
              </c:numCache>
            </c:numRef>
          </c:cat>
          <c:val>
            <c:numRef>
              <c:f>[210326.xlsx]Charts!$C$16:$G$16</c:f>
              <c:numCache>
                <c:formatCode>0.00_ </c:formatCode>
                <c:ptCount val="5"/>
                <c:pt idx="0">
                  <c:v>1.5756815728784099</c:v>
                </c:pt>
                <c:pt idx="1">
                  <c:v>1.49200158736675</c:v>
                </c:pt>
                <c:pt idx="2">
                  <c:v>1.1408984618145299</c:v>
                </c:pt>
                <c:pt idx="3">
                  <c:v>1.0858467328449299</c:v>
                </c:pt>
                <c:pt idx="4">
                  <c:v>1.1138763082584799</c:v>
                </c:pt>
              </c:numCache>
            </c:numRef>
          </c:val>
          <c:extLst>
            <c:ext xmlns:c16="http://schemas.microsoft.com/office/drawing/2014/chart" uri="{C3380CC4-5D6E-409C-BE32-E72D297353CC}">
              <c16:uniqueId val="{00000000-C810-4D4F-AC53-D45E85036F43}"/>
            </c:ext>
          </c:extLst>
        </c:ser>
        <c:ser>
          <c:idx val="1"/>
          <c:order val="1"/>
          <c:tx>
            <c:strRef>
              <c:f>[210326.xlsx]Charts!$B$17</c:f>
              <c:strCache>
                <c:ptCount val="1"/>
                <c:pt idx="0">
                  <c:v>Interest coverage ratio</c:v>
                </c:pt>
              </c:strCache>
            </c:strRef>
          </c:tx>
          <c:spPr>
            <a:gradFill>
              <a:gsLst>
                <a:gs pos="100000">
                  <a:schemeClr val="accent5"/>
                </a:gs>
                <a:gs pos="0">
                  <a:schemeClr val="accent5">
                    <a:hueOff val="-1670000"/>
                  </a:schemeClr>
                </a:gs>
              </a:gsLst>
              <a:lin ang="10800000" scaled="0"/>
            </a:gradFill>
            <a:ln>
              <a:gradFill>
                <a:gsLst>
                  <a:gs pos="100000">
                    <a:schemeClr val="accent5">
                      <a:lumMod val="75000"/>
                    </a:schemeClr>
                  </a:gs>
                  <a:gs pos="0">
                    <a:schemeClr val="accent5">
                      <a:lumMod val="75000"/>
                      <a:hueOff val="-1670000"/>
                    </a:schemeClr>
                  </a:gs>
                </a:gsLst>
                <a:lin ang="10800000" scaled="0"/>
              </a:gra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[210326.xlsx]Charts!$C$15:$G$15</c:f>
              <c:numCache>
                <c:formatCode>General</c:formatCode>
                <c:ptCount val="5"/>
                <c:pt idx="0">
                  <c:v>2020</c:v>
                </c:pt>
                <c:pt idx="1">
                  <c:v>2021</c:v>
                </c:pt>
                <c:pt idx="2">
                  <c:v>2022</c:v>
                </c:pt>
                <c:pt idx="3">
                  <c:v>2023</c:v>
                </c:pt>
                <c:pt idx="4">
                  <c:v>2024</c:v>
                </c:pt>
              </c:numCache>
            </c:numRef>
          </c:cat>
          <c:val>
            <c:numRef>
              <c:f>[210326.xlsx]Charts!$C$17:$G$17</c:f>
              <c:numCache>
                <c:formatCode>0.00_ </c:formatCode>
                <c:ptCount val="5"/>
                <c:pt idx="0">
                  <c:v>4.2230467044958502</c:v>
                </c:pt>
                <c:pt idx="1">
                  <c:v>10.6023102310231</c:v>
                </c:pt>
                <c:pt idx="2">
                  <c:v>50.054298642533901</c:v>
                </c:pt>
                <c:pt idx="3">
                  <c:v>6.1890109890109901</c:v>
                </c:pt>
                <c:pt idx="4">
                  <c:v>5.5310504933256004</c:v>
                </c:pt>
              </c:numCache>
            </c:numRef>
          </c:val>
          <c:extLst>
            <c:ext xmlns:c16="http://schemas.microsoft.com/office/drawing/2014/chart" uri="{C3380CC4-5D6E-409C-BE32-E72D297353CC}">
              <c16:uniqueId val="{00000001-C810-4D4F-AC53-D45E85036F43}"/>
            </c:ext>
          </c:extLst>
        </c:ser>
        <c:dLbls>
          <c:showLegendKey val="0"/>
          <c:showVal val="1"/>
          <c:showCatName val="0"/>
          <c:showSerName val="0"/>
          <c:showPercent val="0"/>
          <c:showBubbleSize val="0"/>
        </c:dLbls>
        <c:gapWidth val="140"/>
        <c:overlap val="-40"/>
        <c:axId val="496298627"/>
        <c:axId val="769976008"/>
      </c:barChart>
      <c:catAx>
        <c:axId val="496298627"/>
        <c:scaling>
          <c:orientation val="minMax"/>
        </c:scaling>
        <c:delete val="0"/>
        <c:axPos val="l"/>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769976008"/>
        <c:crosses val="autoZero"/>
        <c:auto val="1"/>
        <c:lblAlgn val="ctr"/>
        <c:lblOffset val="100"/>
        <c:noMultiLvlLbl val="0"/>
      </c:catAx>
      <c:valAx>
        <c:axId val="769976008"/>
        <c:scaling>
          <c:orientation val="minMax"/>
        </c:scaling>
        <c:delete val="0"/>
        <c:axPos val="b"/>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496298627"/>
        <c:crosses val="autoZero"/>
        <c:crossBetween val="between"/>
      </c:valAx>
      <c:spPr>
        <a:noFill/>
        <a:ln>
          <a:noFill/>
        </a:ln>
        <a:effectLst/>
      </c:spPr>
    </c:plotArea>
    <c:legend>
      <c:legendPos val="r"/>
      <c:overlay val="0"/>
      <c:spPr>
        <a:noFill/>
        <a:ln>
          <a:noFill/>
        </a:ln>
        <a:effectLst/>
      </c:spPr>
      <c:txPr>
        <a:bodyPr rot="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d0574b8c-e5e1-4790-af66-4562e2409699}"/>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IN"/>
              <a:t>Investment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IN"/>
        </a:p>
      </c:txPr>
    </c:title>
    <c:autoTitleDeleted val="0"/>
    <c:plotArea>
      <c:layout/>
      <c:lineChart>
        <c:grouping val="standard"/>
        <c:varyColors val="0"/>
        <c:ser>
          <c:idx val="0"/>
          <c:order val="0"/>
          <c:tx>
            <c:strRef>
              <c:f>[210326.xlsx]Charts!$B$20</c:f>
              <c:strCache>
                <c:ptCount val="1"/>
                <c:pt idx="0">
                  <c:v>EPS</c:v>
                </c:pt>
              </c:strCache>
            </c:strRef>
          </c:tx>
          <c:spPr>
            <a:ln w="28575" cap="rnd">
              <a:solidFill>
                <a:srgbClr val="637CEF"/>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[210326.xlsx]Charts!$C$19:$G$19</c:f>
              <c:numCache>
                <c:formatCode>General</c:formatCode>
                <c:ptCount val="5"/>
                <c:pt idx="0">
                  <c:v>2020</c:v>
                </c:pt>
                <c:pt idx="1">
                  <c:v>2021</c:v>
                </c:pt>
                <c:pt idx="2">
                  <c:v>2022</c:v>
                </c:pt>
                <c:pt idx="3">
                  <c:v>2023</c:v>
                </c:pt>
                <c:pt idx="4">
                  <c:v>2024</c:v>
                </c:pt>
              </c:numCache>
            </c:numRef>
          </c:cat>
          <c:val>
            <c:numRef>
              <c:f>[210326.xlsx]Charts!$C$20:$G$20</c:f>
              <c:numCache>
                <c:formatCode>0.00_ </c:formatCode>
                <c:ptCount val="5"/>
                <c:pt idx="0">
                  <c:v>16.617702448210899</c:v>
                </c:pt>
                <c:pt idx="1">
                  <c:v>29.5555555555556</c:v>
                </c:pt>
                <c:pt idx="2">
                  <c:v>29.655430711610499</c:v>
                </c:pt>
                <c:pt idx="3">
                  <c:v>31.781138790035602</c:v>
                </c:pt>
                <c:pt idx="4">
                  <c:v>21.368965517241399</c:v>
                </c:pt>
              </c:numCache>
            </c:numRef>
          </c:val>
          <c:smooth val="0"/>
          <c:extLst>
            <c:ext xmlns:c16="http://schemas.microsoft.com/office/drawing/2014/chart" uri="{C3380CC4-5D6E-409C-BE32-E72D297353CC}">
              <c16:uniqueId val="{00000000-FE32-46E3-A2E2-E22181FC56AF}"/>
            </c:ext>
          </c:extLst>
        </c:ser>
        <c:ser>
          <c:idx val="1"/>
          <c:order val="1"/>
          <c:tx>
            <c:strRef>
              <c:f>[210326.xlsx]Charts!$B$21</c:f>
              <c:strCache>
                <c:ptCount val="1"/>
                <c:pt idx="0">
                  <c:v>Return on Equity</c:v>
                </c:pt>
              </c:strCache>
            </c:strRef>
          </c:tx>
          <c:spPr>
            <a:ln w="28575" cap="rnd">
              <a:solidFill>
                <a:srgbClr val="E3008C"/>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[210326.xlsx]Charts!$C$19:$G$19</c:f>
              <c:numCache>
                <c:formatCode>General</c:formatCode>
                <c:ptCount val="5"/>
                <c:pt idx="0">
                  <c:v>2020</c:v>
                </c:pt>
                <c:pt idx="1">
                  <c:v>2021</c:v>
                </c:pt>
                <c:pt idx="2">
                  <c:v>2022</c:v>
                </c:pt>
                <c:pt idx="3">
                  <c:v>2023</c:v>
                </c:pt>
                <c:pt idx="4">
                  <c:v>2024</c:v>
                </c:pt>
              </c:numCache>
            </c:numRef>
          </c:cat>
          <c:val>
            <c:numRef>
              <c:f>[210326.xlsx]Charts!$C$21:$G$21</c:f>
              <c:numCache>
                <c:formatCode>0.00%</c:formatCode>
                <c:ptCount val="5"/>
                <c:pt idx="0">
                  <c:v>6.8518360342591803E-2</c:v>
                </c:pt>
                <c:pt idx="1">
                  <c:v>0.10555988888432701</c:v>
                </c:pt>
                <c:pt idx="2">
                  <c:v>8.8803153756862402E-2</c:v>
                </c:pt>
                <c:pt idx="3">
                  <c:v>9.4409734335521703E-2</c:v>
                </c:pt>
                <c:pt idx="4">
                  <c:v>6.2999730596601494E-2</c:v>
                </c:pt>
              </c:numCache>
            </c:numRef>
          </c:val>
          <c:smooth val="0"/>
          <c:extLst>
            <c:ext xmlns:c16="http://schemas.microsoft.com/office/drawing/2014/chart" uri="{C3380CC4-5D6E-409C-BE32-E72D297353CC}">
              <c16:uniqueId val="{00000001-FE32-46E3-A2E2-E22181FC56AF}"/>
            </c:ext>
          </c:extLst>
        </c:ser>
        <c:dLbls>
          <c:showLegendKey val="0"/>
          <c:showVal val="1"/>
          <c:showCatName val="0"/>
          <c:showSerName val="0"/>
          <c:showPercent val="0"/>
          <c:showBubbleSize val="0"/>
        </c:dLbls>
        <c:smooth val="0"/>
        <c:axId val="935788234"/>
        <c:axId val="830649360"/>
      </c:lineChart>
      <c:catAx>
        <c:axId val="93578823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30649360"/>
        <c:crosses val="autoZero"/>
        <c:auto val="1"/>
        <c:lblAlgn val="ctr"/>
        <c:lblOffset val="100"/>
        <c:noMultiLvlLbl val="0"/>
      </c:catAx>
      <c:valAx>
        <c:axId val="830649360"/>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35788234"/>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1c2c68b5-6982-4f68-b579-9473ebf21ac8}"/>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rPr lang="en-IN"/>
              <a:t>Cash Flow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endParaRPr lang="en-IN"/>
        </a:p>
      </c:txPr>
    </c:title>
    <c:autoTitleDeleted val="0"/>
    <c:plotArea>
      <c:layout/>
      <c:lineChart>
        <c:grouping val="stacked"/>
        <c:varyColors val="0"/>
        <c:ser>
          <c:idx val="0"/>
          <c:order val="0"/>
          <c:tx>
            <c:strRef>
              <c:f>[210326.xlsx]Charts!$B$24</c:f>
              <c:strCache>
                <c:ptCount val="1"/>
                <c:pt idx="0">
                  <c:v>Operating cash flow ratio</c:v>
                </c:pt>
              </c:strCache>
            </c:strRef>
          </c:tx>
          <c:spPr>
            <a:ln w="28575" cap="rnd">
              <a:solidFill>
                <a:schemeClr val="accent5">
                  <a:shade val="76667"/>
                </a:schemeClr>
              </a:solidFill>
              <a:round/>
            </a:ln>
            <a:effectLst>
              <a:outerShdw blurRad="50800" dist="25400" dir="5400000" algn="t" rotWithShape="0">
                <a:schemeClr val="accent5">
                  <a:shade val="76667"/>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[210326.xlsx]Charts!$C$23:$G$23</c:f>
              <c:numCache>
                <c:formatCode>General</c:formatCode>
                <c:ptCount val="5"/>
                <c:pt idx="0">
                  <c:v>2020</c:v>
                </c:pt>
                <c:pt idx="1">
                  <c:v>2021</c:v>
                </c:pt>
                <c:pt idx="2">
                  <c:v>2022</c:v>
                </c:pt>
                <c:pt idx="3">
                  <c:v>2023</c:v>
                </c:pt>
                <c:pt idx="4">
                  <c:v>2024</c:v>
                </c:pt>
              </c:numCache>
            </c:numRef>
          </c:cat>
          <c:val>
            <c:numRef>
              <c:f>[210326.xlsx]Charts!$C$24:$G$24</c:f>
              <c:numCache>
                <c:formatCode>0.00_ </c:formatCode>
                <c:ptCount val="5"/>
                <c:pt idx="0">
                  <c:v>0.150541079741249</c:v>
                </c:pt>
                <c:pt idx="1">
                  <c:v>0.23500392352472399</c:v>
                </c:pt>
                <c:pt idx="2">
                  <c:v>0.15572265454227499</c:v>
                </c:pt>
                <c:pt idx="3">
                  <c:v>9.3944747519850894E-2</c:v>
                </c:pt>
                <c:pt idx="4">
                  <c:v>7.9022664129488204E-2</c:v>
                </c:pt>
              </c:numCache>
            </c:numRef>
          </c:val>
          <c:smooth val="0"/>
          <c:extLst>
            <c:ext xmlns:c16="http://schemas.microsoft.com/office/drawing/2014/chart" uri="{C3380CC4-5D6E-409C-BE32-E72D297353CC}">
              <c16:uniqueId val="{00000000-962C-4BA0-8472-66109AE58E14}"/>
            </c:ext>
          </c:extLst>
        </c:ser>
        <c:ser>
          <c:idx val="1"/>
          <c:order val="1"/>
          <c:tx>
            <c:strRef>
              <c:f>[210326.xlsx]Charts!$B$25</c:f>
              <c:strCache>
                <c:ptCount val="1"/>
                <c:pt idx="0">
                  <c:v>Cash ratio</c:v>
                </c:pt>
              </c:strCache>
            </c:strRef>
          </c:tx>
          <c:spPr>
            <a:ln w="28575" cap="rnd">
              <a:solidFill>
                <a:schemeClr val="accent5">
                  <a:tint val="76667"/>
                </a:schemeClr>
              </a:solidFill>
              <a:round/>
            </a:ln>
            <a:effectLst>
              <a:outerShdw blurRad="50800" dist="25400" dir="5400000" algn="t" rotWithShape="0">
                <a:schemeClr val="accent5">
                  <a:tint val="76667"/>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[210326.xlsx]Charts!$C$23:$G$23</c:f>
              <c:numCache>
                <c:formatCode>General</c:formatCode>
                <c:ptCount val="5"/>
                <c:pt idx="0">
                  <c:v>2020</c:v>
                </c:pt>
                <c:pt idx="1">
                  <c:v>2021</c:v>
                </c:pt>
                <c:pt idx="2">
                  <c:v>2022</c:v>
                </c:pt>
                <c:pt idx="3">
                  <c:v>2023</c:v>
                </c:pt>
                <c:pt idx="4">
                  <c:v>2024</c:v>
                </c:pt>
              </c:numCache>
            </c:numRef>
          </c:cat>
          <c:val>
            <c:numRef>
              <c:f>[210326.xlsx]Charts!$C$25:$G$25</c:f>
              <c:numCache>
                <c:formatCode>0.00_ </c:formatCode>
                <c:ptCount val="5"/>
                <c:pt idx="0">
                  <c:v>0.204999697720815</c:v>
                </c:pt>
                <c:pt idx="1">
                  <c:v>0.24163437615956901</c:v>
                </c:pt>
                <c:pt idx="2">
                  <c:v>0.15941680510623399</c:v>
                </c:pt>
                <c:pt idx="3">
                  <c:v>0.210880622803782</c:v>
                </c:pt>
                <c:pt idx="4">
                  <c:v>0.185662484622579</c:v>
                </c:pt>
              </c:numCache>
            </c:numRef>
          </c:val>
          <c:smooth val="0"/>
          <c:extLst>
            <c:ext xmlns:c16="http://schemas.microsoft.com/office/drawing/2014/chart" uri="{C3380CC4-5D6E-409C-BE32-E72D297353CC}">
              <c16:uniqueId val="{00000001-962C-4BA0-8472-66109AE58E14}"/>
            </c:ext>
          </c:extLst>
        </c:ser>
        <c:dLbls>
          <c:showLegendKey val="0"/>
          <c:showVal val="1"/>
          <c:showCatName val="0"/>
          <c:showSerName val="0"/>
          <c:showPercent val="0"/>
          <c:showBubbleSize val="0"/>
        </c:dLbls>
        <c:smooth val="0"/>
        <c:axId val="747977570"/>
        <c:axId val="63502542"/>
      </c:lineChart>
      <c:catAx>
        <c:axId val="747977570"/>
        <c:scaling>
          <c:orientation val="minMax"/>
        </c:scaling>
        <c:delete val="0"/>
        <c:axPos val="b"/>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63502542"/>
        <c:crosses val="autoZero"/>
        <c:auto val="1"/>
        <c:lblAlgn val="ctr"/>
        <c:lblOffset val="100"/>
        <c:noMultiLvlLbl val="0"/>
      </c:catAx>
      <c:valAx>
        <c:axId val="63502542"/>
        <c:scaling>
          <c:orientation val="minMax"/>
        </c:scaling>
        <c:delete val="1"/>
        <c:axPos val="l"/>
        <c:numFmt formatCode="0.00_ " sourceLinked="1"/>
        <c:majorTickMark val="none"/>
        <c:minorTickMark val="none"/>
        <c:tickLblPos val="nextTo"/>
        <c:crossAx val="747977570"/>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557fc6c2-fe3e-4204-8bb0-349a661595e6}"/>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IN"/>
              <a:t>Cash Operating Cycle</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IN"/>
        </a:p>
      </c:txPr>
    </c:title>
    <c:autoTitleDeleted val="0"/>
    <c:plotArea>
      <c:layout/>
      <c:lineChart>
        <c:grouping val="stacked"/>
        <c:varyColors val="0"/>
        <c:ser>
          <c:idx val="0"/>
          <c:order val="0"/>
          <c:tx>
            <c:strRef>
              <c:f>[210326.xlsx]Charts!$B$28</c:f>
              <c:strCache>
                <c:ptCount val="1"/>
                <c:pt idx="0">
                  <c:v>Inventory days</c:v>
                </c:pt>
              </c:strCache>
            </c:strRef>
          </c:tx>
          <c:spPr>
            <a:ln w="28575" cap="rnd">
              <a:gradFill>
                <a:gsLst>
                  <a:gs pos="100000">
                    <a:schemeClr val="accent3">
                      <a:shade val="58000"/>
                    </a:schemeClr>
                  </a:gs>
                  <a:gs pos="0">
                    <a:schemeClr val="accent3">
                      <a:shade val="58000"/>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[210326.xlsx]Charts!$C$27:$G$27</c:f>
              <c:numCache>
                <c:formatCode>General</c:formatCode>
                <c:ptCount val="5"/>
                <c:pt idx="0">
                  <c:v>2020</c:v>
                </c:pt>
                <c:pt idx="1">
                  <c:v>2021</c:v>
                </c:pt>
                <c:pt idx="2">
                  <c:v>2022</c:v>
                </c:pt>
                <c:pt idx="3">
                  <c:v>2023</c:v>
                </c:pt>
                <c:pt idx="4">
                  <c:v>2024</c:v>
                </c:pt>
              </c:numCache>
            </c:numRef>
          </c:cat>
          <c:val>
            <c:numRef>
              <c:f>[210326.xlsx]Charts!$C$28:$G$28</c:f>
              <c:numCache>
                <c:formatCode>0_ </c:formatCode>
                <c:ptCount val="5"/>
                <c:pt idx="0">
                  <c:v>89.857464784138003</c:v>
                </c:pt>
                <c:pt idx="1">
                  <c:v>78.722845500815396</c:v>
                </c:pt>
                <c:pt idx="2">
                  <c:v>77.178112816898306</c:v>
                </c:pt>
                <c:pt idx="3">
                  <c:v>73.946656894974694</c:v>
                </c:pt>
                <c:pt idx="4">
                  <c:v>75.9230666254374</c:v>
                </c:pt>
              </c:numCache>
            </c:numRef>
          </c:val>
          <c:smooth val="1"/>
          <c:extLst>
            <c:ext xmlns:c16="http://schemas.microsoft.com/office/drawing/2014/chart" uri="{C3380CC4-5D6E-409C-BE32-E72D297353CC}">
              <c16:uniqueId val="{00000000-82B3-4D91-AA00-F0E3FE421511}"/>
            </c:ext>
          </c:extLst>
        </c:ser>
        <c:ser>
          <c:idx val="1"/>
          <c:order val="1"/>
          <c:tx>
            <c:strRef>
              <c:f>[210326.xlsx]Charts!$B$29</c:f>
              <c:strCache>
                <c:ptCount val="1"/>
                <c:pt idx="0">
                  <c:v>Receivable days</c:v>
                </c:pt>
              </c:strCache>
            </c:strRef>
          </c:tx>
          <c:spPr>
            <a:ln w="28575" cap="rnd">
              <a:gradFill>
                <a:gsLst>
                  <a:gs pos="100000">
                    <a:schemeClr val="accent3">
                      <a:shade val="86000"/>
                    </a:schemeClr>
                  </a:gs>
                  <a:gs pos="0">
                    <a:schemeClr val="accent3">
                      <a:shade val="86000"/>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[210326.xlsx]Charts!$C$27:$G$27</c:f>
              <c:numCache>
                <c:formatCode>General</c:formatCode>
                <c:ptCount val="5"/>
                <c:pt idx="0">
                  <c:v>2020</c:v>
                </c:pt>
                <c:pt idx="1">
                  <c:v>2021</c:v>
                </c:pt>
                <c:pt idx="2">
                  <c:v>2022</c:v>
                </c:pt>
                <c:pt idx="3">
                  <c:v>2023</c:v>
                </c:pt>
                <c:pt idx="4">
                  <c:v>2024</c:v>
                </c:pt>
              </c:numCache>
            </c:numRef>
          </c:cat>
          <c:val>
            <c:numRef>
              <c:f>[210326.xlsx]Charts!$C$29:$G$29</c:f>
              <c:numCache>
                <c:formatCode>0_ </c:formatCode>
                <c:ptCount val="5"/>
                <c:pt idx="0">
                  <c:v>26.599912959207501</c:v>
                </c:pt>
                <c:pt idx="1">
                  <c:v>22.642545963229399</c:v>
                </c:pt>
                <c:pt idx="2">
                  <c:v>24.288279996562</c:v>
                </c:pt>
                <c:pt idx="3">
                  <c:v>24.744898909036699</c:v>
                </c:pt>
                <c:pt idx="4">
                  <c:v>23.755759942831801</c:v>
                </c:pt>
              </c:numCache>
            </c:numRef>
          </c:val>
          <c:smooth val="1"/>
          <c:extLst>
            <c:ext xmlns:c16="http://schemas.microsoft.com/office/drawing/2014/chart" uri="{C3380CC4-5D6E-409C-BE32-E72D297353CC}">
              <c16:uniqueId val="{00000001-82B3-4D91-AA00-F0E3FE421511}"/>
            </c:ext>
          </c:extLst>
        </c:ser>
        <c:ser>
          <c:idx val="2"/>
          <c:order val="2"/>
          <c:tx>
            <c:strRef>
              <c:f>[210326.xlsx]Charts!$B$30</c:f>
              <c:strCache>
                <c:ptCount val="1"/>
                <c:pt idx="0">
                  <c:v>Payable days</c:v>
                </c:pt>
              </c:strCache>
            </c:strRef>
          </c:tx>
          <c:spPr>
            <a:ln w="28575" cap="rnd">
              <a:gradFill>
                <a:gsLst>
                  <a:gs pos="100000">
                    <a:schemeClr val="accent3">
                      <a:tint val="86000"/>
                    </a:schemeClr>
                  </a:gs>
                  <a:gs pos="0">
                    <a:schemeClr val="accent3">
                      <a:tint val="86000"/>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[210326.xlsx]Charts!$C$27:$G$27</c:f>
              <c:numCache>
                <c:formatCode>General</c:formatCode>
                <c:ptCount val="5"/>
                <c:pt idx="0">
                  <c:v>2020</c:v>
                </c:pt>
                <c:pt idx="1">
                  <c:v>2021</c:v>
                </c:pt>
                <c:pt idx="2">
                  <c:v>2022</c:v>
                </c:pt>
                <c:pt idx="3">
                  <c:v>2023</c:v>
                </c:pt>
                <c:pt idx="4">
                  <c:v>2024</c:v>
                </c:pt>
              </c:numCache>
            </c:numRef>
          </c:cat>
          <c:val>
            <c:numRef>
              <c:f>[210326.xlsx]Charts!$C$30:$G$30</c:f>
              <c:numCache>
                <c:formatCode>0_ </c:formatCode>
                <c:ptCount val="5"/>
                <c:pt idx="0">
                  <c:v>44.999673801355897</c:v>
                </c:pt>
                <c:pt idx="1">
                  <c:v>42.485231007247798</c:v>
                </c:pt>
                <c:pt idx="2">
                  <c:v>46.223739565207801</c:v>
                </c:pt>
                <c:pt idx="3">
                  <c:v>43.164593052403603</c:v>
                </c:pt>
                <c:pt idx="4">
                  <c:v>40.978264148666597</c:v>
                </c:pt>
              </c:numCache>
            </c:numRef>
          </c:val>
          <c:smooth val="1"/>
          <c:extLst>
            <c:ext xmlns:c16="http://schemas.microsoft.com/office/drawing/2014/chart" uri="{C3380CC4-5D6E-409C-BE32-E72D297353CC}">
              <c16:uniqueId val="{00000002-82B3-4D91-AA00-F0E3FE421511}"/>
            </c:ext>
          </c:extLst>
        </c:ser>
        <c:ser>
          <c:idx val="3"/>
          <c:order val="3"/>
          <c:tx>
            <c:strRef>
              <c:f>[210326.xlsx]Charts!$B$31</c:f>
              <c:strCache>
                <c:ptCount val="1"/>
                <c:pt idx="0">
                  <c:v>Cash Operating Cycle</c:v>
                </c:pt>
              </c:strCache>
            </c:strRef>
          </c:tx>
          <c:spPr>
            <a:ln w="28575" cap="rnd">
              <a:gradFill>
                <a:gsLst>
                  <a:gs pos="100000">
                    <a:schemeClr val="accent3">
                      <a:tint val="58000"/>
                    </a:schemeClr>
                  </a:gs>
                  <a:gs pos="0">
                    <a:schemeClr val="accent3">
                      <a:tint val="58000"/>
                      <a:hueOff val="-1670000"/>
                    </a:schemeClr>
                  </a:gs>
                </a:gsLst>
                <a:lin ang="0" scaled="1"/>
              </a:gra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[210326.xlsx]Charts!$C$27:$G$27</c:f>
              <c:numCache>
                <c:formatCode>General</c:formatCode>
                <c:ptCount val="5"/>
                <c:pt idx="0">
                  <c:v>2020</c:v>
                </c:pt>
                <c:pt idx="1">
                  <c:v>2021</c:v>
                </c:pt>
                <c:pt idx="2">
                  <c:v>2022</c:v>
                </c:pt>
                <c:pt idx="3">
                  <c:v>2023</c:v>
                </c:pt>
                <c:pt idx="4">
                  <c:v>2024</c:v>
                </c:pt>
              </c:numCache>
            </c:numRef>
          </c:cat>
          <c:val>
            <c:numRef>
              <c:f>[210326.xlsx]Charts!$C$31:$G$31</c:f>
              <c:numCache>
                <c:formatCode>0_ </c:formatCode>
                <c:ptCount val="5"/>
                <c:pt idx="0">
                  <c:v>71.457703941989607</c:v>
                </c:pt>
                <c:pt idx="1">
                  <c:v>58.8801604567971</c:v>
                </c:pt>
                <c:pt idx="2">
                  <c:v>55.242653248252502</c:v>
                </c:pt>
                <c:pt idx="3">
                  <c:v>55.526962751607897</c:v>
                </c:pt>
                <c:pt idx="4">
                  <c:v>58.700562419602598</c:v>
                </c:pt>
              </c:numCache>
            </c:numRef>
          </c:val>
          <c:smooth val="1"/>
          <c:extLst>
            <c:ext xmlns:c16="http://schemas.microsoft.com/office/drawing/2014/chart" uri="{C3380CC4-5D6E-409C-BE32-E72D297353CC}">
              <c16:uniqueId val="{00000003-82B3-4D91-AA00-F0E3FE421511}"/>
            </c:ext>
          </c:extLst>
        </c:ser>
        <c:dLbls>
          <c:showLegendKey val="0"/>
          <c:showVal val="1"/>
          <c:showCatName val="0"/>
          <c:showSerName val="0"/>
          <c:showPercent val="0"/>
          <c:showBubbleSize val="0"/>
        </c:dLbls>
        <c:smooth val="0"/>
        <c:axId val="86225359"/>
        <c:axId val="615025436"/>
      </c:lineChart>
      <c:catAx>
        <c:axId val="8622535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15025436"/>
        <c:crosses val="autoZero"/>
        <c:auto val="1"/>
        <c:lblAlgn val="ctr"/>
        <c:lblOffset val="100"/>
        <c:noMultiLvlLbl val="0"/>
      </c:catAx>
      <c:valAx>
        <c:axId val="615025436"/>
        <c:scaling>
          <c:orientation val="minMax"/>
        </c:scaling>
        <c:delete val="1"/>
        <c:axPos val="l"/>
        <c:numFmt formatCode="0_ " sourceLinked="1"/>
        <c:majorTickMark val="none"/>
        <c:minorTickMark val="none"/>
        <c:tickLblPos val="nextTo"/>
        <c:crossAx val="86225359"/>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a1949f08-392e-427f-8038-6aac3cba92bf}"/>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10125">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10800000" scaled="0"/>
      </a:gradFill>
      <a:ln>
        <a:gradFill>
          <a:gsLst>
            <a:gs pos="95000">
              <a:schemeClr val="phClr">
                <a:lumMod val="75000"/>
              </a:schemeClr>
            </a:gs>
            <a:gs pos="0">
              <a:schemeClr val="phClr">
                <a:lumMod val="75000"/>
                <a:hueOff val="-1670000"/>
              </a:schemeClr>
            </a:gs>
          </a:gsLst>
          <a:lin ang="10800000" scaled="0"/>
        </a:gra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4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gradFill>
          <a:gsLst>
            <a:gs pos="100000">
              <a:schemeClr val="phClr"/>
            </a:gs>
            <a:gs pos="0">
              <a:schemeClr val="phClr">
                <a:hueOff val="-1670000"/>
              </a:schemeClr>
            </a:gs>
          </a:gsLst>
          <a:lin ang="0" scaled="1"/>
        </a:gra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126">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10800000" scaled="0"/>
      </a:gradFill>
      <a:ln>
        <a:gradFill>
          <a:gsLst>
            <a:gs pos="100000">
              <a:schemeClr val="phClr">
                <a:lumMod val="75000"/>
              </a:schemeClr>
            </a:gs>
            <a:gs pos="0">
              <a:schemeClr val="phClr">
                <a:lumMod val="75000"/>
                <a:hueOff val="-1670000"/>
              </a:schemeClr>
            </a:gs>
          </a:gsLst>
          <a:lin ang="10800000" scaled="0"/>
        </a:gra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44">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styleClr val="auto"/>
    </cs:effectRef>
    <cs:fontRef idx="minor">
      <a:schemeClr val="dk1"/>
    </cs:fontRef>
    <cs:spPr>
      <a:ln w="28575" cap="rnd">
        <a:solidFill>
          <a:schemeClr val="phClr"/>
        </a:solidFill>
        <a:round/>
      </a:ln>
      <a:effectLst>
        <a:outerShdw blurRad="50800" dist="25400" dir="5400000" algn="t" rotWithShape="0">
          <a:schemeClr val="phClr">
            <a:lumMod val="50000"/>
            <a:alpha val="30000"/>
          </a:schemeClr>
        </a:outerShdw>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4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gradFill>
          <a:gsLst>
            <a:gs pos="100000">
              <a:schemeClr val="phClr"/>
            </a:gs>
            <a:gs pos="0">
              <a:schemeClr val="phClr">
                <a:hueOff val="-1670000"/>
              </a:schemeClr>
            </a:gs>
          </a:gsLst>
          <a:lin ang="0" scaled="1"/>
        </a:gra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6981</Words>
  <Characters>39794</Characters>
  <Application>Microsoft Office Word</Application>
  <DocSecurity>0</DocSecurity>
  <Lines>331</Lines>
  <Paragraphs>93</Paragraphs>
  <ScaleCrop>false</ScaleCrop>
  <Company/>
  <LinksUpToDate>false</LinksUpToDate>
  <CharactersWithSpaces>46682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Rutvik Patel</dc:creator>
  <cp:lastModifiedBy>Krishna Patel</cp:lastModifiedBy>
  <cp:revision>2</cp:revision>
  <dcterms:created xsi:type="dcterms:W3CDTF">2026-04-24T09:57:00Z</dcterms:created>
  <dcterms:modified xsi:type="dcterms:W3CDTF">2026-04-24T09:57:00Z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1033-12.1.22554.22554</vt:lpwstr>
  </property>
  <property fmtid="{D5CDD505-2E9C-101B-9397-08002B2CF9AE}" pid="3" name="ICV">
    <vt:lpwstr>3DB530037A2653A20998BB69D6170CDA_41</vt:lpwstr>
  </property>
  <property fmtid="{D5CDD505-2E9C-101B-9397-08002B2CF9AE}" pid="4" name="GrammarlyDocumentId">
    <vt:lpwstr>f01ad002-2bf6-428a-b19d-57e14df93434</vt:lpwstr>
  </property>
</Properties>
</file>