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8C449B" w14:textId="5A39D272" w:rsidR="006B742E" w:rsidRDefault="006B742E">
      <w:r>
        <w:rPr>
          <w:noProof/>
        </w:rPr>
        <w:drawing>
          <wp:inline distT="0" distB="0" distL="0" distR="0" wp14:anchorId="244DA1D9" wp14:editId="1662AA52">
            <wp:extent cx="3572510" cy="1487805"/>
            <wp:effectExtent l="0" t="0" r="8890" b="0"/>
            <wp:docPr id="1762994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72510" cy="1487805"/>
                    </a:xfrm>
                    <a:prstGeom prst="rect">
                      <a:avLst/>
                    </a:prstGeom>
                    <a:noFill/>
                  </pic:spPr>
                </pic:pic>
              </a:graphicData>
            </a:graphic>
          </wp:inline>
        </w:drawing>
      </w:r>
    </w:p>
    <w:p w14:paraId="18EBA0C4" w14:textId="77777777" w:rsidR="006B742E" w:rsidRDefault="006B742E"/>
    <w:p w14:paraId="16B82ACF" w14:textId="77777777" w:rsidR="006B742E" w:rsidRPr="00BF7DDC" w:rsidRDefault="006B742E" w:rsidP="006B742E">
      <w:pPr>
        <w:spacing w:before="240" w:line="360" w:lineRule="auto"/>
        <w:rPr>
          <w:rFonts w:ascii="Arial" w:hAnsi="Arial" w:cs="Arial"/>
          <w:b/>
          <w:bCs/>
          <w:sz w:val="36"/>
          <w:szCs w:val="36"/>
        </w:rPr>
      </w:pPr>
      <w:r w:rsidRPr="00BF7DDC">
        <w:rPr>
          <w:rFonts w:ascii="Arial" w:hAnsi="Arial" w:cs="Arial"/>
          <w:b/>
          <w:bCs/>
          <w:sz w:val="36"/>
          <w:szCs w:val="36"/>
        </w:rPr>
        <w:t>Title:</w:t>
      </w:r>
    </w:p>
    <w:p w14:paraId="44974844" w14:textId="10DDF9B9" w:rsidR="006B742E" w:rsidRDefault="006B742E" w:rsidP="006B742E">
      <w:pPr>
        <w:spacing w:before="240" w:line="360" w:lineRule="auto"/>
        <w:rPr>
          <w:rFonts w:ascii="Arial" w:hAnsi="Arial" w:cs="Arial"/>
          <w:sz w:val="36"/>
          <w:szCs w:val="36"/>
        </w:rPr>
      </w:pPr>
      <w:r>
        <w:rPr>
          <w:rFonts w:ascii="Arial" w:hAnsi="Arial" w:cs="Arial"/>
          <w:sz w:val="36"/>
          <w:szCs w:val="36"/>
        </w:rPr>
        <w:t>Evaluating t</w:t>
      </w:r>
      <w:r w:rsidRPr="00BF7DDC">
        <w:rPr>
          <w:rFonts w:ascii="Arial" w:hAnsi="Arial" w:cs="Arial"/>
          <w:sz w:val="36"/>
          <w:szCs w:val="36"/>
        </w:rPr>
        <w:t xml:space="preserve">he Impact of Hotel Location on Sales Strategies and Meetings </w:t>
      </w:r>
      <w:r>
        <w:rPr>
          <w:rFonts w:ascii="Arial" w:hAnsi="Arial" w:cs="Arial"/>
          <w:sz w:val="36"/>
          <w:szCs w:val="36"/>
        </w:rPr>
        <w:t>&amp;</w:t>
      </w:r>
      <w:r w:rsidRPr="00BF7DDC">
        <w:rPr>
          <w:rFonts w:ascii="Arial" w:hAnsi="Arial" w:cs="Arial"/>
          <w:sz w:val="36"/>
          <w:szCs w:val="36"/>
        </w:rPr>
        <w:t xml:space="preserve"> Events</w:t>
      </w:r>
      <w:r>
        <w:rPr>
          <w:rFonts w:ascii="Arial" w:hAnsi="Arial" w:cs="Arial"/>
          <w:sz w:val="36"/>
          <w:szCs w:val="36"/>
        </w:rPr>
        <w:t xml:space="preserve"> Performance</w:t>
      </w:r>
      <w:r w:rsidRPr="00BF7DDC">
        <w:rPr>
          <w:rFonts w:ascii="Arial" w:hAnsi="Arial" w:cs="Arial"/>
          <w:sz w:val="36"/>
          <w:szCs w:val="36"/>
        </w:rPr>
        <w:t>:</w:t>
      </w:r>
    </w:p>
    <w:p w14:paraId="324F0F0E" w14:textId="7ABC3589" w:rsidR="006B742E" w:rsidRDefault="006B742E" w:rsidP="006B742E">
      <w:pPr>
        <w:spacing w:before="240" w:line="360" w:lineRule="auto"/>
        <w:rPr>
          <w:rFonts w:ascii="Arial" w:hAnsi="Arial" w:cs="Arial"/>
          <w:sz w:val="36"/>
          <w:szCs w:val="36"/>
        </w:rPr>
      </w:pPr>
      <w:r w:rsidRPr="00BF7DDC">
        <w:rPr>
          <w:rFonts w:ascii="Arial" w:hAnsi="Arial" w:cs="Arial"/>
          <w:sz w:val="36"/>
          <w:szCs w:val="36"/>
        </w:rPr>
        <w:t>A Case Study of DoubleTree by Hilton Dartford Bridge</w:t>
      </w:r>
    </w:p>
    <w:p w14:paraId="221FD139" w14:textId="77777777" w:rsidR="001E0E75" w:rsidRDefault="006B742E" w:rsidP="006B742E">
      <w:pPr>
        <w:spacing w:before="240" w:line="360" w:lineRule="auto"/>
        <w:rPr>
          <w:rFonts w:ascii="Arial" w:hAnsi="Arial" w:cs="Arial"/>
          <w:sz w:val="36"/>
          <w:szCs w:val="36"/>
        </w:rPr>
      </w:pPr>
      <w:r w:rsidRPr="00BF7DDC">
        <w:rPr>
          <w:rFonts w:ascii="Arial" w:hAnsi="Arial" w:cs="Arial"/>
          <w:b/>
          <w:bCs/>
          <w:sz w:val="36"/>
          <w:szCs w:val="36"/>
        </w:rPr>
        <w:t>Name</w:t>
      </w:r>
      <w:r w:rsidRPr="00BF7DDC">
        <w:rPr>
          <w:rFonts w:ascii="Arial" w:hAnsi="Arial" w:cs="Arial"/>
          <w:sz w:val="36"/>
          <w:szCs w:val="36"/>
        </w:rPr>
        <w:t>: Gergana Nikolova</w:t>
      </w:r>
      <w:r w:rsidRPr="00BF7DDC">
        <w:rPr>
          <w:rFonts w:ascii="Arial" w:hAnsi="Arial" w:cs="Arial"/>
          <w:sz w:val="36"/>
          <w:szCs w:val="36"/>
        </w:rPr>
        <w:br/>
      </w:r>
      <w:r w:rsidRPr="00BF7DDC">
        <w:rPr>
          <w:rFonts w:ascii="Arial" w:hAnsi="Arial" w:cs="Arial"/>
          <w:b/>
          <w:bCs/>
          <w:sz w:val="36"/>
          <w:szCs w:val="36"/>
        </w:rPr>
        <w:t>Student Number</w:t>
      </w:r>
      <w:r w:rsidRPr="00BF7DDC">
        <w:rPr>
          <w:rFonts w:ascii="Arial" w:hAnsi="Arial" w:cs="Arial"/>
          <w:sz w:val="36"/>
          <w:szCs w:val="36"/>
        </w:rPr>
        <w:t>: 2213953</w:t>
      </w:r>
      <w:r w:rsidRPr="00BF7DDC">
        <w:rPr>
          <w:rFonts w:ascii="Arial" w:hAnsi="Arial" w:cs="Arial"/>
          <w:sz w:val="36"/>
          <w:szCs w:val="36"/>
        </w:rPr>
        <w:br/>
      </w:r>
      <w:r w:rsidRPr="00BF7DDC">
        <w:rPr>
          <w:rFonts w:ascii="Arial" w:hAnsi="Arial" w:cs="Arial"/>
          <w:b/>
          <w:bCs/>
          <w:sz w:val="36"/>
          <w:szCs w:val="36"/>
        </w:rPr>
        <w:t>Programme</w:t>
      </w:r>
      <w:r w:rsidRPr="00BF7DDC">
        <w:rPr>
          <w:rFonts w:ascii="Arial" w:hAnsi="Arial" w:cs="Arial"/>
          <w:sz w:val="36"/>
          <w:szCs w:val="36"/>
        </w:rPr>
        <w:t>: International Hotel Management</w:t>
      </w:r>
    </w:p>
    <w:p w14:paraId="55B3DD48" w14:textId="77777777" w:rsidR="001E0E75" w:rsidRDefault="006B742E" w:rsidP="006B742E">
      <w:pPr>
        <w:spacing w:before="240" w:line="360" w:lineRule="auto"/>
        <w:rPr>
          <w:rFonts w:ascii="Arial" w:hAnsi="Arial" w:cs="Arial"/>
          <w:sz w:val="36"/>
          <w:szCs w:val="36"/>
        </w:rPr>
      </w:pPr>
      <w:r w:rsidRPr="00BF7DDC">
        <w:rPr>
          <w:rFonts w:ascii="Arial" w:hAnsi="Arial" w:cs="Arial"/>
          <w:sz w:val="36"/>
          <w:szCs w:val="36"/>
        </w:rPr>
        <w:br/>
      </w:r>
      <w:r w:rsidRPr="00BF7DDC">
        <w:rPr>
          <w:rFonts w:ascii="Arial" w:hAnsi="Arial" w:cs="Arial"/>
          <w:b/>
          <w:bCs/>
          <w:sz w:val="36"/>
          <w:szCs w:val="36"/>
        </w:rPr>
        <w:t>Module</w:t>
      </w:r>
      <w:r w:rsidRPr="00BF7DDC">
        <w:rPr>
          <w:rFonts w:ascii="Arial" w:hAnsi="Arial" w:cs="Arial"/>
          <w:sz w:val="36"/>
          <w:szCs w:val="36"/>
        </w:rPr>
        <w:t>: Hotel Placement Research Project BMIH 6008</w:t>
      </w:r>
      <w:r w:rsidRPr="00BF7DDC">
        <w:rPr>
          <w:rFonts w:ascii="Arial" w:hAnsi="Arial" w:cs="Arial"/>
          <w:sz w:val="36"/>
          <w:szCs w:val="36"/>
        </w:rPr>
        <w:br/>
      </w:r>
      <w:r w:rsidRPr="00BF7DDC">
        <w:rPr>
          <w:rFonts w:ascii="Arial" w:hAnsi="Arial" w:cs="Arial"/>
          <w:b/>
          <w:bCs/>
          <w:sz w:val="36"/>
          <w:szCs w:val="36"/>
        </w:rPr>
        <w:t>Institution</w:t>
      </w:r>
      <w:r w:rsidRPr="00BF7DDC">
        <w:rPr>
          <w:rFonts w:ascii="Arial" w:hAnsi="Arial" w:cs="Arial"/>
          <w:sz w:val="36"/>
          <w:szCs w:val="36"/>
        </w:rPr>
        <w:t>: University of Wales Trinity Saint David</w:t>
      </w:r>
      <w:r w:rsidRPr="00BF7DDC">
        <w:rPr>
          <w:rFonts w:ascii="Arial" w:hAnsi="Arial" w:cs="Arial"/>
          <w:sz w:val="36"/>
          <w:szCs w:val="36"/>
        </w:rPr>
        <w:br/>
      </w:r>
      <w:r w:rsidRPr="00BF7DDC">
        <w:rPr>
          <w:rFonts w:ascii="Arial" w:hAnsi="Arial" w:cs="Arial"/>
          <w:b/>
          <w:bCs/>
          <w:sz w:val="36"/>
          <w:szCs w:val="36"/>
        </w:rPr>
        <w:t>Department</w:t>
      </w:r>
      <w:r w:rsidRPr="00BF7DDC">
        <w:rPr>
          <w:rFonts w:ascii="Arial" w:hAnsi="Arial" w:cs="Arial"/>
          <w:sz w:val="36"/>
          <w:szCs w:val="36"/>
        </w:rPr>
        <w:t>: UWTSD Business School</w:t>
      </w:r>
    </w:p>
    <w:p w14:paraId="366144DD" w14:textId="39AA4F60" w:rsidR="006B742E" w:rsidRPr="00BF7DDC" w:rsidRDefault="006B742E" w:rsidP="006B742E">
      <w:pPr>
        <w:spacing w:before="240" w:line="360" w:lineRule="auto"/>
        <w:rPr>
          <w:rFonts w:ascii="Arial" w:hAnsi="Arial" w:cs="Arial"/>
          <w:sz w:val="36"/>
          <w:szCs w:val="36"/>
        </w:rPr>
      </w:pPr>
      <w:r w:rsidRPr="00BF7DDC">
        <w:rPr>
          <w:rFonts w:ascii="Arial" w:hAnsi="Arial" w:cs="Arial"/>
          <w:sz w:val="36"/>
          <w:szCs w:val="36"/>
        </w:rPr>
        <w:br/>
      </w:r>
      <w:r w:rsidRPr="00BF7DDC">
        <w:rPr>
          <w:rFonts w:ascii="Arial" w:hAnsi="Arial" w:cs="Arial"/>
          <w:b/>
          <w:bCs/>
          <w:sz w:val="36"/>
          <w:szCs w:val="36"/>
        </w:rPr>
        <w:t>Supervisor</w:t>
      </w:r>
      <w:r w:rsidRPr="00BF7DDC">
        <w:rPr>
          <w:rFonts w:ascii="Arial" w:hAnsi="Arial" w:cs="Arial"/>
          <w:sz w:val="36"/>
          <w:szCs w:val="36"/>
        </w:rPr>
        <w:t xml:space="preserve">: </w:t>
      </w:r>
      <w:r>
        <w:rPr>
          <w:rFonts w:ascii="Arial" w:hAnsi="Arial" w:cs="Arial"/>
          <w:sz w:val="36"/>
          <w:szCs w:val="36"/>
        </w:rPr>
        <w:t>Katryn Flyn</w:t>
      </w:r>
      <w:r w:rsidR="00FB24E4">
        <w:rPr>
          <w:rFonts w:ascii="Arial" w:hAnsi="Arial" w:cs="Arial"/>
          <w:sz w:val="36"/>
          <w:szCs w:val="36"/>
        </w:rPr>
        <w:t>n</w:t>
      </w:r>
      <w:r w:rsidRPr="00BF7DDC">
        <w:rPr>
          <w:rFonts w:ascii="Arial" w:hAnsi="Arial" w:cs="Arial"/>
          <w:sz w:val="36"/>
          <w:szCs w:val="36"/>
        </w:rPr>
        <w:br/>
      </w:r>
      <w:r w:rsidRPr="00BF7DDC">
        <w:rPr>
          <w:rFonts w:ascii="Arial" w:hAnsi="Arial" w:cs="Arial"/>
          <w:b/>
          <w:bCs/>
          <w:sz w:val="36"/>
          <w:szCs w:val="36"/>
        </w:rPr>
        <w:t>Date</w:t>
      </w:r>
      <w:r w:rsidRPr="00BF7DDC">
        <w:rPr>
          <w:rFonts w:ascii="Arial" w:hAnsi="Arial" w:cs="Arial"/>
          <w:sz w:val="36"/>
          <w:szCs w:val="36"/>
        </w:rPr>
        <w:t xml:space="preserve">: </w:t>
      </w:r>
      <w:r>
        <w:rPr>
          <w:rFonts w:ascii="Arial" w:hAnsi="Arial" w:cs="Arial"/>
          <w:sz w:val="36"/>
          <w:szCs w:val="36"/>
        </w:rPr>
        <w:t>November</w:t>
      </w:r>
      <w:r w:rsidRPr="00BF7DDC">
        <w:rPr>
          <w:rFonts w:ascii="Arial" w:hAnsi="Arial" w:cs="Arial"/>
          <w:sz w:val="36"/>
          <w:szCs w:val="36"/>
        </w:rPr>
        <w:t xml:space="preserve"> 2025</w:t>
      </w:r>
    </w:p>
    <w:p w14:paraId="507BED98" w14:textId="77777777" w:rsidR="006B742E" w:rsidRDefault="006B742E"/>
    <w:p w14:paraId="467F7CD7" w14:textId="77777777" w:rsidR="006B742E" w:rsidRDefault="006B742E"/>
    <w:p w14:paraId="01FCE544" w14:textId="77777777" w:rsidR="006B742E" w:rsidRPr="001E0E75" w:rsidRDefault="006B742E" w:rsidP="001E0E75">
      <w:pPr>
        <w:spacing w:before="240" w:line="360" w:lineRule="auto"/>
        <w:jc w:val="center"/>
        <w:rPr>
          <w:rFonts w:ascii="Arial" w:hAnsi="Arial" w:cs="Arial"/>
          <w:b/>
          <w:bCs/>
          <w:sz w:val="32"/>
          <w:szCs w:val="32"/>
        </w:rPr>
      </w:pPr>
      <w:r w:rsidRPr="001E0E75">
        <w:rPr>
          <w:rFonts w:ascii="Arial" w:hAnsi="Arial" w:cs="Arial"/>
          <w:b/>
          <w:bCs/>
          <w:sz w:val="32"/>
          <w:szCs w:val="32"/>
        </w:rPr>
        <w:t>Declaration</w:t>
      </w:r>
    </w:p>
    <w:p w14:paraId="5DF4182D" w14:textId="77777777" w:rsidR="006B742E" w:rsidRPr="001E0E75" w:rsidRDefault="006B742E" w:rsidP="001E0E75">
      <w:pPr>
        <w:spacing w:before="240" w:line="360" w:lineRule="auto"/>
        <w:jc w:val="center"/>
        <w:rPr>
          <w:rFonts w:ascii="Arial" w:hAnsi="Arial" w:cs="Arial"/>
          <w:sz w:val="32"/>
          <w:szCs w:val="32"/>
        </w:rPr>
      </w:pPr>
      <w:r w:rsidRPr="001E0E75">
        <w:rPr>
          <w:rFonts w:ascii="Arial" w:hAnsi="Arial" w:cs="Arial"/>
          <w:sz w:val="32"/>
          <w:szCs w:val="32"/>
        </w:rPr>
        <w:t>I declare that this Placement Research Project is the result of my own work and that all sources consulted have been acknowledged and referenced. I confirm that I have used AI tools (OpenAI’s ChatGPT) only for research structuring and guidance, and the final content reflects my own understanding, analysis, and critical interpretation.</w:t>
      </w:r>
    </w:p>
    <w:p w14:paraId="78505235" w14:textId="77777777" w:rsidR="006B742E" w:rsidRPr="001E0E75" w:rsidRDefault="006B742E" w:rsidP="001E0E75">
      <w:pPr>
        <w:spacing w:before="240" w:line="360" w:lineRule="auto"/>
        <w:jc w:val="center"/>
        <w:rPr>
          <w:rFonts w:ascii="Arial" w:hAnsi="Arial" w:cs="Arial"/>
          <w:sz w:val="32"/>
          <w:szCs w:val="32"/>
        </w:rPr>
      </w:pPr>
    </w:p>
    <w:p w14:paraId="29CFF2F4" w14:textId="4687530C" w:rsidR="00801217" w:rsidRPr="001E0E75" w:rsidRDefault="006B742E" w:rsidP="001E0E75">
      <w:pPr>
        <w:spacing w:before="240" w:line="360" w:lineRule="auto"/>
        <w:jc w:val="center"/>
        <w:rPr>
          <w:rFonts w:ascii="Arial" w:hAnsi="Arial" w:cs="Arial"/>
          <w:b/>
          <w:bCs/>
          <w:sz w:val="32"/>
          <w:szCs w:val="32"/>
        </w:rPr>
      </w:pPr>
      <w:r w:rsidRPr="001E0E75">
        <w:rPr>
          <w:rFonts w:ascii="Arial" w:hAnsi="Arial" w:cs="Arial"/>
          <w:b/>
          <w:bCs/>
          <w:sz w:val="32"/>
          <w:szCs w:val="32"/>
        </w:rPr>
        <w:t>Acknowledgement</w:t>
      </w:r>
    </w:p>
    <w:p w14:paraId="21876D48" w14:textId="7417A6F7" w:rsidR="00801217" w:rsidRPr="001E0E75" w:rsidRDefault="00801217" w:rsidP="001E0E75">
      <w:pPr>
        <w:spacing w:before="240" w:line="360" w:lineRule="auto"/>
        <w:jc w:val="center"/>
        <w:rPr>
          <w:rFonts w:ascii="Arial" w:hAnsi="Arial" w:cs="Arial"/>
          <w:sz w:val="32"/>
          <w:szCs w:val="32"/>
        </w:rPr>
      </w:pPr>
      <w:r w:rsidRPr="001E0E75">
        <w:rPr>
          <w:rFonts w:ascii="Arial" w:hAnsi="Arial" w:cs="Arial"/>
          <w:sz w:val="32"/>
          <w:szCs w:val="32"/>
        </w:rPr>
        <w:t>I would like to express my sincere gratitude to my academic supervisors Kathryn Flyn, Christopher Wilkins for their continuous guidance, valuable feedback, and encouragement throughout the course of this research. Their insight and constructive advice have been essential to the successful completion of this dissertation.</w:t>
      </w:r>
    </w:p>
    <w:p w14:paraId="637826D1" w14:textId="70674EDD" w:rsidR="00801217" w:rsidRPr="001E0E75" w:rsidRDefault="00801217" w:rsidP="001E0E75">
      <w:pPr>
        <w:spacing w:before="240" w:line="360" w:lineRule="auto"/>
        <w:jc w:val="center"/>
        <w:rPr>
          <w:rFonts w:ascii="Arial" w:hAnsi="Arial" w:cs="Arial"/>
          <w:sz w:val="32"/>
          <w:szCs w:val="32"/>
        </w:rPr>
      </w:pPr>
      <w:r w:rsidRPr="001E0E75">
        <w:rPr>
          <w:rFonts w:ascii="Arial" w:hAnsi="Arial" w:cs="Arial"/>
          <w:sz w:val="32"/>
          <w:szCs w:val="32"/>
        </w:rPr>
        <w:t xml:space="preserve">I am also deeply grateful to the management and staff at </w:t>
      </w:r>
      <w:r w:rsidRPr="001E0E75">
        <w:rPr>
          <w:rFonts w:ascii="Arial" w:hAnsi="Arial" w:cs="Arial"/>
          <w:b/>
          <w:bCs/>
          <w:sz w:val="32"/>
          <w:szCs w:val="32"/>
        </w:rPr>
        <w:t>DoubleTree by Hilton Dartford Bridge</w:t>
      </w:r>
      <w:r w:rsidRPr="001E0E75">
        <w:rPr>
          <w:rFonts w:ascii="Arial" w:hAnsi="Arial" w:cs="Arial"/>
          <w:sz w:val="32"/>
          <w:szCs w:val="32"/>
        </w:rPr>
        <w:t xml:space="preserve"> especially those in the Sales and Events departments, who generously shared their time, experience, and professional insights during my placement and interviews. Their contribution has been fundamental to developing a deeper understanding of hotel operations and event management in practice.</w:t>
      </w:r>
    </w:p>
    <w:p w14:paraId="1375FA98" w14:textId="77777777" w:rsidR="00801217" w:rsidRPr="001E0E75" w:rsidRDefault="00801217" w:rsidP="001E0E75">
      <w:pPr>
        <w:spacing w:before="240" w:line="360" w:lineRule="auto"/>
        <w:jc w:val="center"/>
        <w:rPr>
          <w:rFonts w:ascii="Arial" w:hAnsi="Arial" w:cs="Arial"/>
          <w:sz w:val="32"/>
          <w:szCs w:val="32"/>
        </w:rPr>
      </w:pPr>
      <w:r w:rsidRPr="001E0E75">
        <w:rPr>
          <w:rFonts w:ascii="Arial" w:hAnsi="Arial" w:cs="Arial"/>
          <w:sz w:val="32"/>
          <w:szCs w:val="32"/>
        </w:rPr>
        <w:lastRenderedPageBreak/>
        <w:t xml:space="preserve">My heartfelt thanks go to my </w:t>
      </w:r>
      <w:r w:rsidRPr="001E0E75">
        <w:rPr>
          <w:rFonts w:ascii="Arial" w:hAnsi="Arial" w:cs="Arial"/>
          <w:b/>
          <w:bCs/>
          <w:sz w:val="32"/>
          <w:szCs w:val="32"/>
        </w:rPr>
        <w:t>family and friends</w:t>
      </w:r>
      <w:r w:rsidRPr="001E0E75">
        <w:rPr>
          <w:rFonts w:ascii="Arial" w:hAnsi="Arial" w:cs="Arial"/>
          <w:sz w:val="32"/>
          <w:szCs w:val="32"/>
        </w:rPr>
        <w:t xml:space="preserve"> for their patience, motivation, and unwavering support throughout my studies. Their belief in me provided the strength to persevere through every challenge.</w:t>
      </w:r>
    </w:p>
    <w:p w14:paraId="301B4474" w14:textId="639DD3E5" w:rsidR="00801217" w:rsidRPr="001E0E75" w:rsidRDefault="00801217" w:rsidP="001E0E75">
      <w:pPr>
        <w:spacing w:before="240" w:line="360" w:lineRule="auto"/>
        <w:jc w:val="center"/>
        <w:rPr>
          <w:rFonts w:ascii="Arial" w:hAnsi="Arial" w:cs="Arial"/>
          <w:sz w:val="32"/>
          <w:szCs w:val="32"/>
        </w:rPr>
      </w:pPr>
      <w:r w:rsidRPr="001E0E75">
        <w:rPr>
          <w:rFonts w:ascii="Arial" w:hAnsi="Arial" w:cs="Arial"/>
          <w:sz w:val="32"/>
          <w:szCs w:val="32"/>
        </w:rPr>
        <w:t xml:space="preserve">Finally, I would like to thank the </w:t>
      </w:r>
      <w:r w:rsidRPr="001E0E75">
        <w:rPr>
          <w:rFonts w:ascii="Arial" w:hAnsi="Arial" w:cs="Arial"/>
          <w:b/>
          <w:bCs/>
          <w:sz w:val="32"/>
          <w:szCs w:val="32"/>
        </w:rPr>
        <w:t>University of Wales Trinity Saint David</w:t>
      </w:r>
      <w:r w:rsidRPr="001E0E75">
        <w:rPr>
          <w:rFonts w:ascii="Arial" w:hAnsi="Arial" w:cs="Arial"/>
          <w:sz w:val="32"/>
          <w:szCs w:val="32"/>
        </w:rPr>
        <w:t xml:space="preserve"> for the opportunity to undertake this research and for the academic resources and guidance provided during my programme study.</w:t>
      </w:r>
    </w:p>
    <w:p w14:paraId="2868FEDC" w14:textId="4FEBBCBA" w:rsidR="00801217" w:rsidRPr="001E0E75" w:rsidRDefault="00801217" w:rsidP="001E0E75">
      <w:pPr>
        <w:spacing w:before="240" w:line="360" w:lineRule="auto"/>
        <w:jc w:val="center"/>
        <w:rPr>
          <w:rFonts w:ascii="Arial" w:hAnsi="Arial" w:cs="Arial"/>
          <w:sz w:val="32"/>
          <w:szCs w:val="32"/>
        </w:rPr>
      </w:pPr>
      <w:r w:rsidRPr="001E0E75">
        <w:rPr>
          <w:rFonts w:ascii="Arial" w:hAnsi="Arial" w:cs="Arial"/>
          <w:sz w:val="32"/>
          <w:szCs w:val="32"/>
        </w:rPr>
        <w:t>Thank you!</w:t>
      </w:r>
    </w:p>
    <w:p w14:paraId="0960B2ED" w14:textId="77777777" w:rsidR="006B742E" w:rsidRPr="001E0E75" w:rsidRDefault="006B742E" w:rsidP="001E0E75">
      <w:pPr>
        <w:spacing w:line="360" w:lineRule="auto"/>
        <w:rPr>
          <w:rFonts w:ascii="Arial" w:hAnsi="Arial" w:cs="Arial"/>
          <w:sz w:val="32"/>
          <w:szCs w:val="32"/>
        </w:rPr>
      </w:pPr>
    </w:p>
    <w:p w14:paraId="350674F8" w14:textId="77777777" w:rsidR="006B742E" w:rsidRPr="001E0E75" w:rsidRDefault="006B742E" w:rsidP="001E0E75">
      <w:pPr>
        <w:spacing w:line="360" w:lineRule="auto"/>
        <w:rPr>
          <w:rFonts w:ascii="Arial" w:hAnsi="Arial" w:cs="Arial"/>
          <w:sz w:val="32"/>
          <w:szCs w:val="32"/>
        </w:rPr>
      </w:pPr>
    </w:p>
    <w:p w14:paraId="660DA624" w14:textId="77777777" w:rsidR="006B742E" w:rsidRPr="001E0E75" w:rsidRDefault="006B742E" w:rsidP="001E0E75">
      <w:pPr>
        <w:spacing w:before="240" w:line="360" w:lineRule="auto"/>
        <w:jc w:val="center"/>
        <w:rPr>
          <w:rFonts w:ascii="Arial" w:hAnsi="Arial" w:cs="Arial"/>
          <w:b/>
          <w:bCs/>
          <w:sz w:val="32"/>
          <w:szCs w:val="32"/>
        </w:rPr>
      </w:pPr>
      <w:r w:rsidRPr="001E0E75">
        <w:rPr>
          <w:rFonts w:ascii="Arial" w:hAnsi="Arial" w:cs="Arial"/>
          <w:b/>
          <w:bCs/>
          <w:sz w:val="32"/>
          <w:szCs w:val="32"/>
        </w:rPr>
        <w:t>Abstract</w:t>
      </w:r>
    </w:p>
    <w:p w14:paraId="19B686CA" w14:textId="0A5DBE04" w:rsidR="00756D2F" w:rsidRPr="001E0E75" w:rsidRDefault="00756D2F" w:rsidP="001E0E75">
      <w:pPr>
        <w:spacing w:line="360" w:lineRule="auto"/>
        <w:rPr>
          <w:rFonts w:ascii="Arial" w:hAnsi="Arial" w:cs="Arial"/>
          <w:sz w:val="32"/>
          <w:szCs w:val="32"/>
        </w:rPr>
      </w:pPr>
      <w:r w:rsidRPr="001E0E75">
        <w:rPr>
          <w:rFonts w:ascii="Arial" w:hAnsi="Arial" w:cs="Arial"/>
          <w:sz w:val="32"/>
          <w:szCs w:val="32"/>
        </w:rPr>
        <w:t>This Placement Research Project critically investigates the impact of a hotel’s geographic location on the sales strategies and the performance of Meetings and Events (M&amp;E) operations, using DoubleTree by Hilton Dartford Bridge as a case study.</w:t>
      </w:r>
    </w:p>
    <w:p w14:paraId="3B7EC914" w14:textId="13DCD3D0" w:rsidR="006B742E" w:rsidRPr="001E0E75" w:rsidRDefault="006B742E" w:rsidP="001E0E75">
      <w:pPr>
        <w:spacing w:line="360" w:lineRule="auto"/>
        <w:rPr>
          <w:rFonts w:ascii="Arial" w:hAnsi="Arial" w:cs="Arial"/>
          <w:sz w:val="32"/>
          <w:szCs w:val="32"/>
        </w:rPr>
      </w:pPr>
      <w:r w:rsidRPr="001E0E75">
        <w:rPr>
          <w:rFonts w:ascii="Arial" w:hAnsi="Arial" w:cs="Arial"/>
          <w:sz w:val="32"/>
          <w:szCs w:val="32"/>
        </w:rPr>
        <w:t xml:space="preserve">This research evaluates the impact of hotel location on sales strategies and the performance of Meetings and Events (M&amp;E), using DoubleTree by Hilton Dartford Bridge as a case study. Hotel location is recognised as a fundamental determinant of competitiveness in the hospitality industry, influencing customer accessibility, market segmentation, brand positioning, and </w:t>
      </w:r>
      <w:r w:rsidRPr="001E0E75">
        <w:rPr>
          <w:rFonts w:ascii="Arial" w:hAnsi="Arial" w:cs="Arial"/>
          <w:sz w:val="32"/>
          <w:szCs w:val="32"/>
        </w:rPr>
        <w:lastRenderedPageBreak/>
        <w:t>revenue management. The study explores how the property’s proximity to London, alongside its regional constraints, affects marketing approaches and operational decisions within the M&amp;E segment.</w:t>
      </w:r>
    </w:p>
    <w:p w14:paraId="09F4CBC0" w14:textId="77777777" w:rsidR="006B742E" w:rsidRPr="001E0E75" w:rsidRDefault="006B742E" w:rsidP="001E0E75">
      <w:pPr>
        <w:spacing w:line="360" w:lineRule="auto"/>
        <w:rPr>
          <w:rFonts w:ascii="Arial" w:hAnsi="Arial" w:cs="Arial"/>
          <w:sz w:val="32"/>
          <w:szCs w:val="32"/>
        </w:rPr>
      </w:pPr>
      <w:r w:rsidRPr="001E0E75">
        <w:rPr>
          <w:rFonts w:ascii="Arial" w:hAnsi="Arial" w:cs="Arial"/>
          <w:sz w:val="32"/>
          <w:szCs w:val="32"/>
        </w:rPr>
        <w:t>The research adopts a qualitative case study methodology based on semi-structured interviews with hotel employees, supported by secondary data from industry and academic sources. Data were analysed thematically to identify patterns concerning location-based challenges, strategic responses, and performance outcomes. Findings indicate that while the hotel benefits from accessibility to the M25 and corporate clients from Greater London, its peripheral setting also limits demand consistency and premium pricing compared with city-centre competitors. Consequently, management has adapted its sales strategies to emphasise value-driven packages, flexible pricing, and strong local partnerships to stabilise event revenue.</w:t>
      </w:r>
    </w:p>
    <w:p w14:paraId="5A551FC7" w14:textId="652ABB79" w:rsidR="00756D2F" w:rsidRPr="001E0E75" w:rsidRDefault="00756D2F" w:rsidP="001E0E75">
      <w:pPr>
        <w:spacing w:line="360" w:lineRule="auto"/>
        <w:rPr>
          <w:rFonts w:ascii="Arial" w:hAnsi="Arial" w:cs="Arial"/>
          <w:sz w:val="32"/>
          <w:szCs w:val="32"/>
        </w:rPr>
      </w:pPr>
      <w:r w:rsidRPr="001E0E75">
        <w:rPr>
          <w:rFonts w:ascii="Arial" w:hAnsi="Arial" w:cs="Arial"/>
          <w:sz w:val="32"/>
          <w:szCs w:val="32"/>
        </w:rPr>
        <w:t>Interview insights indicate that sales strategy is closely aligned with seasonal demand fluctuations, traffic accessibility, and local economic activity. The location affects the segmentation of clients, with a heavier reliance on local business bookings, hybrid meetings, and cost-sensitive planners. Document analysis further highlights patterns in M&amp;E profitability and occupancy rates, which tend to vary based on weekday vs. weekend events and proximity to major corporate hubs.</w:t>
      </w:r>
    </w:p>
    <w:p w14:paraId="7552DACF" w14:textId="256D7979" w:rsidR="00801217" w:rsidRPr="001E0E75" w:rsidRDefault="00801217" w:rsidP="001E0E75">
      <w:pPr>
        <w:spacing w:line="360" w:lineRule="auto"/>
        <w:rPr>
          <w:rFonts w:ascii="Arial" w:hAnsi="Arial" w:cs="Arial"/>
          <w:sz w:val="32"/>
          <w:szCs w:val="32"/>
        </w:rPr>
      </w:pPr>
      <w:r w:rsidRPr="001E0E75">
        <w:rPr>
          <w:rFonts w:ascii="Arial" w:hAnsi="Arial" w:cs="Arial"/>
          <w:sz w:val="32"/>
          <w:szCs w:val="32"/>
        </w:rPr>
        <w:lastRenderedPageBreak/>
        <w:t>Findings indicate that the hotel’s proximity to London offers accessibility advantages but limits prestige and transport connectivity. Management mitigates these constraints through dynamic pricing, value-based event packages, and technological investment in hybrid meeting solutions. Relationship marketing and customer retention emerged as key success factors, supported by Hilton’s global CRM systems.</w:t>
      </w:r>
    </w:p>
    <w:p w14:paraId="11949FE4" w14:textId="77777777" w:rsidR="00756D2F" w:rsidRPr="001E0E75" w:rsidRDefault="006B742E" w:rsidP="001E0E75">
      <w:pPr>
        <w:spacing w:line="360" w:lineRule="auto"/>
        <w:rPr>
          <w:rFonts w:ascii="Arial" w:hAnsi="Arial" w:cs="Arial"/>
          <w:sz w:val="32"/>
          <w:szCs w:val="32"/>
        </w:rPr>
      </w:pPr>
      <w:r w:rsidRPr="001E0E75">
        <w:rPr>
          <w:rFonts w:ascii="Arial" w:hAnsi="Arial" w:cs="Arial"/>
          <w:sz w:val="32"/>
          <w:szCs w:val="32"/>
        </w:rPr>
        <w:t xml:space="preserve">The study concludes that hotel location directly shapes not only customer reach and brand perception but also internal strategic decision-making. In regional business hotels such as DoubleTree Dartford Bridge, success within the M&amp;E market depends on managerial adaptability and a thorough understanding of geographical advantages and constraints. </w:t>
      </w:r>
    </w:p>
    <w:p w14:paraId="1B1AFCFF" w14:textId="692B8BF2" w:rsidR="00756D2F" w:rsidRPr="001E0E75" w:rsidRDefault="00756D2F" w:rsidP="001E0E75">
      <w:pPr>
        <w:spacing w:line="360" w:lineRule="auto"/>
        <w:rPr>
          <w:rFonts w:ascii="Arial" w:hAnsi="Arial" w:cs="Arial"/>
          <w:sz w:val="32"/>
          <w:szCs w:val="32"/>
        </w:rPr>
      </w:pPr>
      <w:r w:rsidRPr="001E0E75">
        <w:rPr>
          <w:rFonts w:ascii="Arial" w:hAnsi="Arial" w:cs="Arial"/>
          <w:sz w:val="32"/>
          <w:szCs w:val="32"/>
        </w:rPr>
        <w:t>The project ends with practical recommendations for the placement hotel to improve its sales and M&amp;E performance, including leveraging digital targeting tools, enhancing transport partnerships, and refining package offerings based on booking behaviour analytics.</w:t>
      </w:r>
    </w:p>
    <w:p w14:paraId="0F39432B" w14:textId="0DC6B503" w:rsidR="006B742E" w:rsidRPr="001E0E75" w:rsidRDefault="006B742E" w:rsidP="001E0E75">
      <w:pPr>
        <w:spacing w:line="360" w:lineRule="auto"/>
        <w:rPr>
          <w:rFonts w:ascii="Arial" w:hAnsi="Arial" w:cs="Arial"/>
          <w:sz w:val="32"/>
          <w:szCs w:val="32"/>
        </w:rPr>
      </w:pPr>
      <w:r w:rsidRPr="001E0E75">
        <w:rPr>
          <w:rFonts w:ascii="Arial" w:hAnsi="Arial" w:cs="Arial"/>
          <w:sz w:val="32"/>
          <w:szCs w:val="32"/>
        </w:rPr>
        <w:t>Recommendations include enhanced digital marketing to target specific catchment areas, improved collaboration with local businesses, and the integration of hybrid event technologies to attract a broader client base.</w:t>
      </w:r>
    </w:p>
    <w:p w14:paraId="22D287DD" w14:textId="77777777" w:rsidR="006B742E" w:rsidRPr="001E0E75" w:rsidRDefault="006B742E" w:rsidP="001E0E75">
      <w:pPr>
        <w:spacing w:line="360" w:lineRule="auto"/>
        <w:rPr>
          <w:rFonts w:ascii="Arial" w:hAnsi="Arial" w:cs="Arial"/>
          <w:sz w:val="32"/>
          <w:szCs w:val="32"/>
        </w:rPr>
      </w:pPr>
      <w:r w:rsidRPr="001E0E75">
        <w:rPr>
          <w:rFonts w:ascii="Arial" w:hAnsi="Arial" w:cs="Arial"/>
          <w:sz w:val="32"/>
          <w:szCs w:val="32"/>
        </w:rPr>
        <w:t xml:space="preserve">This dissertation contributes to existing literature by providing practical insights into how regional full-service hotels can </w:t>
      </w:r>
      <w:r w:rsidRPr="001E0E75">
        <w:rPr>
          <w:rFonts w:ascii="Arial" w:hAnsi="Arial" w:cs="Arial"/>
          <w:sz w:val="32"/>
          <w:szCs w:val="32"/>
        </w:rPr>
        <w:lastRenderedPageBreak/>
        <w:t>reposition themselves competitively within the post-pandemic M&amp;E sector. The findings have managerial implications for hotel practitioners seeking to balance geographic limitations with strategic innovation in sales and event management.</w:t>
      </w:r>
    </w:p>
    <w:p w14:paraId="6BCBBA8B" w14:textId="77777777" w:rsidR="00756D2F" w:rsidRDefault="00756D2F" w:rsidP="001E0E75">
      <w:pPr>
        <w:spacing w:line="360" w:lineRule="auto"/>
        <w:rPr>
          <w:rFonts w:ascii="Arial" w:hAnsi="Arial" w:cs="Arial"/>
          <w:sz w:val="32"/>
          <w:szCs w:val="32"/>
        </w:rPr>
      </w:pPr>
      <w:r w:rsidRPr="001E0E75">
        <w:rPr>
          <w:rFonts w:ascii="Arial" w:hAnsi="Arial" w:cs="Arial"/>
          <w:sz w:val="32"/>
          <w:szCs w:val="32"/>
        </w:rPr>
        <w:t>Ultimately, this research adds to the body of knowledge by connecting geographical factors with sales strategy theory and MICE performance, offering practical insights for regional business hotels competing with urban market leaders.</w:t>
      </w:r>
    </w:p>
    <w:p w14:paraId="6CF51D74" w14:textId="77777777" w:rsidR="001E0E75" w:rsidRDefault="001E0E75" w:rsidP="001E0E75">
      <w:pPr>
        <w:spacing w:line="360" w:lineRule="auto"/>
        <w:rPr>
          <w:rFonts w:ascii="Arial" w:hAnsi="Arial" w:cs="Arial"/>
          <w:sz w:val="32"/>
          <w:szCs w:val="32"/>
        </w:rPr>
      </w:pPr>
    </w:p>
    <w:p w14:paraId="19818F47" w14:textId="77777777" w:rsidR="001E0E75" w:rsidRDefault="001E0E75" w:rsidP="001E0E75">
      <w:pPr>
        <w:spacing w:line="360" w:lineRule="auto"/>
        <w:rPr>
          <w:rFonts w:ascii="Arial" w:hAnsi="Arial" w:cs="Arial"/>
          <w:sz w:val="32"/>
          <w:szCs w:val="32"/>
        </w:rPr>
      </w:pPr>
    </w:p>
    <w:p w14:paraId="46DF3537" w14:textId="77777777" w:rsidR="001E0E75" w:rsidRDefault="001E0E75" w:rsidP="001E0E75">
      <w:pPr>
        <w:spacing w:line="360" w:lineRule="auto"/>
        <w:rPr>
          <w:rFonts w:ascii="Arial" w:hAnsi="Arial" w:cs="Arial"/>
          <w:sz w:val="32"/>
          <w:szCs w:val="32"/>
        </w:rPr>
      </w:pPr>
    </w:p>
    <w:p w14:paraId="0BD83687" w14:textId="77777777" w:rsidR="001E0E75" w:rsidRDefault="001E0E75" w:rsidP="001E0E75">
      <w:pPr>
        <w:spacing w:line="360" w:lineRule="auto"/>
        <w:rPr>
          <w:rFonts w:ascii="Arial" w:hAnsi="Arial" w:cs="Arial"/>
          <w:sz w:val="32"/>
          <w:szCs w:val="32"/>
        </w:rPr>
      </w:pPr>
    </w:p>
    <w:p w14:paraId="10731756" w14:textId="77777777" w:rsidR="001E0E75" w:rsidRDefault="001E0E75" w:rsidP="001E0E75">
      <w:pPr>
        <w:spacing w:line="360" w:lineRule="auto"/>
        <w:rPr>
          <w:rFonts w:ascii="Arial" w:hAnsi="Arial" w:cs="Arial"/>
          <w:sz w:val="32"/>
          <w:szCs w:val="32"/>
        </w:rPr>
      </w:pPr>
    </w:p>
    <w:p w14:paraId="4BC23500" w14:textId="77777777" w:rsidR="001E0E75" w:rsidRDefault="001E0E75" w:rsidP="001E0E75">
      <w:pPr>
        <w:spacing w:line="360" w:lineRule="auto"/>
        <w:rPr>
          <w:rFonts w:ascii="Arial" w:hAnsi="Arial" w:cs="Arial"/>
          <w:sz w:val="32"/>
          <w:szCs w:val="32"/>
        </w:rPr>
      </w:pPr>
    </w:p>
    <w:p w14:paraId="3CFF9F05" w14:textId="77777777" w:rsidR="001E0E75" w:rsidRDefault="001E0E75" w:rsidP="001E0E75">
      <w:pPr>
        <w:spacing w:line="360" w:lineRule="auto"/>
        <w:rPr>
          <w:rFonts w:ascii="Arial" w:hAnsi="Arial" w:cs="Arial"/>
          <w:sz w:val="32"/>
          <w:szCs w:val="32"/>
        </w:rPr>
      </w:pPr>
    </w:p>
    <w:p w14:paraId="321168A3" w14:textId="77777777" w:rsidR="001E0E75" w:rsidRDefault="001E0E75" w:rsidP="001E0E75">
      <w:pPr>
        <w:spacing w:line="360" w:lineRule="auto"/>
        <w:rPr>
          <w:rFonts w:ascii="Arial" w:hAnsi="Arial" w:cs="Arial"/>
          <w:sz w:val="32"/>
          <w:szCs w:val="32"/>
        </w:rPr>
      </w:pPr>
    </w:p>
    <w:p w14:paraId="3D634E20" w14:textId="77777777" w:rsidR="001E0E75" w:rsidRDefault="001E0E75" w:rsidP="001E0E75">
      <w:pPr>
        <w:spacing w:line="360" w:lineRule="auto"/>
        <w:rPr>
          <w:rFonts w:ascii="Arial" w:hAnsi="Arial" w:cs="Arial"/>
          <w:sz w:val="32"/>
          <w:szCs w:val="32"/>
        </w:rPr>
      </w:pPr>
    </w:p>
    <w:p w14:paraId="45854B0A" w14:textId="77777777" w:rsidR="001E0E75" w:rsidRDefault="001E0E75" w:rsidP="001E0E75">
      <w:pPr>
        <w:spacing w:line="360" w:lineRule="auto"/>
        <w:rPr>
          <w:rFonts w:ascii="Arial" w:hAnsi="Arial" w:cs="Arial"/>
          <w:sz w:val="32"/>
          <w:szCs w:val="32"/>
        </w:rPr>
      </w:pPr>
    </w:p>
    <w:p w14:paraId="035E6DF6" w14:textId="77777777" w:rsidR="001E0E75" w:rsidRDefault="001E0E75" w:rsidP="001E0E75">
      <w:pPr>
        <w:spacing w:line="360" w:lineRule="auto"/>
        <w:rPr>
          <w:rFonts w:ascii="Arial" w:hAnsi="Arial" w:cs="Arial"/>
          <w:sz w:val="32"/>
          <w:szCs w:val="32"/>
        </w:rPr>
      </w:pPr>
    </w:p>
    <w:p w14:paraId="05B81A51" w14:textId="77777777" w:rsidR="001E0E75" w:rsidRDefault="001E0E75" w:rsidP="001E0E75">
      <w:pPr>
        <w:spacing w:line="360" w:lineRule="auto"/>
        <w:rPr>
          <w:rFonts w:ascii="Arial" w:hAnsi="Arial" w:cs="Arial"/>
          <w:sz w:val="32"/>
          <w:szCs w:val="32"/>
        </w:rPr>
      </w:pPr>
    </w:p>
    <w:p w14:paraId="735B44B5" w14:textId="77777777" w:rsidR="001E0E75" w:rsidRPr="001E0E75" w:rsidRDefault="001E0E75" w:rsidP="001E0E75">
      <w:pPr>
        <w:spacing w:line="360" w:lineRule="auto"/>
        <w:rPr>
          <w:rFonts w:ascii="Arial" w:hAnsi="Arial" w:cs="Arial"/>
          <w:sz w:val="32"/>
          <w:szCs w:val="32"/>
        </w:rPr>
      </w:pPr>
    </w:p>
    <w:p w14:paraId="3E7A50C6" w14:textId="12A12BFB" w:rsidR="00756D2F" w:rsidRPr="001E0E75" w:rsidRDefault="00756D2F" w:rsidP="001E0E75">
      <w:pPr>
        <w:spacing w:line="360" w:lineRule="auto"/>
        <w:rPr>
          <w:rFonts w:ascii="Arial" w:hAnsi="Arial" w:cs="Arial"/>
          <w:b/>
          <w:bCs/>
          <w:sz w:val="32"/>
          <w:szCs w:val="32"/>
        </w:rPr>
      </w:pPr>
      <w:r w:rsidRPr="001E0E75">
        <w:rPr>
          <w:rFonts w:ascii="Arial" w:hAnsi="Arial" w:cs="Arial"/>
          <w:b/>
          <w:bCs/>
          <w:sz w:val="32"/>
          <w:szCs w:val="32"/>
        </w:rPr>
        <w:lastRenderedPageBreak/>
        <w:t>Table of Contents</w:t>
      </w:r>
    </w:p>
    <w:p w14:paraId="004A1F72" w14:textId="77777777" w:rsidR="00801217" w:rsidRPr="001E0E75" w:rsidRDefault="00801217" w:rsidP="001E0E75">
      <w:pPr>
        <w:spacing w:line="360" w:lineRule="auto"/>
        <w:rPr>
          <w:rFonts w:ascii="Arial" w:hAnsi="Arial" w:cs="Arial"/>
          <w:b/>
          <w:bCs/>
          <w:sz w:val="32"/>
          <w:szCs w:val="32"/>
        </w:rPr>
      </w:pPr>
      <w:r w:rsidRPr="001E0E75">
        <w:rPr>
          <w:rFonts w:ascii="Arial" w:hAnsi="Arial" w:cs="Arial"/>
          <w:b/>
          <w:bCs/>
          <w:sz w:val="32"/>
          <w:szCs w:val="32"/>
        </w:rPr>
        <w:t>Chapter 1 – Introduction</w:t>
      </w:r>
    </w:p>
    <w:p w14:paraId="36A4F93C" w14:textId="77777777" w:rsidR="00801217" w:rsidRPr="001E0E75" w:rsidRDefault="00801217" w:rsidP="001E0E75">
      <w:pPr>
        <w:spacing w:line="360" w:lineRule="auto"/>
        <w:rPr>
          <w:rFonts w:ascii="Arial" w:hAnsi="Arial" w:cs="Arial"/>
          <w:sz w:val="32"/>
          <w:szCs w:val="32"/>
        </w:rPr>
      </w:pPr>
      <w:r w:rsidRPr="001E0E75">
        <w:rPr>
          <w:rFonts w:ascii="Arial" w:hAnsi="Arial" w:cs="Arial"/>
          <w:sz w:val="32"/>
          <w:szCs w:val="32"/>
        </w:rPr>
        <w:t>1.1 Background and Context</w:t>
      </w:r>
      <w:r w:rsidRPr="001E0E75">
        <w:rPr>
          <w:rFonts w:ascii="Arial" w:hAnsi="Arial" w:cs="Arial"/>
          <w:sz w:val="32"/>
          <w:szCs w:val="32"/>
        </w:rPr>
        <w:br/>
        <w:t>1.2 Research Aim and Objectives</w:t>
      </w:r>
      <w:r w:rsidRPr="001E0E75">
        <w:rPr>
          <w:rFonts w:ascii="Arial" w:hAnsi="Arial" w:cs="Arial"/>
          <w:sz w:val="32"/>
          <w:szCs w:val="32"/>
        </w:rPr>
        <w:br/>
        <w:t>1.3 Rationale and Significance</w:t>
      </w:r>
      <w:r w:rsidRPr="001E0E75">
        <w:rPr>
          <w:rFonts w:ascii="Arial" w:hAnsi="Arial" w:cs="Arial"/>
          <w:sz w:val="32"/>
          <w:szCs w:val="32"/>
        </w:rPr>
        <w:br/>
        <w:t>1.4 Research Questions</w:t>
      </w:r>
      <w:r w:rsidRPr="001E0E75">
        <w:rPr>
          <w:rFonts w:ascii="Arial" w:hAnsi="Arial" w:cs="Arial"/>
          <w:sz w:val="32"/>
          <w:szCs w:val="32"/>
        </w:rPr>
        <w:br/>
        <w:t>1.5 Structure of the Dissertation</w:t>
      </w:r>
    </w:p>
    <w:p w14:paraId="71FA3BB3" w14:textId="77777777" w:rsidR="00801217" w:rsidRPr="001E0E75" w:rsidRDefault="00801217" w:rsidP="001E0E75">
      <w:pPr>
        <w:spacing w:line="360" w:lineRule="auto"/>
        <w:rPr>
          <w:rFonts w:ascii="Arial" w:hAnsi="Arial" w:cs="Arial"/>
          <w:b/>
          <w:bCs/>
          <w:sz w:val="32"/>
          <w:szCs w:val="32"/>
        </w:rPr>
      </w:pPr>
      <w:r w:rsidRPr="001E0E75">
        <w:rPr>
          <w:rFonts w:ascii="Arial" w:hAnsi="Arial" w:cs="Arial"/>
          <w:b/>
          <w:bCs/>
          <w:sz w:val="32"/>
          <w:szCs w:val="32"/>
        </w:rPr>
        <w:t>Chapter 2 – Literature Review</w:t>
      </w:r>
    </w:p>
    <w:p w14:paraId="27D14681" w14:textId="77777777" w:rsidR="00801217" w:rsidRPr="001E0E75" w:rsidRDefault="00801217" w:rsidP="001E0E75">
      <w:pPr>
        <w:spacing w:line="360" w:lineRule="auto"/>
        <w:rPr>
          <w:rFonts w:ascii="Arial" w:hAnsi="Arial" w:cs="Arial"/>
          <w:sz w:val="32"/>
          <w:szCs w:val="32"/>
        </w:rPr>
      </w:pPr>
      <w:r w:rsidRPr="001E0E75">
        <w:rPr>
          <w:rFonts w:ascii="Arial" w:hAnsi="Arial" w:cs="Arial"/>
          <w:sz w:val="32"/>
          <w:szCs w:val="32"/>
        </w:rPr>
        <w:t>2.1 Introduction</w:t>
      </w:r>
      <w:r w:rsidRPr="001E0E75">
        <w:rPr>
          <w:rFonts w:ascii="Arial" w:hAnsi="Arial" w:cs="Arial"/>
          <w:sz w:val="32"/>
          <w:szCs w:val="32"/>
        </w:rPr>
        <w:br/>
        <w:t>2.2 Theoretical Perspectives on Hotel Location</w:t>
      </w:r>
      <w:r w:rsidRPr="001E0E75">
        <w:rPr>
          <w:rFonts w:ascii="Arial" w:hAnsi="Arial" w:cs="Arial"/>
          <w:sz w:val="32"/>
          <w:szCs w:val="32"/>
        </w:rPr>
        <w:br/>
        <w:t>2.3 Sales Strategy and Market Positioning</w:t>
      </w:r>
      <w:r w:rsidRPr="001E0E75">
        <w:rPr>
          <w:rFonts w:ascii="Arial" w:hAnsi="Arial" w:cs="Arial"/>
          <w:sz w:val="32"/>
          <w:szCs w:val="32"/>
        </w:rPr>
        <w:br/>
        <w:t>2.4 Meetings &amp; Events (M&amp;E) Performance</w:t>
      </w:r>
      <w:r w:rsidRPr="001E0E75">
        <w:rPr>
          <w:rFonts w:ascii="Arial" w:hAnsi="Arial" w:cs="Arial"/>
          <w:sz w:val="32"/>
          <w:szCs w:val="32"/>
        </w:rPr>
        <w:br/>
        <w:t>2.5 UK Regional Hospitality Context</w:t>
      </w:r>
      <w:r w:rsidRPr="001E0E75">
        <w:rPr>
          <w:rFonts w:ascii="Arial" w:hAnsi="Arial" w:cs="Arial"/>
          <w:sz w:val="32"/>
          <w:szCs w:val="32"/>
        </w:rPr>
        <w:br/>
        <w:t>2.6 PESTEL and SWOT Analysis</w:t>
      </w:r>
      <w:r w:rsidRPr="001E0E75">
        <w:rPr>
          <w:rFonts w:ascii="Arial" w:hAnsi="Arial" w:cs="Arial"/>
          <w:sz w:val="32"/>
          <w:szCs w:val="32"/>
        </w:rPr>
        <w:br/>
        <w:t>2.7 Summary</w:t>
      </w:r>
    </w:p>
    <w:p w14:paraId="228A7BBC" w14:textId="77777777" w:rsidR="00801217" w:rsidRPr="001E0E75" w:rsidRDefault="00801217" w:rsidP="001E0E75">
      <w:pPr>
        <w:spacing w:line="360" w:lineRule="auto"/>
        <w:rPr>
          <w:rFonts w:ascii="Arial" w:hAnsi="Arial" w:cs="Arial"/>
          <w:b/>
          <w:bCs/>
          <w:sz w:val="32"/>
          <w:szCs w:val="32"/>
        </w:rPr>
      </w:pPr>
      <w:r w:rsidRPr="001E0E75">
        <w:rPr>
          <w:rFonts w:ascii="Arial" w:hAnsi="Arial" w:cs="Arial"/>
          <w:b/>
          <w:bCs/>
          <w:sz w:val="32"/>
          <w:szCs w:val="32"/>
        </w:rPr>
        <w:t>Chapter 3 – Methodology</w:t>
      </w:r>
    </w:p>
    <w:p w14:paraId="35B9AFF8" w14:textId="77777777" w:rsidR="00801217" w:rsidRDefault="00801217" w:rsidP="001E0E75">
      <w:pPr>
        <w:spacing w:line="360" w:lineRule="auto"/>
        <w:rPr>
          <w:rFonts w:ascii="Arial" w:hAnsi="Arial" w:cs="Arial"/>
          <w:sz w:val="32"/>
          <w:szCs w:val="32"/>
        </w:rPr>
      </w:pPr>
      <w:r w:rsidRPr="001E0E75">
        <w:rPr>
          <w:rFonts w:ascii="Arial" w:hAnsi="Arial" w:cs="Arial"/>
          <w:sz w:val="32"/>
          <w:szCs w:val="32"/>
        </w:rPr>
        <w:t>3.1 Research Philosophy and Approach</w:t>
      </w:r>
      <w:r w:rsidRPr="001E0E75">
        <w:rPr>
          <w:rFonts w:ascii="Arial" w:hAnsi="Arial" w:cs="Arial"/>
          <w:sz w:val="32"/>
          <w:szCs w:val="32"/>
        </w:rPr>
        <w:br/>
        <w:t>3.2 Research Design</w:t>
      </w:r>
      <w:r w:rsidRPr="001E0E75">
        <w:rPr>
          <w:rFonts w:ascii="Arial" w:hAnsi="Arial" w:cs="Arial"/>
          <w:sz w:val="32"/>
          <w:szCs w:val="32"/>
        </w:rPr>
        <w:br/>
        <w:t>3.3 Data Collection</w:t>
      </w:r>
      <w:r w:rsidRPr="001E0E75">
        <w:rPr>
          <w:rFonts w:ascii="Arial" w:hAnsi="Arial" w:cs="Arial"/>
          <w:sz w:val="32"/>
          <w:szCs w:val="32"/>
        </w:rPr>
        <w:br/>
        <w:t>3.4 Sampling and Participants</w:t>
      </w:r>
      <w:r w:rsidRPr="001E0E75">
        <w:rPr>
          <w:rFonts w:ascii="Arial" w:hAnsi="Arial" w:cs="Arial"/>
          <w:sz w:val="32"/>
          <w:szCs w:val="32"/>
        </w:rPr>
        <w:br/>
        <w:t>3.5 Data Analysis</w:t>
      </w:r>
      <w:r w:rsidRPr="001E0E75">
        <w:rPr>
          <w:rFonts w:ascii="Arial" w:hAnsi="Arial" w:cs="Arial"/>
          <w:sz w:val="32"/>
          <w:szCs w:val="32"/>
        </w:rPr>
        <w:br/>
        <w:t>3.6 Ethics and Reliability</w:t>
      </w:r>
    </w:p>
    <w:p w14:paraId="193BF4B9" w14:textId="77777777" w:rsidR="001E0E75" w:rsidRPr="001E0E75" w:rsidRDefault="001E0E75" w:rsidP="001E0E75">
      <w:pPr>
        <w:spacing w:line="360" w:lineRule="auto"/>
        <w:rPr>
          <w:rFonts w:ascii="Arial" w:hAnsi="Arial" w:cs="Arial"/>
          <w:sz w:val="32"/>
          <w:szCs w:val="32"/>
        </w:rPr>
      </w:pPr>
    </w:p>
    <w:p w14:paraId="2FA07A50" w14:textId="77777777" w:rsidR="00801217" w:rsidRPr="001E0E75" w:rsidRDefault="00801217" w:rsidP="001E0E75">
      <w:pPr>
        <w:spacing w:line="360" w:lineRule="auto"/>
        <w:rPr>
          <w:rFonts w:ascii="Arial" w:hAnsi="Arial" w:cs="Arial"/>
          <w:b/>
          <w:bCs/>
          <w:sz w:val="32"/>
          <w:szCs w:val="32"/>
        </w:rPr>
      </w:pPr>
      <w:r w:rsidRPr="001E0E75">
        <w:rPr>
          <w:rFonts w:ascii="Arial" w:hAnsi="Arial" w:cs="Arial"/>
          <w:b/>
          <w:bCs/>
          <w:sz w:val="32"/>
          <w:szCs w:val="32"/>
        </w:rPr>
        <w:lastRenderedPageBreak/>
        <w:t>Chapter 4 – Findings and Discussion</w:t>
      </w:r>
    </w:p>
    <w:p w14:paraId="3A8111E6" w14:textId="77777777" w:rsidR="00801217" w:rsidRPr="001E0E75" w:rsidRDefault="00801217" w:rsidP="001E0E75">
      <w:pPr>
        <w:spacing w:line="360" w:lineRule="auto"/>
        <w:rPr>
          <w:rFonts w:ascii="Arial" w:hAnsi="Arial" w:cs="Arial"/>
          <w:sz w:val="32"/>
          <w:szCs w:val="32"/>
        </w:rPr>
      </w:pPr>
      <w:r w:rsidRPr="001E0E75">
        <w:rPr>
          <w:rFonts w:ascii="Arial" w:hAnsi="Arial" w:cs="Arial"/>
          <w:sz w:val="32"/>
          <w:szCs w:val="32"/>
        </w:rPr>
        <w:t>4.1 Introduction</w:t>
      </w:r>
      <w:r w:rsidRPr="001E0E75">
        <w:rPr>
          <w:rFonts w:ascii="Arial" w:hAnsi="Arial" w:cs="Arial"/>
          <w:sz w:val="32"/>
          <w:szCs w:val="32"/>
        </w:rPr>
        <w:br/>
        <w:t>4.2 Theme 1 – Location and Market Positioning</w:t>
      </w:r>
      <w:r w:rsidRPr="001E0E75">
        <w:rPr>
          <w:rFonts w:ascii="Arial" w:hAnsi="Arial" w:cs="Arial"/>
          <w:sz w:val="32"/>
          <w:szCs w:val="32"/>
        </w:rPr>
        <w:br/>
        <w:t>4.3 Theme 2 – Sales Strategies and Value Perception</w:t>
      </w:r>
      <w:r w:rsidRPr="001E0E75">
        <w:rPr>
          <w:rFonts w:ascii="Arial" w:hAnsi="Arial" w:cs="Arial"/>
          <w:sz w:val="32"/>
          <w:szCs w:val="32"/>
        </w:rPr>
        <w:br/>
        <w:t>4.4 Theme 3 – Hybrid Meetings and Technological Adaptation</w:t>
      </w:r>
      <w:r w:rsidRPr="001E0E75">
        <w:rPr>
          <w:rFonts w:ascii="Arial" w:hAnsi="Arial" w:cs="Arial"/>
          <w:sz w:val="32"/>
          <w:szCs w:val="32"/>
        </w:rPr>
        <w:br/>
        <w:t>4.5 Theme 4 – Relationship Marketing and Customer Retention</w:t>
      </w:r>
      <w:r w:rsidRPr="001E0E75">
        <w:rPr>
          <w:rFonts w:ascii="Arial" w:hAnsi="Arial" w:cs="Arial"/>
          <w:sz w:val="32"/>
          <w:szCs w:val="32"/>
        </w:rPr>
        <w:br/>
        <w:t>4.6 Cross-Theme Analysis</w:t>
      </w:r>
      <w:r w:rsidRPr="001E0E75">
        <w:rPr>
          <w:rFonts w:ascii="Arial" w:hAnsi="Arial" w:cs="Arial"/>
          <w:sz w:val="32"/>
          <w:szCs w:val="32"/>
        </w:rPr>
        <w:br/>
        <w:t>4.7 Managerial Implications</w:t>
      </w:r>
      <w:r w:rsidRPr="001E0E75">
        <w:rPr>
          <w:rFonts w:ascii="Arial" w:hAnsi="Arial" w:cs="Arial"/>
          <w:sz w:val="32"/>
          <w:szCs w:val="32"/>
        </w:rPr>
        <w:br/>
        <w:t>4.8 Summary</w:t>
      </w:r>
    </w:p>
    <w:p w14:paraId="04987F4C" w14:textId="77777777" w:rsidR="00801217" w:rsidRPr="001E0E75" w:rsidRDefault="00801217" w:rsidP="001E0E75">
      <w:pPr>
        <w:spacing w:line="360" w:lineRule="auto"/>
        <w:rPr>
          <w:rFonts w:ascii="Arial" w:hAnsi="Arial" w:cs="Arial"/>
          <w:b/>
          <w:bCs/>
          <w:sz w:val="32"/>
          <w:szCs w:val="32"/>
        </w:rPr>
      </w:pPr>
      <w:r w:rsidRPr="001E0E75">
        <w:rPr>
          <w:rFonts w:ascii="Arial" w:hAnsi="Arial" w:cs="Arial"/>
          <w:b/>
          <w:bCs/>
          <w:sz w:val="32"/>
          <w:szCs w:val="32"/>
        </w:rPr>
        <w:t>Chapter 5 – Conclusion and Recommendations</w:t>
      </w:r>
    </w:p>
    <w:p w14:paraId="180C3BA3" w14:textId="66EA8F96" w:rsidR="001E0E75" w:rsidRPr="000F4B47" w:rsidRDefault="00801217" w:rsidP="001E0E75">
      <w:pPr>
        <w:spacing w:line="360" w:lineRule="auto"/>
        <w:rPr>
          <w:rFonts w:ascii="Arial" w:hAnsi="Arial" w:cs="Arial"/>
          <w:sz w:val="32"/>
          <w:szCs w:val="32"/>
        </w:rPr>
      </w:pPr>
      <w:r w:rsidRPr="001E0E75">
        <w:rPr>
          <w:rFonts w:ascii="Arial" w:hAnsi="Arial" w:cs="Arial"/>
          <w:sz w:val="32"/>
          <w:szCs w:val="32"/>
        </w:rPr>
        <w:t>5.1 Introduction</w:t>
      </w:r>
      <w:r w:rsidRPr="001E0E75">
        <w:rPr>
          <w:rFonts w:ascii="Arial" w:hAnsi="Arial" w:cs="Arial"/>
          <w:sz w:val="32"/>
          <w:szCs w:val="32"/>
        </w:rPr>
        <w:br/>
        <w:t>5.2 Summary of Findings</w:t>
      </w:r>
      <w:r w:rsidRPr="001E0E75">
        <w:rPr>
          <w:rFonts w:ascii="Arial" w:hAnsi="Arial" w:cs="Arial"/>
          <w:sz w:val="32"/>
          <w:szCs w:val="32"/>
        </w:rPr>
        <w:br/>
        <w:t>5.3 Theoretical Implications</w:t>
      </w:r>
      <w:r w:rsidRPr="001E0E75">
        <w:rPr>
          <w:rFonts w:ascii="Arial" w:hAnsi="Arial" w:cs="Arial"/>
          <w:sz w:val="32"/>
          <w:szCs w:val="32"/>
        </w:rPr>
        <w:br/>
        <w:t>5.4 Practical Implications</w:t>
      </w:r>
      <w:r w:rsidRPr="001E0E75">
        <w:rPr>
          <w:rFonts w:ascii="Arial" w:hAnsi="Arial" w:cs="Arial"/>
          <w:sz w:val="32"/>
          <w:szCs w:val="32"/>
        </w:rPr>
        <w:br/>
        <w:t>5.5 Strategic Framework for Hilton</w:t>
      </w:r>
      <w:r w:rsidRPr="001E0E75">
        <w:rPr>
          <w:rFonts w:ascii="Arial" w:hAnsi="Arial" w:cs="Arial"/>
          <w:sz w:val="32"/>
          <w:szCs w:val="32"/>
        </w:rPr>
        <w:br/>
        <w:t>5.6 Evaluation of Research Objectives</w:t>
      </w:r>
      <w:r w:rsidRPr="001E0E75">
        <w:rPr>
          <w:rFonts w:ascii="Arial" w:hAnsi="Arial" w:cs="Arial"/>
          <w:sz w:val="32"/>
          <w:szCs w:val="32"/>
        </w:rPr>
        <w:br/>
        <w:t>5.7 Limitations</w:t>
      </w:r>
      <w:r w:rsidRPr="001E0E75">
        <w:rPr>
          <w:rFonts w:ascii="Arial" w:hAnsi="Arial" w:cs="Arial"/>
          <w:sz w:val="32"/>
          <w:szCs w:val="32"/>
        </w:rPr>
        <w:br/>
        <w:t>5.8 Future Research Directions</w:t>
      </w:r>
      <w:r w:rsidRPr="001E0E75">
        <w:rPr>
          <w:rFonts w:ascii="Arial" w:hAnsi="Arial" w:cs="Arial"/>
          <w:sz w:val="32"/>
          <w:szCs w:val="32"/>
        </w:rPr>
        <w:br/>
        <w:t>5.9 Overall Conclusion</w:t>
      </w:r>
    </w:p>
    <w:p w14:paraId="788851DC" w14:textId="2C281076" w:rsidR="00801217" w:rsidRDefault="00801217" w:rsidP="001E0E75">
      <w:pPr>
        <w:spacing w:line="360" w:lineRule="auto"/>
        <w:rPr>
          <w:rFonts w:ascii="Arial" w:hAnsi="Arial" w:cs="Arial"/>
          <w:b/>
          <w:bCs/>
          <w:sz w:val="32"/>
          <w:szCs w:val="32"/>
        </w:rPr>
      </w:pPr>
      <w:r w:rsidRPr="001E0E75">
        <w:rPr>
          <w:rFonts w:ascii="Arial" w:hAnsi="Arial" w:cs="Arial"/>
          <w:b/>
          <w:bCs/>
          <w:sz w:val="32"/>
          <w:szCs w:val="32"/>
        </w:rPr>
        <w:t>References</w:t>
      </w:r>
    </w:p>
    <w:p w14:paraId="61100EF2" w14:textId="0E4D5DA7" w:rsidR="000F4B47" w:rsidRPr="001E0E75" w:rsidRDefault="000F4B47" w:rsidP="001E0E75">
      <w:pPr>
        <w:spacing w:line="360" w:lineRule="auto"/>
        <w:rPr>
          <w:rFonts w:ascii="Arial" w:hAnsi="Arial" w:cs="Arial"/>
          <w:b/>
          <w:bCs/>
          <w:sz w:val="32"/>
          <w:szCs w:val="32"/>
        </w:rPr>
      </w:pPr>
      <w:r>
        <w:rPr>
          <w:rFonts w:ascii="Arial" w:hAnsi="Arial" w:cs="Arial"/>
          <w:b/>
          <w:bCs/>
          <w:sz w:val="32"/>
          <w:szCs w:val="32"/>
        </w:rPr>
        <w:t xml:space="preserve">Appendices </w:t>
      </w:r>
    </w:p>
    <w:p w14:paraId="42128A8C" w14:textId="77777777" w:rsidR="00756D2F" w:rsidRPr="001E0E75" w:rsidRDefault="00756D2F" w:rsidP="001E0E75">
      <w:pPr>
        <w:spacing w:line="360" w:lineRule="auto"/>
        <w:rPr>
          <w:rFonts w:ascii="Arial" w:hAnsi="Arial" w:cs="Arial"/>
          <w:sz w:val="32"/>
          <w:szCs w:val="32"/>
        </w:rPr>
      </w:pPr>
    </w:p>
    <w:p w14:paraId="670E6AFE" w14:textId="77777777" w:rsidR="008D201A" w:rsidRPr="001E0E75" w:rsidRDefault="008D201A" w:rsidP="001E0E75">
      <w:pPr>
        <w:spacing w:line="360" w:lineRule="auto"/>
        <w:rPr>
          <w:rFonts w:ascii="Arial" w:hAnsi="Arial" w:cs="Arial"/>
          <w:sz w:val="32"/>
          <w:szCs w:val="32"/>
        </w:rPr>
      </w:pPr>
    </w:p>
    <w:p w14:paraId="2E3027CF" w14:textId="46F1F4F2" w:rsidR="00756D2F" w:rsidRPr="001E0E75" w:rsidRDefault="00756D2F" w:rsidP="001E0E75">
      <w:pPr>
        <w:spacing w:line="360" w:lineRule="auto"/>
        <w:rPr>
          <w:rFonts w:ascii="Arial" w:hAnsi="Arial" w:cs="Arial"/>
          <w:b/>
          <w:bCs/>
          <w:sz w:val="32"/>
          <w:szCs w:val="32"/>
        </w:rPr>
      </w:pPr>
      <w:r w:rsidRPr="001E0E75">
        <w:rPr>
          <w:rFonts w:ascii="Arial" w:hAnsi="Arial" w:cs="Arial"/>
          <w:b/>
          <w:bCs/>
          <w:sz w:val="32"/>
          <w:szCs w:val="32"/>
        </w:rPr>
        <w:lastRenderedPageBreak/>
        <w:t>Chapter 1: Introduction</w:t>
      </w:r>
    </w:p>
    <w:p w14:paraId="33562E46" w14:textId="77777777" w:rsidR="008D201A" w:rsidRPr="001E0E75" w:rsidRDefault="008D201A" w:rsidP="001E0E75">
      <w:pPr>
        <w:spacing w:line="360" w:lineRule="auto"/>
        <w:rPr>
          <w:rFonts w:ascii="Arial" w:hAnsi="Arial" w:cs="Arial"/>
          <w:sz w:val="32"/>
          <w:szCs w:val="32"/>
        </w:rPr>
      </w:pPr>
    </w:p>
    <w:p w14:paraId="650E462F" w14:textId="28589B9B" w:rsidR="00756D2F" w:rsidRPr="001E0E75" w:rsidRDefault="00756D2F" w:rsidP="001E0E75">
      <w:pPr>
        <w:spacing w:line="360" w:lineRule="auto"/>
        <w:rPr>
          <w:rFonts w:ascii="Arial" w:hAnsi="Arial" w:cs="Arial"/>
          <w:b/>
          <w:bCs/>
          <w:sz w:val="32"/>
          <w:szCs w:val="32"/>
        </w:rPr>
      </w:pPr>
      <w:r w:rsidRPr="001E0E75">
        <w:rPr>
          <w:rFonts w:ascii="Arial" w:hAnsi="Arial" w:cs="Arial"/>
          <w:b/>
          <w:bCs/>
          <w:sz w:val="32"/>
          <w:szCs w:val="32"/>
        </w:rPr>
        <w:t>1.1 Background</w:t>
      </w:r>
    </w:p>
    <w:p w14:paraId="6FA76CB0" w14:textId="75541D51" w:rsidR="00756D2F" w:rsidRPr="001E0E75" w:rsidRDefault="00756D2F" w:rsidP="001E0E75">
      <w:pPr>
        <w:spacing w:line="360" w:lineRule="auto"/>
        <w:rPr>
          <w:rFonts w:ascii="Arial" w:hAnsi="Arial" w:cs="Arial"/>
          <w:sz w:val="32"/>
          <w:szCs w:val="32"/>
        </w:rPr>
      </w:pPr>
      <w:r w:rsidRPr="001E0E75">
        <w:rPr>
          <w:rFonts w:ascii="Arial" w:hAnsi="Arial" w:cs="Arial"/>
          <w:sz w:val="32"/>
          <w:szCs w:val="32"/>
        </w:rPr>
        <w:t>The hospitality industry remains one of the most competitive global service sectors, where success depends on a hotel’s ability to differentiate itself through strategic market positioning. One of the most influential factors shaping this positioning is the hotel’s location, which determines accessibility, customer mix, and perceived value (Law et al., 2021). In the Meetings, Incentives, Conferences, and Events (MICE) segment, location strongly affects a property’s attractiveness for both corporate and leisure clientele. Regional hotels located near major cities must therefore develop adaptive sales strategies to overcome geographic and market challenges.</w:t>
      </w:r>
      <w:r w:rsidR="00993295" w:rsidRPr="001E0E75">
        <w:rPr>
          <w:rFonts w:ascii="Arial" w:hAnsi="Arial" w:cs="Arial"/>
          <w:sz w:val="32"/>
          <w:szCs w:val="32"/>
        </w:rPr>
        <w:t xml:space="preserve"> There is increasing competitiveness of the UK hotel market, coupled with evolving client expectations and different event trends, makes it essential for business hotels to understand and to adapt to the implications of their location on performance. </w:t>
      </w:r>
    </w:p>
    <w:p w14:paraId="05018032" w14:textId="09B896BF" w:rsidR="00756D2F" w:rsidRPr="001E0E75" w:rsidRDefault="00D3277C" w:rsidP="001E0E75">
      <w:pPr>
        <w:spacing w:line="360" w:lineRule="auto"/>
        <w:rPr>
          <w:rFonts w:ascii="Arial" w:hAnsi="Arial" w:cs="Arial"/>
          <w:sz w:val="32"/>
          <w:szCs w:val="32"/>
        </w:rPr>
      </w:pPr>
      <w:r w:rsidRPr="001E0E75">
        <w:rPr>
          <w:rFonts w:ascii="Arial" w:hAnsi="Arial" w:cs="Arial"/>
          <w:sz w:val="32"/>
          <w:szCs w:val="32"/>
        </w:rPr>
        <w:t>Recent UK industry reviews (PwC, 2023; VisitBritain, 2023) note that regional hotels surrounding London have become increasingly significant contributors to the national MICE economy, demonstrating the continuing strategic importance of location in hospitality performance.</w:t>
      </w:r>
    </w:p>
    <w:p w14:paraId="60665624" w14:textId="77777777" w:rsidR="00993295" w:rsidRPr="001E0E75" w:rsidRDefault="00756D2F" w:rsidP="001E0E75">
      <w:pPr>
        <w:spacing w:line="360" w:lineRule="auto"/>
        <w:rPr>
          <w:rFonts w:ascii="Arial" w:hAnsi="Arial" w:cs="Arial"/>
          <w:sz w:val="32"/>
          <w:szCs w:val="32"/>
        </w:rPr>
      </w:pPr>
      <w:r w:rsidRPr="001E0E75">
        <w:rPr>
          <w:rFonts w:ascii="Arial" w:hAnsi="Arial" w:cs="Arial"/>
          <w:sz w:val="32"/>
          <w:szCs w:val="32"/>
        </w:rPr>
        <w:lastRenderedPageBreak/>
        <w:t xml:space="preserve">DoubleTree by Hilton Dartford Bridge, situated in Kent near the M25 corridor, serves as an ideal case study to explore these dynamics. The hotel caters to a mix of corporate and leisure guests while competing with properties in London and neighbouring counties. </w:t>
      </w:r>
      <w:r w:rsidR="00993295" w:rsidRPr="001E0E75">
        <w:rPr>
          <w:rFonts w:ascii="Arial" w:hAnsi="Arial" w:cs="Arial"/>
          <w:sz w:val="32"/>
          <w:szCs w:val="32"/>
        </w:rPr>
        <w:t>Despite being outside central London, the hotel attracts both corporate and leisure customers due to its availability to major transport links, business parks, and the Bluewater shopping centre. The hotel has dedicated meetings and events facilities, including a ballroom, boardrooms, and function spaces like bar and antre for connecting the meeting conference rooms. There are 7 conference room all named by the closest locations by the hotel like Queen Elizabeth suite, Bexley suite, Tilbury suite and Hextable suite, (Hilton, 2025).</w:t>
      </w:r>
    </w:p>
    <w:p w14:paraId="259FB324" w14:textId="5103951E" w:rsidR="00756D2F" w:rsidRPr="001E0E75" w:rsidRDefault="00756D2F" w:rsidP="001E0E75">
      <w:pPr>
        <w:spacing w:line="360" w:lineRule="auto"/>
        <w:rPr>
          <w:rFonts w:ascii="Arial" w:hAnsi="Arial" w:cs="Arial"/>
          <w:sz w:val="32"/>
          <w:szCs w:val="32"/>
        </w:rPr>
      </w:pPr>
      <w:r w:rsidRPr="001E0E75">
        <w:rPr>
          <w:rFonts w:ascii="Arial" w:hAnsi="Arial" w:cs="Arial"/>
          <w:sz w:val="32"/>
          <w:szCs w:val="32"/>
        </w:rPr>
        <w:t>The researcher completed a professional placement in the hotel’s Meetings &amp; Events Department, providing first-hand insight into its operational strategies and market performance.</w:t>
      </w:r>
    </w:p>
    <w:p w14:paraId="7AA82FA9" w14:textId="77777777" w:rsidR="00756D2F" w:rsidRPr="001E0E75" w:rsidRDefault="00756D2F" w:rsidP="001E0E75">
      <w:pPr>
        <w:spacing w:line="360" w:lineRule="auto"/>
        <w:rPr>
          <w:rFonts w:ascii="Arial" w:hAnsi="Arial" w:cs="Arial"/>
          <w:sz w:val="32"/>
          <w:szCs w:val="32"/>
        </w:rPr>
      </w:pPr>
    </w:p>
    <w:p w14:paraId="313617EF" w14:textId="6A565668" w:rsidR="00756D2F" w:rsidRPr="001E0E75" w:rsidRDefault="00756D2F" w:rsidP="001E0E75">
      <w:pPr>
        <w:spacing w:line="360" w:lineRule="auto"/>
        <w:rPr>
          <w:rFonts w:ascii="Arial" w:hAnsi="Arial" w:cs="Arial"/>
          <w:b/>
          <w:bCs/>
          <w:sz w:val="32"/>
          <w:szCs w:val="32"/>
        </w:rPr>
      </w:pPr>
      <w:r w:rsidRPr="001E0E75">
        <w:rPr>
          <w:rFonts w:ascii="Arial" w:hAnsi="Arial" w:cs="Arial"/>
          <w:b/>
          <w:bCs/>
          <w:sz w:val="32"/>
          <w:szCs w:val="32"/>
        </w:rPr>
        <w:t>1.2 Research Aim and Objectives</w:t>
      </w:r>
    </w:p>
    <w:p w14:paraId="034104D8" w14:textId="77777777" w:rsidR="00756D2F" w:rsidRPr="001E0E75" w:rsidRDefault="00756D2F" w:rsidP="001E0E75">
      <w:pPr>
        <w:spacing w:line="360" w:lineRule="auto"/>
        <w:rPr>
          <w:rFonts w:ascii="Arial" w:hAnsi="Arial" w:cs="Arial"/>
          <w:b/>
          <w:bCs/>
          <w:sz w:val="32"/>
          <w:szCs w:val="32"/>
        </w:rPr>
      </w:pPr>
      <w:r w:rsidRPr="001E0E75">
        <w:rPr>
          <w:rFonts w:ascii="Arial" w:hAnsi="Arial" w:cs="Arial"/>
          <w:b/>
          <w:bCs/>
          <w:sz w:val="32"/>
          <w:szCs w:val="32"/>
        </w:rPr>
        <w:t>Aim:</w:t>
      </w:r>
    </w:p>
    <w:p w14:paraId="70637DD9" w14:textId="2D28EC8A" w:rsidR="00756D2F" w:rsidRPr="001E0E75" w:rsidRDefault="00993295" w:rsidP="001E0E75">
      <w:pPr>
        <w:spacing w:line="360" w:lineRule="auto"/>
        <w:rPr>
          <w:rFonts w:ascii="Arial" w:hAnsi="Arial" w:cs="Arial"/>
          <w:sz w:val="32"/>
          <w:szCs w:val="32"/>
        </w:rPr>
      </w:pPr>
      <w:r w:rsidRPr="001E0E75">
        <w:rPr>
          <w:rFonts w:ascii="Arial" w:hAnsi="Arial" w:cs="Arial"/>
          <w:sz w:val="32"/>
          <w:szCs w:val="32"/>
        </w:rPr>
        <w:t>The primary aim of this research is t</w:t>
      </w:r>
      <w:r w:rsidR="00756D2F" w:rsidRPr="001E0E75">
        <w:rPr>
          <w:rFonts w:ascii="Arial" w:hAnsi="Arial" w:cs="Arial"/>
          <w:sz w:val="32"/>
          <w:szCs w:val="32"/>
        </w:rPr>
        <w:t>o evaluate the impact of hotel location on sales strategies and the performance of Meetings &amp; Events at DoubleTree by Hilton Dartford Bridge.</w:t>
      </w:r>
    </w:p>
    <w:p w14:paraId="33DFF48E" w14:textId="77777777" w:rsidR="00756D2F" w:rsidRPr="001E0E75" w:rsidRDefault="00756D2F" w:rsidP="001E0E75">
      <w:pPr>
        <w:spacing w:line="360" w:lineRule="auto"/>
        <w:rPr>
          <w:rFonts w:ascii="Arial" w:hAnsi="Arial" w:cs="Arial"/>
          <w:sz w:val="32"/>
          <w:szCs w:val="32"/>
        </w:rPr>
      </w:pPr>
    </w:p>
    <w:p w14:paraId="267D6B99" w14:textId="0D3DD077" w:rsidR="00756D2F" w:rsidRPr="001E0E75" w:rsidRDefault="00756D2F" w:rsidP="001E0E75">
      <w:pPr>
        <w:spacing w:line="360" w:lineRule="auto"/>
        <w:rPr>
          <w:rFonts w:ascii="Arial" w:hAnsi="Arial" w:cs="Arial"/>
          <w:b/>
          <w:bCs/>
          <w:sz w:val="32"/>
          <w:szCs w:val="32"/>
        </w:rPr>
      </w:pPr>
      <w:r w:rsidRPr="001E0E75">
        <w:rPr>
          <w:rFonts w:ascii="Arial" w:hAnsi="Arial" w:cs="Arial"/>
          <w:b/>
          <w:bCs/>
          <w:sz w:val="32"/>
          <w:szCs w:val="32"/>
        </w:rPr>
        <w:lastRenderedPageBreak/>
        <w:t>Objectives:</w:t>
      </w:r>
    </w:p>
    <w:p w14:paraId="349591BE" w14:textId="74A23B8E" w:rsidR="00756D2F" w:rsidRPr="001E0E75" w:rsidRDefault="00756D2F" w:rsidP="001E0E75">
      <w:pPr>
        <w:pStyle w:val="ListParagraph"/>
        <w:numPr>
          <w:ilvl w:val="0"/>
          <w:numId w:val="2"/>
        </w:numPr>
        <w:spacing w:line="360" w:lineRule="auto"/>
        <w:rPr>
          <w:rFonts w:ascii="Arial" w:hAnsi="Arial" w:cs="Arial"/>
          <w:sz w:val="32"/>
          <w:szCs w:val="32"/>
        </w:rPr>
      </w:pPr>
      <w:r w:rsidRPr="001E0E75">
        <w:rPr>
          <w:rFonts w:ascii="Arial" w:hAnsi="Arial" w:cs="Arial"/>
          <w:sz w:val="32"/>
          <w:szCs w:val="32"/>
        </w:rPr>
        <w:t>To analyse how location influences customer demand and event sales performance.</w:t>
      </w:r>
    </w:p>
    <w:p w14:paraId="6904F299" w14:textId="77777777" w:rsidR="00756D2F" w:rsidRPr="001E0E75" w:rsidRDefault="00756D2F" w:rsidP="001E0E75">
      <w:pPr>
        <w:spacing w:line="360" w:lineRule="auto"/>
        <w:rPr>
          <w:rFonts w:ascii="Arial" w:hAnsi="Arial" w:cs="Arial"/>
          <w:sz w:val="32"/>
          <w:szCs w:val="32"/>
        </w:rPr>
      </w:pPr>
    </w:p>
    <w:p w14:paraId="7DDBC9D8" w14:textId="367D9468" w:rsidR="00756D2F" w:rsidRPr="001E0E75" w:rsidRDefault="00756D2F" w:rsidP="001E0E75">
      <w:pPr>
        <w:pStyle w:val="ListParagraph"/>
        <w:numPr>
          <w:ilvl w:val="0"/>
          <w:numId w:val="2"/>
        </w:numPr>
        <w:spacing w:line="360" w:lineRule="auto"/>
        <w:rPr>
          <w:rFonts w:ascii="Arial" w:hAnsi="Arial" w:cs="Arial"/>
          <w:sz w:val="32"/>
          <w:szCs w:val="32"/>
        </w:rPr>
      </w:pPr>
      <w:r w:rsidRPr="001E0E75">
        <w:rPr>
          <w:rFonts w:ascii="Arial" w:hAnsi="Arial" w:cs="Arial"/>
          <w:sz w:val="32"/>
          <w:szCs w:val="32"/>
        </w:rPr>
        <w:t>To identify the challenges and opportunities arising from the hotel’s geographic position.</w:t>
      </w:r>
    </w:p>
    <w:p w14:paraId="73DB63BE" w14:textId="77777777" w:rsidR="00756D2F" w:rsidRPr="001E0E75" w:rsidRDefault="00756D2F" w:rsidP="001E0E75">
      <w:pPr>
        <w:spacing w:line="360" w:lineRule="auto"/>
        <w:rPr>
          <w:rFonts w:ascii="Arial" w:hAnsi="Arial" w:cs="Arial"/>
          <w:sz w:val="32"/>
          <w:szCs w:val="32"/>
        </w:rPr>
      </w:pPr>
    </w:p>
    <w:p w14:paraId="428E6F07" w14:textId="42F1ACA5" w:rsidR="00756D2F" w:rsidRPr="001E0E75" w:rsidRDefault="00756D2F" w:rsidP="001E0E75">
      <w:pPr>
        <w:pStyle w:val="ListParagraph"/>
        <w:numPr>
          <w:ilvl w:val="0"/>
          <w:numId w:val="2"/>
        </w:numPr>
        <w:spacing w:line="360" w:lineRule="auto"/>
        <w:rPr>
          <w:rFonts w:ascii="Arial" w:hAnsi="Arial" w:cs="Arial"/>
          <w:sz w:val="32"/>
          <w:szCs w:val="32"/>
        </w:rPr>
      </w:pPr>
      <w:r w:rsidRPr="001E0E75">
        <w:rPr>
          <w:rFonts w:ascii="Arial" w:hAnsi="Arial" w:cs="Arial"/>
          <w:sz w:val="32"/>
          <w:szCs w:val="32"/>
        </w:rPr>
        <w:t>To examine how management adapts sales and marketing strategies to mitigate locational constraints.</w:t>
      </w:r>
    </w:p>
    <w:p w14:paraId="6D4634E2" w14:textId="77777777" w:rsidR="00756D2F" w:rsidRPr="001E0E75" w:rsidRDefault="00756D2F" w:rsidP="001E0E75">
      <w:pPr>
        <w:spacing w:line="360" w:lineRule="auto"/>
        <w:rPr>
          <w:rFonts w:ascii="Arial" w:hAnsi="Arial" w:cs="Arial"/>
          <w:sz w:val="32"/>
          <w:szCs w:val="32"/>
        </w:rPr>
      </w:pPr>
    </w:p>
    <w:p w14:paraId="3967BE09" w14:textId="758C48B7" w:rsidR="00756D2F" w:rsidRPr="001E0E75" w:rsidRDefault="00756D2F" w:rsidP="001E0E75">
      <w:pPr>
        <w:pStyle w:val="ListParagraph"/>
        <w:numPr>
          <w:ilvl w:val="0"/>
          <w:numId w:val="2"/>
        </w:numPr>
        <w:spacing w:line="360" w:lineRule="auto"/>
        <w:rPr>
          <w:rFonts w:ascii="Arial" w:hAnsi="Arial" w:cs="Arial"/>
          <w:sz w:val="32"/>
          <w:szCs w:val="32"/>
        </w:rPr>
      </w:pPr>
      <w:r w:rsidRPr="001E0E75">
        <w:rPr>
          <w:rFonts w:ascii="Arial" w:hAnsi="Arial" w:cs="Arial"/>
          <w:sz w:val="32"/>
          <w:szCs w:val="32"/>
        </w:rPr>
        <w:t>To propose recommendations to enhance the hotel’s competitiveness within the regional M&amp;E market.</w:t>
      </w:r>
    </w:p>
    <w:p w14:paraId="5BF22387" w14:textId="77777777" w:rsidR="00756D2F" w:rsidRPr="001E0E75" w:rsidRDefault="00756D2F" w:rsidP="001E0E75">
      <w:pPr>
        <w:spacing w:line="360" w:lineRule="auto"/>
        <w:rPr>
          <w:rFonts w:ascii="Arial" w:hAnsi="Arial" w:cs="Arial"/>
          <w:sz w:val="32"/>
          <w:szCs w:val="32"/>
        </w:rPr>
      </w:pPr>
    </w:p>
    <w:p w14:paraId="73D9EF58" w14:textId="1773224D" w:rsidR="00756D2F" w:rsidRPr="001E0E75" w:rsidRDefault="00756D2F" w:rsidP="001E0E75">
      <w:pPr>
        <w:spacing w:line="360" w:lineRule="auto"/>
        <w:rPr>
          <w:rFonts w:ascii="Arial" w:hAnsi="Arial" w:cs="Arial"/>
          <w:b/>
          <w:bCs/>
          <w:sz w:val="32"/>
          <w:szCs w:val="32"/>
        </w:rPr>
      </w:pPr>
      <w:r w:rsidRPr="001E0E75">
        <w:rPr>
          <w:rFonts w:ascii="Arial" w:hAnsi="Arial" w:cs="Arial"/>
          <w:b/>
          <w:bCs/>
          <w:sz w:val="32"/>
          <w:szCs w:val="32"/>
        </w:rPr>
        <w:t>1.3 Research Questions</w:t>
      </w:r>
    </w:p>
    <w:p w14:paraId="029FC83C" w14:textId="53B085FE" w:rsidR="00756D2F" w:rsidRPr="001E0E75" w:rsidRDefault="00756D2F" w:rsidP="001E0E75">
      <w:pPr>
        <w:spacing w:line="360" w:lineRule="auto"/>
        <w:rPr>
          <w:rFonts w:ascii="Arial" w:hAnsi="Arial" w:cs="Arial"/>
          <w:sz w:val="32"/>
          <w:szCs w:val="32"/>
        </w:rPr>
      </w:pPr>
      <w:r w:rsidRPr="001E0E75">
        <w:rPr>
          <w:rFonts w:ascii="Arial" w:hAnsi="Arial" w:cs="Arial"/>
          <w:sz w:val="32"/>
          <w:szCs w:val="32"/>
        </w:rPr>
        <w:t>How does the hotel’s location affect its Meetings &amp; Events sales performance?</w:t>
      </w:r>
    </w:p>
    <w:p w14:paraId="6AA7E997" w14:textId="36F798DF" w:rsidR="00756D2F" w:rsidRPr="001E0E75" w:rsidRDefault="00756D2F" w:rsidP="001E0E75">
      <w:pPr>
        <w:spacing w:line="360" w:lineRule="auto"/>
        <w:rPr>
          <w:rFonts w:ascii="Arial" w:hAnsi="Arial" w:cs="Arial"/>
          <w:sz w:val="32"/>
          <w:szCs w:val="32"/>
        </w:rPr>
      </w:pPr>
      <w:r w:rsidRPr="001E0E75">
        <w:rPr>
          <w:rFonts w:ascii="Arial" w:hAnsi="Arial" w:cs="Arial"/>
          <w:sz w:val="32"/>
          <w:szCs w:val="32"/>
        </w:rPr>
        <w:t>What strategies are implemented to overcome location-related challenges?</w:t>
      </w:r>
    </w:p>
    <w:p w14:paraId="46B9356C" w14:textId="77777777" w:rsidR="00756D2F" w:rsidRPr="001E0E75" w:rsidRDefault="00756D2F" w:rsidP="001E0E75">
      <w:pPr>
        <w:spacing w:line="360" w:lineRule="auto"/>
        <w:rPr>
          <w:rFonts w:ascii="Arial" w:hAnsi="Arial" w:cs="Arial"/>
          <w:sz w:val="32"/>
          <w:szCs w:val="32"/>
        </w:rPr>
      </w:pPr>
      <w:r w:rsidRPr="001E0E75">
        <w:rPr>
          <w:rFonts w:ascii="Arial" w:hAnsi="Arial" w:cs="Arial"/>
          <w:sz w:val="32"/>
          <w:szCs w:val="32"/>
        </w:rPr>
        <w:t>In what ways can location be leveraged to improve the property’s future performance?</w:t>
      </w:r>
    </w:p>
    <w:p w14:paraId="4A435BD5" w14:textId="77777777" w:rsidR="00756D2F" w:rsidRPr="001E0E75" w:rsidRDefault="00756D2F" w:rsidP="001E0E75">
      <w:pPr>
        <w:spacing w:line="360" w:lineRule="auto"/>
        <w:rPr>
          <w:rFonts w:ascii="Arial" w:hAnsi="Arial" w:cs="Arial"/>
          <w:sz w:val="32"/>
          <w:szCs w:val="32"/>
        </w:rPr>
      </w:pPr>
    </w:p>
    <w:p w14:paraId="0CB6C4E2" w14:textId="36113917" w:rsidR="00756D2F" w:rsidRPr="001E0E75" w:rsidRDefault="00756D2F" w:rsidP="001E0E75">
      <w:pPr>
        <w:spacing w:line="360" w:lineRule="auto"/>
        <w:rPr>
          <w:rFonts w:ascii="Arial" w:hAnsi="Arial" w:cs="Arial"/>
          <w:b/>
          <w:bCs/>
          <w:sz w:val="32"/>
          <w:szCs w:val="32"/>
        </w:rPr>
      </w:pPr>
      <w:r w:rsidRPr="001E0E75">
        <w:rPr>
          <w:rFonts w:ascii="Arial" w:hAnsi="Arial" w:cs="Arial"/>
          <w:b/>
          <w:bCs/>
          <w:sz w:val="32"/>
          <w:szCs w:val="32"/>
        </w:rPr>
        <w:lastRenderedPageBreak/>
        <w:t>1.4 Rationale and Significance</w:t>
      </w:r>
    </w:p>
    <w:p w14:paraId="5AABC607" w14:textId="77777777" w:rsidR="00756D2F" w:rsidRPr="001E0E75" w:rsidRDefault="00756D2F" w:rsidP="001E0E75">
      <w:pPr>
        <w:spacing w:line="360" w:lineRule="auto"/>
        <w:rPr>
          <w:rFonts w:ascii="Arial" w:hAnsi="Arial" w:cs="Arial"/>
          <w:sz w:val="32"/>
          <w:szCs w:val="32"/>
        </w:rPr>
      </w:pPr>
      <w:r w:rsidRPr="001E0E75">
        <w:rPr>
          <w:rFonts w:ascii="Arial" w:hAnsi="Arial" w:cs="Arial"/>
          <w:sz w:val="32"/>
          <w:szCs w:val="32"/>
        </w:rPr>
        <w:t>Existing literature frequently addresses the importance of location in hotel development, yet limited research examines its influence on the performance of regional M&amp;E operations. This study bridges that gap by linking theory with practical insights from a real-world hospitality environment. Understanding how a hotel’s location affects its strategic decisions contributes both to academic knowledge and to managerial practice within the UK hospitality industry.</w:t>
      </w:r>
    </w:p>
    <w:p w14:paraId="28B771C7" w14:textId="1FF2E857" w:rsidR="008D201A" w:rsidRPr="001E0E75" w:rsidRDefault="00D3277C" w:rsidP="001E0E75">
      <w:pPr>
        <w:spacing w:line="360" w:lineRule="auto"/>
        <w:rPr>
          <w:rFonts w:ascii="Arial" w:hAnsi="Arial" w:cs="Arial"/>
          <w:sz w:val="32"/>
          <w:szCs w:val="32"/>
        </w:rPr>
      </w:pPr>
      <w:r w:rsidRPr="001E0E75">
        <w:rPr>
          <w:rFonts w:ascii="Arial" w:hAnsi="Arial" w:cs="Arial"/>
          <w:sz w:val="32"/>
          <w:szCs w:val="32"/>
        </w:rPr>
        <w:t>Similar concerns have been raised globally as post-pandemic travel patterns change and localised event demand increases (UNWTO, 2022; WTTC, 2023).</w:t>
      </w:r>
    </w:p>
    <w:p w14:paraId="0AD8CFAA" w14:textId="77777777" w:rsidR="00756D2F" w:rsidRPr="001E0E75" w:rsidRDefault="00756D2F" w:rsidP="001E0E75">
      <w:pPr>
        <w:spacing w:line="360" w:lineRule="auto"/>
        <w:rPr>
          <w:rFonts w:ascii="Arial" w:hAnsi="Arial" w:cs="Arial"/>
          <w:sz w:val="32"/>
          <w:szCs w:val="32"/>
        </w:rPr>
      </w:pPr>
    </w:p>
    <w:p w14:paraId="2AA998B6" w14:textId="4DC7FCB3" w:rsidR="00756D2F" w:rsidRPr="001E0E75" w:rsidRDefault="00756D2F" w:rsidP="001E0E75">
      <w:pPr>
        <w:spacing w:line="360" w:lineRule="auto"/>
        <w:rPr>
          <w:rFonts w:ascii="Arial" w:hAnsi="Arial" w:cs="Arial"/>
          <w:b/>
          <w:bCs/>
          <w:sz w:val="32"/>
          <w:szCs w:val="32"/>
        </w:rPr>
      </w:pPr>
      <w:r w:rsidRPr="001E0E75">
        <w:rPr>
          <w:rFonts w:ascii="Arial" w:hAnsi="Arial" w:cs="Arial"/>
          <w:b/>
          <w:bCs/>
          <w:sz w:val="32"/>
          <w:szCs w:val="32"/>
        </w:rPr>
        <w:t>1.5 Dissertation Structure</w:t>
      </w:r>
    </w:p>
    <w:p w14:paraId="475434BD" w14:textId="77777777" w:rsidR="00756D2F" w:rsidRPr="001E0E75" w:rsidRDefault="00756D2F" w:rsidP="001E0E75">
      <w:pPr>
        <w:spacing w:line="360" w:lineRule="auto"/>
        <w:rPr>
          <w:rFonts w:ascii="Arial" w:hAnsi="Arial" w:cs="Arial"/>
          <w:sz w:val="32"/>
          <w:szCs w:val="32"/>
        </w:rPr>
      </w:pPr>
      <w:r w:rsidRPr="001E0E75">
        <w:rPr>
          <w:rFonts w:ascii="Arial" w:hAnsi="Arial" w:cs="Arial"/>
          <w:sz w:val="32"/>
          <w:szCs w:val="32"/>
        </w:rPr>
        <w:t>Chapter 2 reviews relevant theories and previous studies concerning hotel location, marketing, and event performance.</w:t>
      </w:r>
    </w:p>
    <w:p w14:paraId="04782076" w14:textId="77777777" w:rsidR="00756D2F" w:rsidRPr="001E0E75" w:rsidRDefault="00756D2F" w:rsidP="001E0E75">
      <w:pPr>
        <w:spacing w:line="360" w:lineRule="auto"/>
        <w:rPr>
          <w:rFonts w:ascii="Arial" w:hAnsi="Arial" w:cs="Arial"/>
          <w:sz w:val="32"/>
          <w:szCs w:val="32"/>
        </w:rPr>
      </w:pPr>
    </w:p>
    <w:p w14:paraId="0F8214A1" w14:textId="77777777" w:rsidR="00756D2F" w:rsidRPr="001E0E75" w:rsidRDefault="00756D2F" w:rsidP="001E0E75">
      <w:pPr>
        <w:spacing w:line="360" w:lineRule="auto"/>
        <w:rPr>
          <w:rFonts w:ascii="Arial" w:hAnsi="Arial" w:cs="Arial"/>
          <w:sz w:val="32"/>
          <w:szCs w:val="32"/>
        </w:rPr>
      </w:pPr>
      <w:r w:rsidRPr="001E0E75">
        <w:rPr>
          <w:rFonts w:ascii="Arial" w:hAnsi="Arial" w:cs="Arial"/>
          <w:sz w:val="32"/>
          <w:szCs w:val="32"/>
        </w:rPr>
        <w:t>Chapter 3 explains the qualitative methodology, including data collection and ethical considerations.</w:t>
      </w:r>
    </w:p>
    <w:p w14:paraId="0C5E1C17" w14:textId="77777777" w:rsidR="00756D2F" w:rsidRPr="001E0E75" w:rsidRDefault="00756D2F" w:rsidP="001E0E75">
      <w:pPr>
        <w:spacing w:line="360" w:lineRule="auto"/>
        <w:rPr>
          <w:rFonts w:ascii="Arial" w:hAnsi="Arial" w:cs="Arial"/>
          <w:sz w:val="32"/>
          <w:szCs w:val="32"/>
        </w:rPr>
      </w:pPr>
    </w:p>
    <w:p w14:paraId="1168494B" w14:textId="77777777" w:rsidR="00756D2F" w:rsidRPr="001E0E75" w:rsidRDefault="00756D2F" w:rsidP="001E0E75">
      <w:pPr>
        <w:spacing w:line="360" w:lineRule="auto"/>
        <w:rPr>
          <w:rFonts w:ascii="Arial" w:hAnsi="Arial" w:cs="Arial"/>
          <w:sz w:val="32"/>
          <w:szCs w:val="32"/>
        </w:rPr>
      </w:pPr>
      <w:r w:rsidRPr="001E0E75">
        <w:rPr>
          <w:rFonts w:ascii="Arial" w:hAnsi="Arial" w:cs="Arial"/>
          <w:sz w:val="32"/>
          <w:szCs w:val="32"/>
        </w:rPr>
        <w:t>Chapter 4 presents findings and discusses them in relation to academic literature.</w:t>
      </w:r>
    </w:p>
    <w:p w14:paraId="68D078CB" w14:textId="77777777" w:rsidR="00756D2F" w:rsidRPr="001E0E75" w:rsidRDefault="00756D2F" w:rsidP="001E0E75">
      <w:pPr>
        <w:spacing w:line="360" w:lineRule="auto"/>
        <w:rPr>
          <w:rFonts w:ascii="Arial" w:hAnsi="Arial" w:cs="Arial"/>
          <w:sz w:val="32"/>
          <w:szCs w:val="32"/>
        </w:rPr>
      </w:pPr>
    </w:p>
    <w:p w14:paraId="2686B5EE" w14:textId="20B6E694" w:rsidR="00756D2F" w:rsidRPr="001E0E75" w:rsidRDefault="00756D2F" w:rsidP="001E0E75">
      <w:pPr>
        <w:spacing w:line="360" w:lineRule="auto"/>
        <w:rPr>
          <w:rFonts w:ascii="Arial" w:hAnsi="Arial" w:cs="Arial"/>
          <w:sz w:val="32"/>
          <w:szCs w:val="32"/>
        </w:rPr>
      </w:pPr>
      <w:r w:rsidRPr="001E0E75">
        <w:rPr>
          <w:rFonts w:ascii="Arial" w:hAnsi="Arial" w:cs="Arial"/>
          <w:sz w:val="32"/>
          <w:szCs w:val="32"/>
        </w:rPr>
        <w:t>Chapter 5 concludes the study with recommendations for managerial practice and future research.</w:t>
      </w:r>
    </w:p>
    <w:p w14:paraId="2191E24A" w14:textId="77777777" w:rsidR="008D201A" w:rsidRPr="001E0E75" w:rsidRDefault="008D201A" w:rsidP="001E0E75">
      <w:pPr>
        <w:spacing w:line="360" w:lineRule="auto"/>
        <w:rPr>
          <w:rFonts w:ascii="Arial" w:hAnsi="Arial" w:cs="Arial"/>
          <w:sz w:val="32"/>
          <w:szCs w:val="32"/>
        </w:rPr>
      </w:pPr>
    </w:p>
    <w:p w14:paraId="12DC0A2F" w14:textId="662587E0" w:rsidR="008D201A" w:rsidRPr="001E0E75" w:rsidRDefault="008D201A" w:rsidP="001E0E75">
      <w:pPr>
        <w:spacing w:line="360" w:lineRule="auto"/>
        <w:rPr>
          <w:rFonts w:ascii="Arial" w:hAnsi="Arial" w:cs="Arial"/>
          <w:b/>
          <w:bCs/>
          <w:sz w:val="32"/>
          <w:szCs w:val="32"/>
        </w:rPr>
      </w:pPr>
      <w:r w:rsidRPr="001E0E75">
        <w:rPr>
          <w:rFonts w:ascii="Arial" w:hAnsi="Arial" w:cs="Arial"/>
          <w:b/>
          <w:bCs/>
          <w:sz w:val="32"/>
          <w:szCs w:val="32"/>
        </w:rPr>
        <w:t>Literature Review – Chapter 2</w:t>
      </w:r>
    </w:p>
    <w:p w14:paraId="032648EE" w14:textId="77777777" w:rsidR="008D201A" w:rsidRPr="001E0E75" w:rsidRDefault="008D201A" w:rsidP="001E0E75">
      <w:pPr>
        <w:spacing w:line="360" w:lineRule="auto"/>
        <w:rPr>
          <w:rFonts w:ascii="Arial" w:hAnsi="Arial" w:cs="Arial"/>
          <w:b/>
          <w:bCs/>
          <w:sz w:val="32"/>
          <w:szCs w:val="32"/>
        </w:rPr>
      </w:pPr>
    </w:p>
    <w:p w14:paraId="1E7F5A09" w14:textId="77777777" w:rsidR="008D201A" w:rsidRPr="001E0E75" w:rsidRDefault="008D201A" w:rsidP="001E0E75">
      <w:pPr>
        <w:spacing w:line="360" w:lineRule="auto"/>
        <w:rPr>
          <w:rFonts w:ascii="Arial" w:hAnsi="Arial" w:cs="Arial"/>
          <w:b/>
          <w:bCs/>
          <w:sz w:val="32"/>
          <w:szCs w:val="32"/>
        </w:rPr>
      </w:pPr>
      <w:r w:rsidRPr="001E0E75">
        <w:rPr>
          <w:rFonts w:ascii="Arial" w:hAnsi="Arial" w:cs="Arial"/>
          <w:b/>
          <w:bCs/>
          <w:sz w:val="32"/>
          <w:szCs w:val="32"/>
        </w:rPr>
        <w:t>2.1 Introduction</w:t>
      </w:r>
    </w:p>
    <w:p w14:paraId="16ADBE26"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The purpose of this chapter is to critically examine existing academic and industry literature relevant to the impact of hotel location on sales strategies and Meetings &amp; Events (M&amp;E) performance. The review draws on theoretical frameworks such as service marketing, destination competitiveness, and spatial analysis, before focusing on the United Kingdom’s regional hospitality sector. It concludes with a contextual analysis using the DoubleTree by Hilton Dartford Bridge as the focal case.</w:t>
      </w:r>
    </w:p>
    <w:p w14:paraId="22647818" w14:textId="77777777" w:rsidR="008D201A" w:rsidRPr="001E0E75" w:rsidRDefault="008D201A" w:rsidP="001E0E75">
      <w:pPr>
        <w:spacing w:line="360" w:lineRule="auto"/>
        <w:rPr>
          <w:rFonts w:ascii="Arial" w:hAnsi="Arial" w:cs="Arial"/>
          <w:b/>
          <w:bCs/>
          <w:sz w:val="32"/>
          <w:szCs w:val="32"/>
        </w:rPr>
      </w:pPr>
      <w:r w:rsidRPr="001E0E75">
        <w:rPr>
          <w:rFonts w:ascii="Arial" w:hAnsi="Arial" w:cs="Arial"/>
          <w:b/>
          <w:bCs/>
          <w:sz w:val="32"/>
          <w:szCs w:val="32"/>
        </w:rPr>
        <w:t>2.2 The Importance of Location in Hotel Performance</w:t>
      </w:r>
    </w:p>
    <w:p w14:paraId="036004B8"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 xml:space="preserve">Location is consistently identified as one of the principal determinants of hotel success (Yang et al., 2022). It influences access to target markets, visibility, transport connectivity, and the surrounding business ecosystem. Strategic location decisions also underpin price positioning and brand perception (Li &amp; Huang, 2021). For M&amp;E-driven hotels, accessibility and </w:t>
      </w:r>
      <w:r w:rsidRPr="001E0E75">
        <w:rPr>
          <w:rFonts w:ascii="Arial" w:hAnsi="Arial" w:cs="Arial"/>
          <w:sz w:val="32"/>
          <w:szCs w:val="32"/>
        </w:rPr>
        <w:lastRenderedPageBreak/>
        <w:t>prestige of place directly affect corporate demand and event volume (Kong &amp; Law, 2020).</w:t>
      </w:r>
    </w:p>
    <w:p w14:paraId="5D3C32E6" w14:textId="3201082E" w:rsidR="00BD0A34" w:rsidRPr="001E0E75" w:rsidRDefault="00BD0A34" w:rsidP="001E0E75">
      <w:pPr>
        <w:spacing w:line="360" w:lineRule="auto"/>
        <w:rPr>
          <w:rFonts w:ascii="Arial" w:hAnsi="Arial" w:cs="Arial"/>
          <w:sz w:val="32"/>
          <w:szCs w:val="32"/>
        </w:rPr>
      </w:pPr>
      <w:r w:rsidRPr="001E0E75">
        <w:rPr>
          <w:rFonts w:ascii="Arial" w:hAnsi="Arial" w:cs="Arial"/>
          <w:sz w:val="32"/>
          <w:szCs w:val="32"/>
        </w:rPr>
        <w:t>Contemporary scholarship extends classical spatial theory by considering digital visibility and brand positioning as modern forms of locational advantage (Becerra, Santaló and Silva, 2013; Yang, Pan and Song, 2022).</w:t>
      </w:r>
    </w:p>
    <w:p w14:paraId="1ACA7C44" w14:textId="0C363499"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Classic theories of hotel location, such as the Central Place Theory and Hotelling’s spatial competition model, propose that firms select sites that maximise customer convenience while minimising competitive overlap (Hotelling, 1929). In modern hospitality research, these ideas have evolved into models of “location competitiveness,” which include factors such as proximity to demand generators, local economic vibrancy, and digital accessibility (Chung, 2021).</w:t>
      </w:r>
    </w:p>
    <w:p w14:paraId="764526AD" w14:textId="77777777" w:rsidR="008D201A" w:rsidRPr="001E0E75" w:rsidRDefault="008D201A" w:rsidP="001E0E75">
      <w:pPr>
        <w:spacing w:line="360" w:lineRule="auto"/>
        <w:rPr>
          <w:rFonts w:ascii="Arial" w:hAnsi="Arial" w:cs="Arial"/>
          <w:b/>
          <w:bCs/>
          <w:sz w:val="32"/>
          <w:szCs w:val="32"/>
        </w:rPr>
      </w:pPr>
      <w:r w:rsidRPr="001E0E75">
        <w:rPr>
          <w:rFonts w:ascii="Arial" w:hAnsi="Arial" w:cs="Arial"/>
          <w:b/>
          <w:bCs/>
          <w:sz w:val="32"/>
          <w:szCs w:val="32"/>
        </w:rPr>
        <w:t>2.3 Sales Strategies and Market Positioning</w:t>
      </w:r>
    </w:p>
    <w:p w14:paraId="55E9B894"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Sales strategy in hospitality combines segmentation, targeting, and differentiation to achieve sustainable revenue (Kotler et al., 2021). For hotels outside major urban centres, sales teams must tailor value propositions that offset location disadvantages. Empirical studies show that regional hotels rely more heavily on relationship marketing and local networking than city-centre counterparts (Rogerson &amp; Lisa, 2020).</w:t>
      </w:r>
    </w:p>
    <w:p w14:paraId="025AD7D1"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 xml:space="preserve">The rise of digital distribution channels has partly neutralised geographic constraints by allowing smaller or peripheral </w:t>
      </w:r>
      <w:r w:rsidRPr="001E0E75">
        <w:rPr>
          <w:rFonts w:ascii="Arial" w:hAnsi="Arial" w:cs="Arial"/>
          <w:sz w:val="32"/>
          <w:szCs w:val="32"/>
        </w:rPr>
        <w:lastRenderedPageBreak/>
        <w:t>properties to reach remote audiences (Camilleri, 2023). However, physical accessibility remains essential in M&amp;E, where participants prioritise convenience and transport connectivity (Baum &amp; Mehmetoglu, 2022). Consequently, hotels such as DoubleTree by Hilton Dartford Bridge—close to London but outside its premium zone—require a hybrid strategy that promotes both value and accessibility.</w:t>
      </w:r>
    </w:p>
    <w:p w14:paraId="6FF7EE80" w14:textId="77777777" w:rsidR="00BD0A34" w:rsidRPr="001E0E75" w:rsidRDefault="00BD0A34" w:rsidP="001E0E75">
      <w:pPr>
        <w:spacing w:line="360" w:lineRule="auto"/>
        <w:rPr>
          <w:rFonts w:ascii="Arial" w:hAnsi="Arial" w:cs="Arial"/>
          <w:sz w:val="32"/>
          <w:szCs w:val="32"/>
        </w:rPr>
      </w:pPr>
      <w:r w:rsidRPr="001E0E75">
        <w:rPr>
          <w:rFonts w:ascii="Arial" w:hAnsi="Arial" w:cs="Arial"/>
          <w:sz w:val="32"/>
          <w:szCs w:val="32"/>
        </w:rPr>
        <w:t>Revenue management literature highlights the need for micro-market pricing models that integrate both geographic and behavioural variables (Kimes, 2016; Vives, Jacob and Payeras, 2018).</w:t>
      </w:r>
    </w:p>
    <w:p w14:paraId="542BDBB6" w14:textId="168C95B2" w:rsidR="00BD0A34" w:rsidRPr="001E0E75" w:rsidRDefault="00BD0A34" w:rsidP="001E0E75">
      <w:pPr>
        <w:spacing w:line="360" w:lineRule="auto"/>
        <w:rPr>
          <w:rFonts w:ascii="Arial" w:hAnsi="Arial" w:cs="Arial"/>
          <w:sz w:val="32"/>
          <w:szCs w:val="32"/>
        </w:rPr>
      </w:pPr>
      <w:r w:rsidRPr="001E0E75">
        <w:rPr>
          <w:rFonts w:ascii="Arial" w:hAnsi="Arial" w:cs="Arial"/>
          <w:sz w:val="32"/>
          <w:szCs w:val="32"/>
        </w:rPr>
        <w:t>In addition, empirical studies reveal that differentiation rather than proximity increasingly drives customer value perception in competitive suburban markets (Guillet and Mohammed, 2015).</w:t>
      </w:r>
    </w:p>
    <w:p w14:paraId="72161C6D" w14:textId="77777777" w:rsidR="008D201A" w:rsidRPr="001E0E75" w:rsidRDefault="008D201A" w:rsidP="001E0E75">
      <w:pPr>
        <w:spacing w:line="360" w:lineRule="auto"/>
        <w:rPr>
          <w:rFonts w:ascii="Arial" w:hAnsi="Arial" w:cs="Arial"/>
          <w:b/>
          <w:bCs/>
          <w:sz w:val="32"/>
          <w:szCs w:val="32"/>
        </w:rPr>
      </w:pPr>
      <w:r w:rsidRPr="001E0E75">
        <w:rPr>
          <w:rFonts w:ascii="Arial" w:hAnsi="Arial" w:cs="Arial"/>
          <w:b/>
          <w:bCs/>
          <w:sz w:val="32"/>
          <w:szCs w:val="32"/>
        </w:rPr>
        <w:t>2.4 Meetings &amp; Events (M&amp;E) Performance</w:t>
      </w:r>
    </w:p>
    <w:p w14:paraId="554D87F2"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The M&amp;E sector, part of the wider MICE (Meetings, Incentives, Conferences, Exhibitions) industry, represents a major revenue stream for full-service hotels. Post-pandemic recovery has intensified competition as organisations reassess travel budgets and embrace hybrid meeting formats (Jones et al., 2023). Performance in this segment depends on venue quality, technology infrastructure, and professional sales management (Davidson &amp; Rogers, 2022).</w:t>
      </w:r>
    </w:p>
    <w:p w14:paraId="1A65338C"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lastRenderedPageBreak/>
        <w:t>Studies indicate that regional hotels often compete through personalisation and flexible pricing rather than scale (Whitfield &amp; Webster, 2020). Location affects not only demand but also cost structure—staffing, logistics, and supplier availability—which in turn shape profitability (Berezina &amp; Cobos, 2021).</w:t>
      </w:r>
    </w:p>
    <w:p w14:paraId="48200C02" w14:textId="77777777" w:rsidR="00BD0A34" w:rsidRPr="001E0E75" w:rsidRDefault="00BD0A34" w:rsidP="001E0E75">
      <w:pPr>
        <w:spacing w:line="360" w:lineRule="auto"/>
        <w:rPr>
          <w:rFonts w:ascii="Arial" w:hAnsi="Arial" w:cs="Arial"/>
          <w:sz w:val="32"/>
          <w:szCs w:val="32"/>
        </w:rPr>
      </w:pPr>
      <w:r w:rsidRPr="001E0E75">
        <w:rPr>
          <w:rFonts w:ascii="Arial" w:hAnsi="Arial" w:cs="Arial"/>
          <w:sz w:val="32"/>
          <w:szCs w:val="32"/>
        </w:rPr>
        <w:t>Hybrid events now define post-pandemic demand, blending virtual connectivity with physical accessibility (Marques and Pinho, 2022; Jones, Hillier and Comfort, 2023).</w:t>
      </w:r>
    </w:p>
    <w:p w14:paraId="45CF6B18" w14:textId="2A57856A" w:rsidR="00BD0A34" w:rsidRPr="001E0E75" w:rsidRDefault="00BD0A34" w:rsidP="001E0E75">
      <w:pPr>
        <w:spacing w:line="360" w:lineRule="auto"/>
        <w:rPr>
          <w:rFonts w:ascii="Arial" w:hAnsi="Arial" w:cs="Arial"/>
          <w:sz w:val="32"/>
          <w:szCs w:val="32"/>
        </w:rPr>
      </w:pPr>
      <w:r w:rsidRPr="001E0E75">
        <w:rPr>
          <w:rFonts w:ascii="Arial" w:hAnsi="Arial" w:cs="Arial"/>
          <w:sz w:val="32"/>
          <w:szCs w:val="32"/>
        </w:rPr>
        <w:t>The MICE sector’s recovery trajectory demonstrates the growing relevance of mid-scale regional hotels that combine affordability with professional infrastructure (Fenich, 2020; Lee and Back, 2020).</w:t>
      </w:r>
    </w:p>
    <w:p w14:paraId="3777332A" w14:textId="77777777" w:rsidR="008D201A" w:rsidRPr="001E0E75" w:rsidRDefault="008D201A" w:rsidP="001E0E75">
      <w:pPr>
        <w:spacing w:line="360" w:lineRule="auto"/>
        <w:rPr>
          <w:rFonts w:ascii="Arial" w:hAnsi="Arial" w:cs="Arial"/>
          <w:b/>
          <w:bCs/>
          <w:sz w:val="32"/>
          <w:szCs w:val="32"/>
        </w:rPr>
      </w:pPr>
      <w:r w:rsidRPr="001E0E75">
        <w:rPr>
          <w:rFonts w:ascii="Arial" w:hAnsi="Arial" w:cs="Arial"/>
          <w:b/>
          <w:bCs/>
          <w:sz w:val="32"/>
          <w:szCs w:val="32"/>
        </w:rPr>
        <w:t>2.5 The UK Regional Hospitality Context</w:t>
      </w:r>
    </w:p>
    <w:p w14:paraId="72F299A9"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Within the UK, market concentration remains high around metropolitan centres such as London, Manchester, and Edinburgh. Peripheral areas like Kent face the dual challenge of benefiting from proximity to large markets while lacking the prestige and density of central locations (VisitBritain, 2023). Research by Patiar and Wang (2021) notes that regional hotels frequently depend on motorway connectivity and local corporate clusters. The Dartford and Thames Gateway region illustrates this pattern: it offers motorway and bridge access to London but competes with inner-city venues offering superior brand visibility and international transport links.</w:t>
      </w:r>
    </w:p>
    <w:p w14:paraId="28D574AD" w14:textId="77777777" w:rsidR="00BD0A34" w:rsidRPr="001E0E75" w:rsidRDefault="00BD0A34" w:rsidP="001E0E75">
      <w:pPr>
        <w:spacing w:line="360" w:lineRule="auto"/>
        <w:rPr>
          <w:rFonts w:ascii="Arial" w:hAnsi="Arial" w:cs="Arial"/>
          <w:sz w:val="32"/>
          <w:szCs w:val="32"/>
        </w:rPr>
      </w:pPr>
      <w:r w:rsidRPr="001E0E75">
        <w:rPr>
          <w:rFonts w:ascii="Arial" w:hAnsi="Arial" w:cs="Arial"/>
          <w:sz w:val="32"/>
          <w:szCs w:val="32"/>
        </w:rPr>
        <w:lastRenderedPageBreak/>
        <w:t>Current sustainability frameworks encourage regional venues to pursue Green Tourism certification and low-carbon operations to enhance corporate appeal (Green Tourism, 2024; Jones, 2022).</w:t>
      </w:r>
    </w:p>
    <w:p w14:paraId="296FA5FA" w14:textId="54B2652C" w:rsidR="00BD0A34" w:rsidRPr="001E0E75" w:rsidRDefault="00BD0A34" w:rsidP="001E0E75">
      <w:pPr>
        <w:spacing w:line="360" w:lineRule="auto"/>
        <w:rPr>
          <w:rFonts w:ascii="Arial" w:hAnsi="Arial" w:cs="Arial"/>
          <w:sz w:val="32"/>
          <w:szCs w:val="32"/>
        </w:rPr>
      </w:pPr>
      <w:r w:rsidRPr="001E0E75">
        <w:rPr>
          <w:rFonts w:ascii="Arial" w:hAnsi="Arial" w:cs="Arial"/>
          <w:sz w:val="32"/>
          <w:szCs w:val="32"/>
        </w:rPr>
        <w:t>Reports from UKHospitality (2023) and WTTC (2023) confirm that workforce resilience and sustainable innovation are now central to competitive strategy across British hotels.</w:t>
      </w:r>
    </w:p>
    <w:p w14:paraId="5FFDEC91"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Government initiatives promoting business travel diversification and regional regeneration (DCMS, 2022) create opportunities for properties such as DoubleTree Dartford Bridge. Yet, to exploit these opportunities, management must align sales strategies with both macro-environmental and internal operational factors—topics explored in the following analytical subsections.</w:t>
      </w:r>
    </w:p>
    <w:p w14:paraId="00BF8538" w14:textId="77777777" w:rsidR="008D201A" w:rsidRPr="001E0E75" w:rsidRDefault="008D201A" w:rsidP="001E0E75">
      <w:pPr>
        <w:spacing w:line="360" w:lineRule="auto"/>
        <w:rPr>
          <w:rFonts w:ascii="Arial" w:hAnsi="Arial" w:cs="Arial"/>
          <w:b/>
          <w:bCs/>
          <w:sz w:val="32"/>
          <w:szCs w:val="32"/>
        </w:rPr>
      </w:pPr>
      <w:r w:rsidRPr="001E0E75">
        <w:rPr>
          <w:rFonts w:ascii="Arial" w:hAnsi="Arial" w:cs="Arial"/>
          <w:b/>
          <w:bCs/>
          <w:sz w:val="32"/>
          <w:szCs w:val="32"/>
        </w:rPr>
        <w:t>2.6 PESTEL Analysis of the UK Regional Hospitality Environment</w:t>
      </w:r>
    </w:p>
    <w:p w14:paraId="4E6658C9" w14:textId="77777777" w:rsidR="008D201A" w:rsidRPr="001E0E75" w:rsidRDefault="008D201A" w:rsidP="001E0E75">
      <w:pPr>
        <w:spacing w:line="360" w:lineRule="auto"/>
        <w:rPr>
          <w:rFonts w:ascii="Arial" w:hAnsi="Arial" w:cs="Arial"/>
          <w:sz w:val="32"/>
          <w:szCs w:val="32"/>
        </w:rPr>
      </w:pPr>
      <w:r w:rsidRPr="001E0E75">
        <w:rPr>
          <w:rFonts w:ascii="Arial" w:hAnsi="Arial" w:cs="Arial"/>
          <w:b/>
          <w:bCs/>
          <w:sz w:val="32"/>
          <w:szCs w:val="32"/>
        </w:rPr>
        <w:t>Political Factors.</w:t>
      </w:r>
      <w:r w:rsidRPr="001E0E75">
        <w:rPr>
          <w:rFonts w:ascii="Arial" w:hAnsi="Arial" w:cs="Arial"/>
          <w:sz w:val="32"/>
          <w:szCs w:val="32"/>
        </w:rPr>
        <w:br/>
        <w:t xml:space="preserve">The UK government’s support for tourism and regional development through initiatives such as </w:t>
      </w:r>
      <w:r w:rsidRPr="001E0E75">
        <w:rPr>
          <w:rFonts w:ascii="Arial" w:hAnsi="Arial" w:cs="Arial"/>
          <w:i/>
          <w:iCs/>
          <w:sz w:val="32"/>
          <w:szCs w:val="32"/>
        </w:rPr>
        <w:t>The Tourism Recovery Plan</w:t>
      </w:r>
      <w:r w:rsidRPr="001E0E75">
        <w:rPr>
          <w:rFonts w:ascii="Arial" w:hAnsi="Arial" w:cs="Arial"/>
          <w:sz w:val="32"/>
          <w:szCs w:val="32"/>
        </w:rPr>
        <w:t xml:space="preserve"> (DCMS, 2022) promotes infrastructure improvement and business-events recovery. However, planning regulations and post-Brexit labour policies have created recruitment challenges for hospitality businesses (UKHospitality, 2023). These factors </w:t>
      </w:r>
      <w:r w:rsidRPr="001E0E75">
        <w:rPr>
          <w:rFonts w:ascii="Arial" w:hAnsi="Arial" w:cs="Arial"/>
          <w:sz w:val="32"/>
          <w:szCs w:val="32"/>
        </w:rPr>
        <w:lastRenderedPageBreak/>
        <w:t>require hotels to develop stronger local employment pipelines and training schemes.</w:t>
      </w:r>
    </w:p>
    <w:p w14:paraId="4768EDA3" w14:textId="77777777" w:rsidR="008D201A" w:rsidRPr="001E0E75" w:rsidRDefault="008D201A" w:rsidP="001E0E75">
      <w:pPr>
        <w:spacing w:line="360" w:lineRule="auto"/>
        <w:rPr>
          <w:rFonts w:ascii="Arial" w:hAnsi="Arial" w:cs="Arial"/>
          <w:sz w:val="32"/>
          <w:szCs w:val="32"/>
        </w:rPr>
      </w:pPr>
      <w:r w:rsidRPr="001E0E75">
        <w:rPr>
          <w:rFonts w:ascii="Arial" w:hAnsi="Arial" w:cs="Arial"/>
          <w:b/>
          <w:bCs/>
          <w:sz w:val="32"/>
          <w:szCs w:val="32"/>
        </w:rPr>
        <w:t>Economic Factors.</w:t>
      </w:r>
      <w:r w:rsidRPr="001E0E75">
        <w:rPr>
          <w:rFonts w:ascii="Arial" w:hAnsi="Arial" w:cs="Arial"/>
          <w:sz w:val="32"/>
          <w:szCs w:val="32"/>
        </w:rPr>
        <w:br/>
        <w:t>High inflation and energy costs since 2022 have pressured hotel margins (PwC, 2023). Nevertheless, business travel and M&amp;E demand have shown steady recovery, particularly in locations within one hour of London where corporate clients seek cost-efficient venues (VisitBritain, 2023). Dartford Bridge benefits from this trend because it offers lower rates than city-centre hotels while maintaining motorway accessibility.</w:t>
      </w:r>
    </w:p>
    <w:p w14:paraId="1F716A9F" w14:textId="77777777" w:rsidR="008D201A" w:rsidRPr="001E0E75" w:rsidRDefault="008D201A" w:rsidP="001E0E75">
      <w:pPr>
        <w:spacing w:line="360" w:lineRule="auto"/>
        <w:rPr>
          <w:rFonts w:ascii="Arial" w:hAnsi="Arial" w:cs="Arial"/>
          <w:sz w:val="32"/>
          <w:szCs w:val="32"/>
        </w:rPr>
      </w:pPr>
      <w:r w:rsidRPr="001E0E75">
        <w:rPr>
          <w:rFonts w:ascii="Arial" w:hAnsi="Arial" w:cs="Arial"/>
          <w:b/>
          <w:bCs/>
          <w:sz w:val="32"/>
          <w:szCs w:val="32"/>
        </w:rPr>
        <w:t>Social Factors.</w:t>
      </w:r>
      <w:r w:rsidRPr="001E0E75">
        <w:rPr>
          <w:rFonts w:ascii="Arial" w:hAnsi="Arial" w:cs="Arial"/>
          <w:sz w:val="32"/>
          <w:szCs w:val="32"/>
        </w:rPr>
        <w:br/>
        <w:t>Changing work patterns and the popularity of hybrid meetings have reshaped client expectations. Organisations now prefer venues with flexibility, digital connectivity, and sustainability credentials (Cvent, 2022). Social preferences for local sourcing and environmental responsibility influence event buyers, prompting regional hotels to highlight community partnerships and green practices.</w:t>
      </w:r>
    </w:p>
    <w:p w14:paraId="5D141885" w14:textId="77777777" w:rsidR="008D201A" w:rsidRPr="001E0E75" w:rsidRDefault="008D201A" w:rsidP="001E0E75">
      <w:pPr>
        <w:spacing w:line="360" w:lineRule="auto"/>
        <w:rPr>
          <w:rFonts w:ascii="Arial" w:hAnsi="Arial" w:cs="Arial"/>
          <w:sz w:val="32"/>
          <w:szCs w:val="32"/>
        </w:rPr>
      </w:pPr>
      <w:r w:rsidRPr="001E0E75">
        <w:rPr>
          <w:rFonts w:ascii="Arial" w:hAnsi="Arial" w:cs="Arial"/>
          <w:b/>
          <w:bCs/>
          <w:sz w:val="32"/>
          <w:szCs w:val="32"/>
        </w:rPr>
        <w:t>Technological Factors.</w:t>
      </w:r>
      <w:r w:rsidRPr="001E0E75">
        <w:rPr>
          <w:rFonts w:ascii="Arial" w:hAnsi="Arial" w:cs="Arial"/>
          <w:sz w:val="32"/>
          <w:szCs w:val="32"/>
        </w:rPr>
        <w:br/>
        <w:t xml:space="preserve">Advances in conferencing platforms, CRM systems, and revenue-management tools have redefined hotel sales operations (Ivanov &amp; Webster, 2021). DoubleTree Dartford Bridge has adopted Hilton’s centralised digital sales system </w:t>
      </w:r>
      <w:r w:rsidRPr="001E0E75">
        <w:rPr>
          <w:rFonts w:ascii="Arial" w:hAnsi="Arial" w:cs="Arial"/>
          <w:sz w:val="32"/>
          <w:szCs w:val="32"/>
        </w:rPr>
        <w:lastRenderedPageBreak/>
        <w:t>and virtual-tour capabilities to reach clients remotely—an example of how technology mitigates locational disadvantage.</w:t>
      </w:r>
    </w:p>
    <w:p w14:paraId="66FDA073" w14:textId="77777777" w:rsidR="008D201A" w:rsidRPr="001E0E75" w:rsidRDefault="008D201A" w:rsidP="001E0E75">
      <w:pPr>
        <w:spacing w:line="360" w:lineRule="auto"/>
        <w:rPr>
          <w:rFonts w:ascii="Arial" w:hAnsi="Arial" w:cs="Arial"/>
          <w:sz w:val="32"/>
          <w:szCs w:val="32"/>
        </w:rPr>
      </w:pPr>
      <w:r w:rsidRPr="001E0E75">
        <w:rPr>
          <w:rFonts w:ascii="Arial" w:hAnsi="Arial" w:cs="Arial"/>
          <w:b/>
          <w:bCs/>
          <w:sz w:val="32"/>
          <w:szCs w:val="32"/>
        </w:rPr>
        <w:t>Environmental Factors.</w:t>
      </w:r>
      <w:r w:rsidRPr="001E0E75">
        <w:rPr>
          <w:rFonts w:ascii="Arial" w:hAnsi="Arial" w:cs="Arial"/>
          <w:sz w:val="32"/>
          <w:szCs w:val="32"/>
        </w:rPr>
        <w:br/>
        <w:t>Environmental awareness drives both consumer behaviour and corporate procurement. Properties near major transport corridors, such as the M25, face scrutiny regarding carbon footprint and noise pollution. Sustainable energy management and waste-reduction initiatives are therefore critical to brand image and tender eligibility for large organisations (Green Tourism, 2024).</w:t>
      </w:r>
    </w:p>
    <w:p w14:paraId="2B013877" w14:textId="77777777" w:rsidR="008D201A" w:rsidRPr="001E0E75" w:rsidRDefault="008D201A" w:rsidP="001E0E75">
      <w:pPr>
        <w:spacing w:line="360" w:lineRule="auto"/>
        <w:rPr>
          <w:rFonts w:ascii="Arial" w:hAnsi="Arial" w:cs="Arial"/>
          <w:sz w:val="32"/>
          <w:szCs w:val="32"/>
        </w:rPr>
      </w:pPr>
      <w:r w:rsidRPr="001E0E75">
        <w:rPr>
          <w:rFonts w:ascii="Arial" w:hAnsi="Arial" w:cs="Arial"/>
          <w:b/>
          <w:bCs/>
          <w:sz w:val="32"/>
          <w:szCs w:val="32"/>
        </w:rPr>
        <w:t>Legal Factors.</w:t>
      </w:r>
      <w:r w:rsidRPr="001E0E75">
        <w:rPr>
          <w:rFonts w:ascii="Arial" w:hAnsi="Arial" w:cs="Arial"/>
          <w:sz w:val="32"/>
          <w:szCs w:val="32"/>
        </w:rPr>
        <w:br/>
        <w:t xml:space="preserve">Compliance with health-and-safety, data-protection, and accessibility legislation remains a baseline requirement. Post-COVID-19 hygiene protocols and equality obligations under the </w:t>
      </w:r>
      <w:r w:rsidRPr="001E0E75">
        <w:rPr>
          <w:rFonts w:ascii="Arial" w:hAnsi="Arial" w:cs="Arial"/>
          <w:i/>
          <w:iCs/>
          <w:sz w:val="32"/>
          <w:szCs w:val="32"/>
        </w:rPr>
        <w:t>Equality Act 2010</w:t>
      </w:r>
      <w:r w:rsidRPr="001E0E75">
        <w:rPr>
          <w:rFonts w:ascii="Arial" w:hAnsi="Arial" w:cs="Arial"/>
          <w:sz w:val="32"/>
          <w:szCs w:val="32"/>
        </w:rPr>
        <w:t xml:space="preserve"> continue to influence event operations and staffing policies.</w:t>
      </w:r>
    </w:p>
    <w:p w14:paraId="63B55B84" w14:textId="77777777" w:rsidR="008D201A" w:rsidRDefault="008D201A" w:rsidP="001E0E75">
      <w:pPr>
        <w:spacing w:line="360" w:lineRule="auto"/>
        <w:rPr>
          <w:rFonts w:ascii="Arial" w:hAnsi="Arial" w:cs="Arial"/>
          <w:sz w:val="32"/>
          <w:szCs w:val="32"/>
        </w:rPr>
      </w:pPr>
    </w:p>
    <w:p w14:paraId="4A6A19E8" w14:textId="77777777" w:rsidR="001E0E75" w:rsidRDefault="001E0E75" w:rsidP="001E0E75">
      <w:pPr>
        <w:spacing w:line="360" w:lineRule="auto"/>
        <w:rPr>
          <w:rFonts w:ascii="Arial" w:hAnsi="Arial" w:cs="Arial"/>
          <w:sz w:val="32"/>
          <w:szCs w:val="32"/>
        </w:rPr>
      </w:pPr>
    </w:p>
    <w:p w14:paraId="770FECDC" w14:textId="77777777" w:rsidR="001E0E75" w:rsidRDefault="001E0E75" w:rsidP="001E0E75">
      <w:pPr>
        <w:spacing w:line="360" w:lineRule="auto"/>
        <w:rPr>
          <w:rFonts w:ascii="Arial" w:hAnsi="Arial" w:cs="Arial"/>
          <w:sz w:val="32"/>
          <w:szCs w:val="32"/>
        </w:rPr>
      </w:pPr>
    </w:p>
    <w:p w14:paraId="1D374E0C" w14:textId="77777777" w:rsidR="001E0E75" w:rsidRDefault="001E0E75" w:rsidP="001E0E75">
      <w:pPr>
        <w:spacing w:line="360" w:lineRule="auto"/>
        <w:rPr>
          <w:rFonts w:ascii="Arial" w:hAnsi="Arial" w:cs="Arial"/>
          <w:sz w:val="32"/>
          <w:szCs w:val="32"/>
        </w:rPr>
      </w:pPr>
    </w:p>
    <w:p w14:paraId="114F763F" w14:textId="77777777" w:rsidR="001E0E75" w:rsidRDefault="001E0E75" w:rsidP="001E0E75">
      <w:pPr>
        <w:spacing w:line="360" w:lineRule="auto"/>
        <w:rPr>
          <w:rFonts w:ascii="Arial" w:hAnsi="Arial" w:cs="Arial"/>
          <w:sz w:val="32"/>
          <w:szCs w:val="32"/>
        </w:rPr>
      </w:pPr>
    </w:p>
    <w:p w14:paraId="0AAE510B" w14:textId="77777777" w:rsidR="001E0E75" w:rsidRDefault="001E0E75" w:rsidP="001E0E75">
      <w:pPr>
        <w:spacing w:line="360" w:lineRule="auto"/>
        <w:rPr>
          <w:rFonts w:ascii="Arial" w:hAnsi="Arial" w:cs="Arial"/>
          <w:sz w:val="32"/>
          <w:szCs w:val="32"/>
        </w:rPr>
      </w:pPr>
    </w:p>
    <w:p w14:paraId="12CBB1ED" w14:textId="77777777" w:rsidR="001E0E75" w:rsidRPr="001E0E75" w:rsidRDefault="001E0E75" w:rsidP="001E0E75">
      <w:pPr>
        <w:spacing w:line="360" w:lineRule="auto"/>
        <w:rPr>
          <w:rFonts w:ascii="Arial" w:hAnsi="Arial" w:cs="Arial"/>
          <w:sz w:val="32"/>
          <w:szCs w:val="32"/>
        </w:rPr>
      </w:pPr>
    </w:p>
    <w:p w14:paraId="3295744D" w14:textId="77777777" w:rsidR="008D201A" w:rsidRDefault="008D201A" w:rsidP="001E0E75">
      <w:pPr>
        <w:spacing w:line="360" w:lineRule="auto"/>
        <w:rPr>
          <w:rFonts w:ascii="Arial" w:hAnsi="Arial" w:cs="Arial"/>
          <w:b/>
          <w:bCs/>
          <w:sz w:val="32"/>
          <w:szCs w:val="32"/>
        </w:rPr>
      </w:pPr>
      <w:r w:rsidRPr="001E0E75">
        <w:rPr>
          <w:rFonts w:ascii="Arial" w:hAnsi="Arial" w:cs="Arial"/>
          <w:b/>
          <w:bCs/>
          <w:sz w:val="32"/>
          <w:szCs w:val="32"/>
        </w:rPr>
        <w:lastRenderedPageBreak/>
        <w:t>2.7 SWOT Analysis: DoubleTree by Hilton Dartford Bridge</w:t>
      </w:r>
    </w:p>
    <w:p w14:paraId="79137746" w14:textId="77777777" w:rsidR="00A17B0B" w:rsidRDefault="00A17B0B" w:rsidP="001E0E75">
      <w:pPr>
        <w:spacing w:line="360" w:lineRule="auto"/>
        <w:rPr>
          <w:rFonts w:ascii="Arial" w:hAnsi="Arial" w:cs="Arial"/>
          <w:b/>
          <w:bCs/>
          <w:sz w:val="32"/>
          <w:szCs w:val="32"/>
        </w:rPr>
      </w:pPr>
    </w:p>
    <w:tbl>
      <w:tblPr>
        <w:tblW w:w="8600" w:type="dxa"/>
        <w:tblLook w:val="04A0" w:firstRow="1" w:lastRow="0" w:firstColumn="1" w:lastColumn="0" w:noHBand="0" w:noVBand="1"/>
      </w:tblPr>
      <w:tblGrid>
        <w:gridCol w:w="4180"/>
        <w:gridCol w:w="4420"/>
      </w:tblGrid>
      <w:tr w:rsidR="00A17B0B" w:rsidRPr="00A17B0B" w14:paraId="6AE1B9AE" w14:textId="77777777" w:rsidTr="00A17B0B">
        <w:trPr>
          <w:trHeight w:val="405"/>
        </w:trPr>
        <w:tc>
          <w:tcPr>
            <w:tcW w:w="4180" w:type="dxa"/>
            <w:tcBorders>
              <w:top w:val="single" w:sz="4" w:space="0" w:color="auto"/>
              <w:left w:val="single" w:sz="4" w:space="0" w:color="auto"/>
              <w:bottom w:val="single" w:sz="4" w:space="0" w:color="auto"/>
              <w:right w:val="single" w:sz="4" w:space="0" w:color="auto"/>
            </w:tcBorders>
            <w:noWrap/>
            <w:vAlign w:val="bottom"/>
            <w:hideMark/>
          </w:tcPr>
          <w:p w14:paraId="07568A42" w14:textId="77777777" w:rsidR="00A17B0B" w:rsidRPr="00A17B0B" w:rsidRDefault="00A17B0B" w:rsidP="00A17B0B">
            <w:pPr>
              <w:spacing w:after="0" w:line="240" w:lineRule="auto"/>
              <w:jc w:val="center"/>
              <w:rPr>
                <w:rFonts w:ascii="Arial" w:eastAsia="Times New Roman" w:hAnsi="Arial" w:cs="Arial"/>
                <w:b/>
                <w:bCs/>
                <w:color w:val="000000"/>
                <w:kern w:val="0"/>
                <w:sz w:val="32"/>
                <w:szCs w:val="32"/>
                <w:lang w:eastAsia="en-GB"/>
                <w14:ligatures w14:val="none"/>
              </w:rPr>
            </w:pPr>
            <w:r w:rsidRPr="00A17B0B">
              <w:rPr>
                <w:rFonts w:ascii="Arial" w:eastAsia="Times New Roman" w:hAnsi="Arial" w:cs="Arial"/>
                <w:b/>
                <w:bCs/>
                <w:color w:val="000000"/>
                <w:kern w:val="0"/>
                <w:sz w:val="32"/>
                <w:szCs w:val="32"/>
                <w:lang w:eastAsia="en-GB"/>
                <w14:ligatures w14:val="none"/>
              </w:rPr>
              <w:t>Strengths</w:t>
            </w:r>
          </w:p>
        </w:tc>
        <w:tc>
          <w:tcPr>
            <w:tcW w:w="4420" w:type="dxa"/>
            <w:tcBorders>
              <w:top w:val="single" w:sz="4" w:space="0" w:color="auto"/>
              <w:left w:val="nil"/>
              <w:bottom w:val="single" w:sz="4" w:space="0" w:color="auto"/>
              <w:right w:val="single" w:sz="4" w:space="0" w:color="auto"/>
            </w:tcBorders>
            <w:noWrap/>
            <w:vAlign w:val="bottom"/>
            <w:hideMark/>
          </w:tcPr>
          <w:p w14:paraId="1E02C239" w14:textId="77777777" w:rsidR="00A17B0B" w:rsidRPr="00A17B0B" w:rsidRDefault="00A17B0B" w:rsidP="00A17B0B">
            <w:pPr>
              <w:spacing w:after="0" w:line="240" w:lineRule="auto"/>
              <w:jc w:val="center"/>
              <w:rPr>
                <w:rFonts w:ascii="Arial" w:eastAsia="Times New Roman" w:hAnsi="Arial" w:cs="Arial"/>
                <w:b/>
                <w:bCs/>
                <w:color w:val="000000"/>
                <w:kern w:val="0"/>
                <w:sz w:val="32"/>
                <w:szCs w:val="32"/>
                <w:lang w:eastAsia="en-GB"/>
                <w14:ligatures w14:val="none"/>
              </w:rPr>
            </w:pPr>
            <w:r w:rsidRPr="00A17B0B">
              <w:rPr>
                <w:rFonts w:ascii="Arial" w:eastAsia="Times New Roman" w:hAnsi="Arial" w:cs="Arial"/>
                <w:b/>
                <w:bCs/>
                <w:color w:val="000000"/>
                <w:kern w:val="0"/>
                <w:sz w:val="32"/>
                <w:szCs w:val="32"/>
                <w:lang w:eastAsia="en-GB"/>
                <w14:ligatures w14:val="none"/>
              </w:rPr>
              <w:t>Weaknesses</w:t>
            </w:r>
          </w:p>
        </w:tc>
      </w:tr>
      <w:tr w:rsidR="00A17B0B" w:rsidRPr="00A17B0B" w14:paraId="09339065" w14:textId="77777777" w:rsidTr="00A17B0B">
        <w:trPr>
          <w:trHeight w:val="1830"/>
        </w:trPr>
        <w:tc>
          <w:tcPr>
            <w:tcW w:w="4180" w:type="dxa"/>
            <w:tcBorders>
              <w:top w:val="nil"/>
              <w:left w:val="single" w:sz="4" w:space="0" w:color="auto"/>
              <w:bottom w:val="single" w:sz="4" w:space="0" w:color="auto"/>
              <w:right w:val="single" w:sz="4" w:space="0" w:color="auto"/>
            </w:tcBorders>
            <w:vAlign w:val="center"/>
            <w:hideMark/>
          </w:tcPr>
          <w:p w14:paraId="709D3228" w14:textId="77777777" w:rsidR="00A17B0B" w:rsidRPr="00A17B0B" w:rsidRDefault="00A17B0B" w:rsidP="00A17B0B">
            <w:pPr>
              <w:spacing w:after="0" w:line="240" w:lineRule="auto"/>
              <w:rPr>
                <w:rFonts w:ascii="Arial" w:eastAsia="Times New Roman" w:hAnsi="Arial" w:cs="Arial"/>
                <w:color w:val="000000"/>
                <w:kern w:val="0"/>
                <w:sz w:val="32"/>
                <w:szCs w:val="32"/>
                <w:lang w:eastAsia="en-GB"/>
                <w14:ligatures w14:val="none"/>
              </w:rPr>
            </w:pPr>
            <w:r w:rsidRPr="00A17B0B">
              <w:rPr>
                <w:rFonts w:ascii="Arial" w:eastAsia="Times New Roman" w:hAnsi="Arial" w:cs="Arial"/>
                <w:color w:val="000000"/>
                <w:kern w:val="0"/>
                <w:sz w:val="32"/>
                <w:szCs w:val="32"/>
                <w:lang w:eastAsia="en-GB"/>
                <w14:ligatures w14:val="none"/>
              </w:rPr>
              <w:t xml:space="preserve">• Strong Hilton brand </w:t>
            </w:r>
            <w:r w:rsidRPr="00A17B0B">
              <w:rPr>
                <w:rFonts w:ascii="Arial" w:eastAsia="Times New Roman" w:hAnsi="Arial" w:cs="Arial"/>
                <w:color w:val="000000"/>
                <w:kern w:val="0"/>
                <w:sz w:val="32"/>
                <w:szCs w:val="32"/>
                <w:lang w:eastAsia="en-GB"/>
                <w14:ligatures w14:val="none"/>
              </w:rPr>
              <w:br/>
              <w:t>reputation and global</w:t>
            </w:r>
            <w:r w:rsidRPr="00A17B0B">
              <w:rPr>
                <w:rFonts w:ascii="Arial" w:eastAsia="Times New Roman" w:hAnsi="Arial" w:cs="Arial"/>
                <w:color w:val="000000"/>
                <w:kern w:val="0"/>
                <w:sz w:val="32"/>
                <w:szCs w:val="32"/>
                <w:lang w:eastAsia="en-GB"/>
                <w14:ligatures w14:val="none"/>
              </w:rPr>
              <w:br/>
              <w:t>distribution network.</w:t>
            </w:r>
          </w:p>
        </w:tc>
        <w:tc>
          <w:tcPr>
            <w:tcW w:w="4420" w:type="dxa"/>
            <w:tcBorders>
              <w:top w:val="nil"/>
              <w:left w:val="nil"/>
              <w:bottom w:val="single" w:sz="4" w:space="0" w:color="auto"/>
              <w:right w:val="single" w:sz="4" w:space="0" w:color="auto"/>
            </w:tcBorders>
            <w:vAlign w:val="center"/>
            <w:hideMark/>
          </w:tcPr>
          <w:p w14:paraId="599A22BD" w14:textId="77777777" w:rsidR="00A17B0B" w:rsidRPr="00A17B0B" w:rsidRDefault="00A17B0B" w:rsidP="00A17B0B">
            <w:pPr>
              <w:spacing w:after="0" w:line="240" w:lineRule="auto"/>
              <w:rPr>
                <w:rFonts w:ascii="Arial" w:eastAsia="Times New Roman" w:hAnsi="Arial" w:cs="Arial"/>
                <w:color w:val="000000"/>
                <w:kern w:val="0"/>
                <w:sz w:val="32"/>
                <w:szCs w:val="32"/>
                <w:lang w:eastAsia="en-GB"/>
                <w14:ligatures w14:val="none"/>
              </w:rPr>
            </w:pPr>
            <w:r w:rsidRPr="00A17B0B">
              <w:rPr>
                <w:rFonts w:ascii="Arial" w:eastAsia="Times New Roman" w:hAnsi="Arial" w:cs="Arial"/>
                <w:color w:val="000000"/>
                <w:kern w:val="0"/>
                <w:sz w:val="32"/>
                <w:szCs w:val="32"/>
                <w:lang w:eastAsia="en-GB"/>
                <w14:ligatures w14:val="none"/>
              </w:rPr>
              <w:t>• Peripheral location limits</w:t>
            </w:r>
            <w:r w:rsidRPr="00A17B0B">
              <w:rPr>
                <w:rFonts w:ascii="Arial" w:eastAsia="Times New Roman" w:hAnsi="Arial" w:cs="Arial"/>
                <w:color w:val="000000"/>
                <w:kern w:val="0"/>
                <w:sz w:val="32"/>
                <w:szCs w:val="32"/>
                <w:lang w:eastAsia="en-GB"/>
                <w14:ligatures w14:val="none"/>
              </w:rPr>
              <w:br/>
              <w:t xml:space="preserve"> walk-in demand and</w:t>
            </w:r>
            <w:r w:rsidRPr="00A17B0B">
              <w:rPr>
                <w:rFonts w:ascii="Arial" w:eastAsia="Times New Roman" w:hAnsi="Arial" w:cs="Arial"/>
                <w:color w:val="000000"/>
                <w:kern w:val="0"/>
                <w:sz w:val="32"/>
                <w:szCs w:val="32"/>
                <w:lang w:eastAsia="en-GB"/>
                <w14:ligatures w14:val="none"/>
              </w:rPr>
              <w:br/>
              <w:t xml:space="preserve"> international visibility.</w:t>
            </w:r>
          </w:p>
        </w:tc>
      </w:tr>
      <w:tr w:rsidR="00A17B0B" w:rsidRPr="00A17B0B" w14:paraId="541C36DD" w14:textId="77777777" w:rsidTr="00A17B0B">
        <w:trPr>
          <w:trHeight w:val="1980"/>
        </w:trPr>
        <w:tc>
          <w:tcPr>
            <w:tcW w:w="4180" w:type="dxa"/>
            <w:tcBorders>
              <w:top w:val="nil"/>
              <w:left w:val="single" w:sz="4" w:space="0" w:color="auto"/>
              <w:bottom w:val="single" w:sz="4" w:space="0" w:color="auto"/>
              <w:right w:val="single" w:sz="4" w:space="0" w:color="auto"/>
            </w:tcBorders>
            <w:vAlign w:val="center"/>
            <w:hideMark/>
          </w:tcPr>
          <w:p w14:paraId="1A371D1A" w14:textId="77777777" w:rsidR="00A17B0B" w:rsidRPr="00A17B0B" w:rsidRDefault="00A17B0B" w:rsidP="00A17B0B">
            <w:pPr>
              <w:spacing w:after="0" w:line="240" w:lineRule="auto"/>
              <w:rPr>
                <w:rFonts w:ascii="Arial" w:eastAsia="Times New Roman" w:hAnsi="Arial" w:cs="Arial"/>
                <w:color w:val="000000"/>
                <w:kern w:val="0"/>
                <w:sz w:val="32"/>
                <w:szCs w:val="32"/>
                <w:lang w:eastAsia="en-GB"/>
                <w14:ligatures w14:val="none"/>
              </w:rPr>
            </w:pPr>
            <w:r w:rsidRPr="00A17B0B">
              <w:rPr>
                <w:rFonts w:ascii="Arial" w:eastAsia="Times New Roman" w:hAnsi="Arial" w:cs="Arial"/>
                <w:color w:val="000000"/>
                <w:kern w:val="0"/>
                <w:sz w:val="32"/>
                <w:szCs w:val="32"/>
                <w:lang w:eastAsia="en-GB"/>
                <w14:ligatures w14:val="none"/>
              </w:rPr>
              <w:t xml:space="preserve">• Proximity to M25 and </w:t>
            </w:r>
            <w:r w:rsidRPr="00A17B0B">
              <w:rPr>
                <w:rFonts w:ascii="Arial" w:eastAsia="Times New Roman" w:hAnsi="Arial" w:cs="Arial"/>
                <w:color w:val="000000"/>
                <w:kern w:val="0"/>
                <w:sz w:val="32"/>
                <w:szCs w:val="32"/>
                <w:lang w:eastAsia="en-GB"/>
                <w14:ligatures w14:val="none"/>
              </w:rPr>
              <w:br/>
              <w:t>Bluewater shopping complex,</w:t>
            </w:r>
            <w:r w:rsidRPr="00A17B0B">
              <w:rPr>
                <w:rFonts w:ascii="Arial" w:eastAsia="Times New Roman" w:hAnsi="Arial" w:cs="Arial"/>
                <w:color w:val="000000"/>
                <w:kern w:val="0"/>
                <w:sz w:val="32"/>
                <w:szCs w:val="32"/>
                <w:lang w:eastAsia="en-GB"/>
                <w14:ligatures w14:val="none"/>
              </w:rPr>
              <w:br/>
              <w:t xml:space="preserve"> attracting corporate and</w:t>
            </w:r>
            <w:r w:rsidRPr="00A17B0B">
              <w:rPr>
                <w:rFonts w:ascii="Arial" w:eastAsia="Times New Roman" w:hAnsi="Arial" w:cs="Arial"/>
                <w:color w:val="000000"/>
                <w:kern w:val="0"/>
                <w:sz w:val="32"/>
                <w:szCs w:val="32"/>
                <w:lang w:eastAsia="en-GB"/>
                <w14:ligatures w14:val="none"/>
              </w:rPr>
              <w:br/>
              <w:t xml:space="preserve"> leisure traffic.</w:t>
            </w:r>
          </w:p>
        </w:tc>
        <w:tc>
          <w:tcPr>
            <w:tcW w:w="4420" w:type="dxa"/>
            <w:tcBorders>
              <w:top w:val="nil"/>
              <w:left w:val="nil"/>
              <w:bottom w:val="single" w:sz="4" w:space="0" w:color="auto"/>
              <w:right w:val="single" w:sz="4" w:space="0" w:color="auto"/>
            </w:tcBorders>
            <w:vAlign w:val="center"/>
            <w:hideMark/>
          </w:tcPr>
          <w:p w14:paraId="4F6440F1" w14:textId="77777777" w:rsidR="00A17B0B" w:rsidRPr="00A17B0B" w:rsidRDefault="00A17B0B" w:rsidP="00A17B0B">
            <w:pPr>
              <w:spacing w:after="0" w:line="240" w:lineRule="auto"/>
              <w:rPr>
                <w:rFonts w:ascii="Arial" w:eastAsia="Times New Roman" w:hAnsi="Arial" w:cs="Arial"/>
                <w:color w:val="000000"/>
                <w:kern w:val="0"/>
                <w:sz w:val="32"/>
                <w:szCs w:val="32"/>
                <w:lang w:eastAsia="en-GB"/>
                <w14:ligatures w14:val="none"/>
              </w:rPr>
            </w:pPr>
            <w:r w:rsidRPr="00A17B0B">
              <w:rPr>
                <w:rFonts w:ascii="Arial" w:eastAsia="Times New Roman" w:hAnsi="Arial" w:cs="Arial"/>
                <w:color w:val="000000"/>
                <w:kern w:val="0"/>
                <w:sz w:val="32"/>
                <w:szCs w:val="32"/>
                <w:lang w:eastAsia="en-GB"/>
                <w14:ligatures w14:val="none"/>
              </w:rPr>
              <w:t xml:space="preserve">• Dependence on motorway access </w:t>
            </w:r>
            <w:r w:rsidRPr="00A17B0B">
              <w:rPr>
                <w:rFonts w:ascii="Arial" w:eastAsia="Times New Roman" w:hAnsi="Arial" w:cs="Arial"/>
                <w:color w:val="000000"/>
                <w:kern w:val="0"/>
                <w:sz w:val="32"/>
                <w:szCs w:val="32"/>
                <w:lang w:eastAsia="en-GB"/>
                <w14:ligatures w14:val="none"/>
              </w:rPr>
              <w:br/>
              <w:t>exposes it to congestion</w:t>
            </w:r>
            <w:r w:rsidRPr="00A17B0B">
              <w:rPr>
                <w:rFonts w:ascii="Arial" w:eastAsia="Times New Roman" w:hAnsi="Arial" w:cs="Arial"/>
                <w:color w:val="000000"/>
                <w:kern w:val="0"/>
                <w:sz w:val="32"/>
                <w:szCs w:val="32"/>
                <w:lang w:eastAsia="en-GB"/>
                <w14:ligatures w14:val="none"/>
              </w:rPr>
              <w:br/>
              <w:t xml:space="preserve"> and transport disruptions.</w:t>
            </w:r>
          </w:p>
        </w:tc>
      </w:tr>
      <w:tr w:rsidR="00A17B0B" w:rsidRPr="00A17B0B" w14:paraId="46563F22" w14:textId="77777777" w:rsidTr="00A17B0B">
        <w:trPr>
          <w:trHeight w:val="1470"/>
        </w:trPr>
        <w:tc>
          <w:tcPr>
            <w:tcW w:w="4180" w:type="dxa"/>
            <w:tcBorders>
              <w:top w:val="nil"/>
              <w:left w:val="single" w:sz="4" w:space="0" w:color="auto"/>
              <w:bottom w:val="single" w:sz="4" w:space="0" w:color="auto"/>
              <w:right w:val="single" w:sz="4" w:space="0" w:color="auto"/>
            </w:tcBorders>
            <w:vAlign w:val="center"/>
            <w:hideMark/>
          </w:tcPr>
          <w:p w14:paraId="5971A9E7" w14:textId="77777777" w:rsidR="00A17B0B" w:rsidRPr="00A17B0B" w:rsidRDefault="00A17B0B" w:rsidP="00A17B0B">
            <w:pPr>
              <w:spacing w:after="0" w:line="240" w:lineRule="auto"/>
              <w:rPr>
                <w:rFonts w:ascii="Arial" w:eastAsia="Times New Roman" w:hAnsi="Arial" w:cs="Arial"/>
                <w:color w:val="000000"/>
                <w:kern w:val="0"/>
                <w:sz w:val="32"/>
                <w:szCs w:val="32"/>
                <w:lang w:eastAsia="en-GB"/>
                <w14:ligatures w14:val="none"/>
              </w:rPr>
            </w:pPr>
            <w:r w:rsidRPr="00A17B0B">
              <w:rPr>
                <w:rFonts w:ascii="Arial" w:eastAsia="Times New Roman" w:hAnsi="Arial" w:cs="Arial"/>
                <w:color w:val="000000"/>
                <w:kern w:val="0"/>
                <w:sz w:val="32"/>
                <w:szCs w:val="32"/>
                <w:lang w:eastAsia="en-GB"/>
                <w14:ligatures w14:val="none"/>
              </w:rPr>
              <w:t xml:space="preserve">• Seven adaptable meeting </w:t>
            </w:r>
            <w:r w:rsidRPr="00A17B0B">
              <w:rPr>
                <w:rFonts w:ascii="Arial" w:eastAsia="Times New Roman" w:hAnsi="Arial" w:cs="Arial"/>
                <w:color w:val="000000"/>
                <w:kern w:val="0"/>
                <w:sz w:val="32"/>
                <w:szCs w:val="32"/>
                <w:lang w:eastAsia="en-GB"/>
                <w14:ligatures w14:val="none"/>
              </w:rPr>
              <w:br/>
              <w:t>spaces with upgraded</w:t>
            </w:r>
            <w:r w:rsidRPr="00A17B0B">
              <w:rPr>
                <w:rFonts w:ascii="Arial" w:eastAsia="Times New Roman" w:hAnsi="Arial" w:cs="Arial"/>
                <w:color w:val="000000"/>
                <w:kern w:val="0"/>
                <w:sz w:val="32"/>
                <w:szCs w:val="32"/>
                <w:lang w:eastAsia="en-GB"/>
                <w14:ligatures w14:val="none"/>
              </w:rPr>
              <w:br/>
              <w:t xml:space="preserve"> AV technology.</w:t>
            </w:r>
          </w:p>
        </w:tc>
        <w:tc>
          <w:tcPr>
            <w:tcW w:w="4420" w:type="dxa"/>
            <w:tcBorders>
              <w:top w:val="nil"/>
              <w:left w:val="nil"/>
              <w:bottom w:val="single" w:sz="4" w:space="0" w:color="auto"/>
              <w:right w:val="single" w:sz="4" w:space="0" w:color="auto"/>
            </w:tcBorders>
            <w:vAlign w:val="center"/>
            <w:hideMark/>
          </w:tcPr>
          <w:p w14:paraId="788FF927" w14:textId="77777777" w:rsidR="00A17B0B" w:rsidRPr="00A17B0B" w:rsidRDefault="00A17B0B" w:rsidP="00A17B0B">
            <w:pPr>
              <w:spacing w:after="0" w:line="240" w:lineRule="auto"/>
              <w:rPr>
                <w:rFonts w:ascii="Arial" w:eastAsia="Times New Roman" w:hAnsi="Arial" w:cs="Arial"/>
                <w:color w:val="000000"/>
                <w:kern w:val="0"/>
                <w:sz w:val="32"/>
                <w:szCs w:val="32"/>
                <w:lang w:eastAsia="en-GB"/>
                <w14:ligatures w14:val="none"/>
              </w:rPr>
            </w:pPr>
            <w:r w:rsidRPr="00A17B0B">
              <w:rPr>
                <w:rFonts w:ascii="Arial" w:eastAsia="Times New Roman" w:hAnsi="Arial" w:cs="Arial"/>
                <w:color w:val="000000"/>
                <w:kern w:val="0"/>
                <w:sz w:val="32"/>
                <w:szCs w:val="32"/>
                <w:lang w:eastAsia="en-GB"/>
                <w14:ligatures w14:val="none"/>
              </w:rPr>
              <w:t>• Limited public-transport links</w:t>
            </w:r>
            <w:r w:rsidRPr="00A17B0B">
              <w:rPr>
                <w:rFonts w:ascii="Arial" w:eastAsia="Times New Roman" w:hAnsi="Arial" w:cs="Arial"/>
                <w:color w:val="000000"/>
                <w:kern w:val="0"/>
                <w:sz w:val="32"/>
                <w:szCs w:val="32"/>
                <w:lang w:eastAsia="en-GB"/>
                <w14:ligatures w14:val="none"/>
              </w:rPr>
              <w:br/>
              <w:t xml:space="preserve"> reduce appeal for non-drivers.</w:t>
            </w:r>
          </w:p>
        </w:tc>
      </w:tr>
      <w:tr w:rsidR="00A17B0B" w:rsidRPr="00A17B0B" w14:paraId="573ED9D2" w14:textId="77777777" w:rsidTr="00A17B0B">
        <w:trPr>
          <w:trHeight w:val="1920"/>
        </w:trPr>
        <w:tc>
          <w:tcPr>
            <w:tcW w:w="4180" w:type="dxa"/>
            <w:tcBorders>
              <w:top w:val="nil"/>
              <w:left w:val="single" w:sz="4" w:space="0" w:color="auto"/>
              <w:bottom w:val="single" w:sz="4" w:space="0" w:color="auto"/>
              <w:right w:val="single" w:sz="4" w:space="0" w:color="auto"/>
            </w:tcBorders>
            <w:vAlign w:val="center"/>
            <w:hideMark/>
          </w:tcPr>
          <w:p w14:paraId="75C0DFD4" w14:textId="77777777" w:rsidR="00A17B0B" w:rsidRPr="00A17B0B" w:rsidRDefault="00A17B0B" w:rsidP="00A17B0B">
            <w:pPr>
              <w:spacing w:after="0" w:line="240" w:lineRule="auto"/>
              <w:rPr>
                <w:rFonts w:ascii="Arial" w:eastAsia="Times New Roman" w:hAnsi="Arial" w:cs="Arial"/>
                <w:color w:val="000000"/>
                <w:kern w:val="0"/>
                <w:sz w:val="32"/>
                <w:szCs w:val="32"/>
                <w:lang w:eastAsia="en-GB"/>
                <w14:ligatures w14:val="none"/>
              </w:rPr>
            </w:pPr>
            <w:r w:rsidRPr="00A17B0B">
              <w:rPr>
                <w:rFonts w:ascii="Arial" w:eastAsia="Times New Roman" w:hAnsi="Arial" w:cs="Arial"/>
                <w:color w:val="000000"/>
                <w:kern w:val="0"/>
                <w:sz w:val="32"/>
                <w:szCs w:val="32"/>
                <w:lang w:eastAsia="en-GB"/>
                <w14:ligatures w14:val="none"/>
              </w:rPr>
              <w:t>• Experienced M&amp;E sales</w:t>
            </w:r>
            <w:r w:rsidRPr="00A17B0B">
              <w:rPr>
                <w:rFonts w:ascii="Arial" w:eastAsia="Times New Roman" w:hAnsi="Arial" w:cs="Arial"/>
                <w:color w:val="000000"/>
                <w:kern w:val="0"/>
                <w:sz w:val="32"/>
                <w:szCs w:val="32"/>
                <w:lang w:eastAsia="en-GB"/>
                <w14:ligatures w14:val="none"/>
              </w:rPr>
              <w:br/>
              <w:t xml:space="preserve"> team and standardised</w:t>
            </w:r>
            <w:r w:rsidRPr="00A17B0B">
              <w:rPr>
                <w:rFonts w:ascii="Arial" w:eastAsia="Times New Roman" w:hAnsi="Arial" w:cs="Arial"/>
                <w:color w:val="000000"/>
                <w:kern w:val="0"/>
                <w:sz w:val="32"/>
                <w:szCs w:val="32"/>
                <w:lang w:eastAsia="en-GB"/>
                <w14:ligatures w14:val="none"/>
              </w:rPr>
              <w:br/>
              <w:t xml:space="preserve"> Hilton service quality.</w:t>
            </w:r>
          </w:p>
        </w:tc>
        <w:tc>
          <w:tcPr>
            <w:tcW w:w="4420" w:type="dxa"/>
            <w:tcBorders>
              <w:top w:val="nil"/>
              <w:left w:val="nil"/>
              <w:bottom w:val="single" w:sz="4" w:space="0" w:color="auto"/>
              <w:right w:val="single" w:sz="4" w:space="0" w:color="auto"/>
            </w:tcBorders>
            <w:vAlign w:val="center"/>
            <w:hideMark/>
          </w:tcPr>
          <w:p w14:paraId="0357B81D" w14:textId="77777777" w:rsidR="00A17B0B" w:rsidRPr="00A17B0B" w:rsidRDefault="00A17B0B" w:rsidP="00A17B0B">
            <w:pPr>
              <w:spacing w:after="0" w:line="240" w:lineRule="auto"/>
              <w:rPr>
                <w:rFonts w:ascii="Arial" w:eastAsia="Times New Roman" w:hAnsi="Arial" w:cs="Arial"/>
                <w:color w:val="000000"/>
                <w:kern w:val="0"/>
                <w:sz w:val="32"/>
                <w:szCs w:val="32"/>
                <w:lang w:eastAsia="en-GB"/>
                <w14:ligatures w14:val="none"/>
              </w:rPr>
            </w:pPr>
            <w:r w:rsidRPr="00A17B0B">
              <w:rPr>
                <w:rFonts w:ascii="Arial" w:eastAsia="Times New Roman" w:hAnsi="Arial" w:cs="Arial"/>
                <w:color w:val="000000"/>
                <w:kern w:val="0"/>
                <w:sz w:val="32"/>
                <w:szCs w:val="32"/>
                <w:lang w:eastAsia="en-GB"/>
                <w14:ligatures w14:val="none"/>
              </w:rPr>
              <w:t>• High competition from London</w:t>
            </w:r>
            <w:r w:rsidRPr="00A17B0B">
              <w:rPr>
                <w:rFonts w:ascii="Arial" w:eastAsia="Times New Roman" w:hAnsi="Arial" w:cs="Arial"/>
                <w:color w:val="000000"/>
                <w:kern w:val="0"/>
                <w:sz w:val="32"/>
                <w:szCs w:val="32"/>
                <w:lang w:eastAsia="en-GB"/>
                <w14:ligatures w14:val="none"/>
              </w:rPr>
              <w:br/>
              <w:t xml:space="preserve"> venues offering prestige </w:t>
            </w:r>
            <w:r w:rsidRPr="00A17B0B">
              <w:rPr>
                <w:rFonts w:ascii="Arial" w:eastAsia="Times New Roman" w:hAnsi="Arial" w:cs="Arial"/>
                <w:color w:val="000000"/>
                <w:kern w:val="0"/>
                <w:sz w:val="32"/>
                <w:szCs w:val="32"/>
                <w:lang w:eastAsia="en-GB"/>
                <w14:ligatures w14:val="none"/>
              </w:rPr>
              <w:br/>
              <w:t>and extensive amenities.</w:t>
            </w:r>
          </w:p>
        </w:tc>
      </w:tr>
    </w:tbl>
    <w:p w14:paraId="1A30226E" w14:textId="77777777" w:rsidR="00A17B0B" w:rsidRDefault="00A17B0B" w:rsidP="001E0E75">
      <w:pPr>
        <w:spacing w:line="360" w:lineRule="auto"/>
        <w:rPr>
          <w:rFonts w:ascii="Arial" w:hAnsi="Arial" w:cs="Arial"/>
          <w:b/>
          <w:bCs/>
          <w:sz w:val="32"/>
          <w:szCs w:val="32"/>
        </w:rPr>
      </w:pPr>
    </w:p>
    <w:p w14:paraId="2417965D" w14:textId="77777777" w:rsidR="00A17B0B" w:rsidRDefault="00A17B0B" w:rsidP="001E0E75">
      <w:pPr>
        <w:spacing w:line="360" w:lineRule="auto"/>
        <w:rPr>
          <w:rFonts w:ascii="Arial" w:hAnsi="Arial" w:cs="Arial"/>
          <w:b/>
          <w:bCs/>
          <w:sz w:val="32"/>
          <w:szCs w:val="32"/>
        </w:rPr>
      </w:pPr>
    </w:p>
    <w:p w14:paraId="15523552" w14:textId="77777777" w:rsidR="00A17B0B" w:rsidRDefault="00A17B0B" w:rsidP="001E0E75">
      <w:pPr>
        <w:spacing w:line="360" w:lineRule="auto"/>
        <w:rPr>
          <w:rFonts w:ascii="Arial" w:hAnsi="Arial" w:cs="Arial"/>
          <w:b/>
          <w:bCs/>
          <w:sz w:val="32"/>
          <w:szCs w:val="32"/>
        </w:rPr>
      </w:pPr>
    </w:p>
    <w:p w14:paraId="2459B1E0" w14:textId="77777777" w:rsidR="00A17B0B" w:rsidRDefault="00A17B0B" w:rsidP="001E0E75">
      <w:pPr>
        <w:spacing w:line="360" w:lineRule="auto"/>
        <w:rPr>
          <w:rFonts w:ascii="Arial" w:hAnsi="Arial" w:cs="Arial"/>
          <w:b/>
          <w:bCs/>
          <w:sz w:val="32"/>
          <w:szCs w:val="32"/>
        </w:rPr>
      </w:pPr>
    </w:p>
    <w:p w14:paraId="2BE21636" w14:textId="77777777" w:rsidR="00A17B0B" w:rsidRDefault="00A17B0B" w:rsidP="001E0E75">
      <w:pPr>
        <w:spacing w:line="360" w:lineRule="auto"/>
        <w:rPr>
          <w:rFonts w:ascii="Arial" w:hAnsi="Arial" w:cs="Arial"/>
          <w:b/>
          <w:bCs/>
          <w:sz w:val="32"/>
          <w:szCs w:val="32"/>
        </w:rPr>
      </w:pPr>
    </w:p>
    <w:p w14:paraId="544D03AD" w14:textId="77777777" w:rsidR="00A17B0B" w:rsidRDefault="00A17B0B" w:rsidP="001E0E75">
      <w:pPr>
        <w:spacing w:line="360" w:lineRule="auto"/>
        <w:rPr>
          <w:rFonts w:ascii="Arial" w:hAnsi="Arial" w:cs="Arial"/>
          <w:b/>
          <w:bCs/>
          <w:sz w:val="32"/>
          <w:szCs w:val="32"/>
        </w:rPr>
      </w:pPr>
    </w:p>
    <w:p w14:paraId="0637CD9C" w14:textId="77777777" w:rsidR="00A17B0B" w:rsidRDefault="00A17B0B" w:rsidP="001E0E75">
      <w:pPr>
        <w:spacing w:line="360" w:lineRule="auto"/>
        <w:rPr>
          <w:rFonts w:ascii="Arial" w:hAnsi="Arial" w:cs="Arial"/>
          <w:b/>
          <w:bCs/>
          <w:sz w:val="32"/>
          <w:szCs w:val="32"/>
        </w:rPr>
      </w:pPr>
    </w:p>
    <w:tbl>
      <w:tblPr>
        <w:tblW w:w="8400" w:type="dxa"/>
        <w:tblLook w:val="04A0" w:firstRow="1" w:lastRow="0" w:firstColumn="1" w:lastColumn="0" w:noHBand="0" w:noVBand="1"/>
      </w:tblPr>
      <w:tblGrid>
        <w:gridCol w:w="4320"/>
        <w:gridCol w:w="4080"/>
      </w:tblGrid>
      <w:tr w:rsidR="00A17B0B" w:rsidRPr="00A17B0B" w14:paraId="79A67CAF" w14:textId="77777777" w:rsidTr="00A17B0B">
        <w:trPr>
          <w:trHeight w:val="405"/>
        </w:trPr>
        <w:tc>
          <w:tcPr>
            <w:tcW w:w="4320" w:type="dxa"/>
            <w:tcBorders>
              <w:top w:val="single" w:sz="4" w:space="0" w:color="auto"/>
              <w:left w:val="single" w:sz="4" w:space="0" w:color="auto"/>
              <w:bottom w:val="single" w:sz="4" w:space="0" w:color="auto"/>
              <w:right w:val="single" w:sz="4" w:space="0" w:color="auto"/>
            </w:tcBorders>
            <w:vAlign w:val="center"/>
            <w:hideMark/>
          </w:tcPr>
          <w:p w14:paraId="0FB4CD97" w14:textId="77777777" w:rsidR="00A17B0B" w:rsidRPr="00A17B0B" w:rsidRDefault="00A17B0B" w:rsidP="00A17B0B">
            <w:pPr>
              <w:spacing w:after="0" w:line="240" w:lineRule="auto"/>
              <w:jc w:val="center"/>
              <w:rPr>
                <w:rFonts w:ascii="Arial" w:eastAsia="Times New Roman" w:hAnsi="Arial" w:cs="Arial"/>
                <w:b/>
                <w:bCs/>
                <w:color w:val="000000"/>
                <w:kern w:val="0"/>
                <w:sz w:val="32"/>
                <w:szCs w:val="32"/>
                <w:lang w:eastAsia="en-GB"/>
                <w14:ligatures w14:val="none"/>
              </w:rPr>
            </w:pPr>
            <w:r w:rsidRPr="00A17B0B">
              <w:rPr>
                <w:rFonts w:ascii="Arial" w:eastAsia="Times New Roman" w:hAnsi="Arial" w:cs="Arial"/>
                <w:b/>
                <w:bCs/>
                <w:color w:val="000000"/>
                <w:kern w:val="0"/>
                <w:sz w:val="32"/>
                <w:szCs w:val="32"/>
                <w:lang w:eastAsia="en-GB"/>
                <w14:ligatures w14:val="none"/>
              </w:rPr>
              <w:lastRenderedPageBreak/>
              <w:t>Opportunities</w:t>
            </w:r>
          </w:p>
        </w:tc>
        <w:tc>
          <w:tcPr>
            <w:tcW w:w="4080" w:type="dxa"/>
            <w:tcBorders>
              <w:top w:val="single" w:sz="4" w:space="0" w:color="auto"/>
              <w:left w:val="nil"/>
              <w:bottom w:val="single" w:sz="4" w:space="0" w:color="auto"/>
              <w:right w:val="single" w:sz="4" w:space="0" w:color="auto"/>
            </w:tcBorders>
            <w:vAlign w:val="center"/>
            <w:hideMark/>
          </w:tcPr>
          <w:p w14:paraId="263FD3A1" w14:textId="77777777" w:rsidR="00A17B0B" w:rsidRPr="00A17B0B" w:rsidRDefault="00A17B0B" w:rsidP="00A17B0B">
            <w:pPr>
              <w:spacing w:after="0" w:line="240" w:lineRule="auto"/>
              <w:jc w:val="center"/>
              <w:rPr>
                <w:rFonts w:ascii="Arial" w:eastAsia="Times New Roman" w:hAnsi="Arial" w:cs="Arial"/>
                <w:b/>
                <w:bCs/>
                <w:color w:val="000000"/>
                <w:kern w:val="0"/>
                <w:sz w:val="32"/>
                <w:szCs w:val="32"/>
                <w:lang w:eastAsia="en-GB"/>
                <w14:ligatures w14:val="none"/>
              </w:rPr>
            </w:pPr>
            <w:r w:rsidRPr="00A17B0B">
              <w:rPr>
                <w:rFonts w:ascii="Arial" w:eastAsia="Times New Roman" w:hAnsi="Arial" w:cs="Arial"/>
                <w:b/>
                <w:bCs/>
                <w:color w:val="000000"/>
                <w:kern w:val="0"/>
                <w:sz w:val="32"/>
                <w:szCs w:val="32"/>
                <w:lang w:eastAsia="en-GB"/>
                <w14:ligatures w14:val="none"/>
              </w:rPr>
              <w:t>Threats</w:t>
            </w:r>
          </w:p>
        </w:tc>
      </w:tr>
      <w:tr w:rsidR="00A17B0B" w:rsidRPr="00A17B0B" w14:paraId="7FF1AEF5" w14:textId="77777777" w:rsidTr="00A17B0B">
        <w:trPr>
          <w:trHeight w:val="1830"/>
        </w:trPr>
        <w:tc>
          <w:tcPr>
            <w:tcW w:w="4320" w:type="dxa"/>
            <w:tcBorders>
              <w:top w:val="nil"/>
              <w:left w:val="single" w:sz="4" w:space="0" w:color="auto"/>
              <w:bottom w:val="single" w:sz="4" w:space="0" w:color="auto"/>
              <w:right w:val="single" w:sz="4" w:space="0" w:color="auto"/>
            </w:tcBorders>
            <w:vAlign w:val="center"/>
            <w:hideMark/>
          </w:tcPr>
          <w:p w14:paraId="030A446F" w14:textId="77777777" w:rsidR="00A17B0B" w:rsidRPr="00A17B0B" w:rsidRDefault="00A17B0B" w:rsidP="00A17B0B">
            <w:pPr>
              <w:spacing w:after="0" w:line="240" w:lineRule="auto"/>
              <w:jc w:val="center"/>
              <w:rPr>
                <w:rFonts w:ascii="Arial" w:eastAsia="Times New Roman" w:hAnsi="Arial" w:cs="Arial"/>
                <w:color w:val="000000"/>
                <w:kern w:val="0"/>
                <w:sz w:val="32"/>
                <w:szCs w:val="32"/>
                <w:lang w:eastAsia="en-GB"/>
                <w14:ligatures w14:val="none"/>
              </w:rPr>
            </w:pPr>
            <w:r w:rsidRPr="00A17B0B">
              <w:rPr>
                <w:rFonts w:ascii="Arial" w:eastAsia="Times New Roman" w:hAnsi="Arial" w:cs="Arial"/>
                <w:color w:val="000000"/>
                <w:kern w:val="0"/>
                <w:sz w:val="32"/>
                <w:szCs w:val="32"/>
                <w:lang w:eastAsia="en-GB"/>
                <w14:ligatures w14:val="none"/>
              </w:rPr>
              <w:t>• Growth in hybrid and regional corporate events seeking cost-effective venues.</w:t>
            </w:r>
          </w:p>
        </w:tc>
        <w:tc>
          <w:tcPr>
            <w:tcW w:w="4080" w:type="dxa"/>
            <w:tcBorders>
              <w:top w:val="nil"/>
              <w:left w:val="nil"/>
              <w:bottom w:val="single" w:sz="4" w:space="0" w:color="auto"/>
              <w:right w:val="single" w:sz="4" w:space="0" w:color="auto"/>
            </w:tcBorders>
            <w:vAlign w:val="center"/>
            <w:hideMark/>
          </w:tcPr>
          <w:p w14:paraId="3BEFF75E" w14:textId="77777777" w:rsidR="00A17B0B" w:rsidRPr="00A17B0B" w:rsidRDefault="00A17B0B" w:rsidP="00A17B0B">
            <w:pPr>
              <w:spacing w:after="0" w:line="240" w:lineRule="auto"/>
              <w:jc w:val="center"/>
              <w:rPr>
                <w:rFonts w:ascii="Arial" w:eastAsia="Times New Roman" w:hAnsi="Arial" w:cs="Arial"/>
                <w:color w:val="000000"/>
                <w:kern w:val="0"/>
                <w:sz w:val="32"/>
                <w:szCs w:val="32"/>
                <w:lang w:eastAsia="en-GB"/>
                <w14:ligatures w14:val="none"/>
              </w:rPr>
            </w:pPr>
            <w:r w:rsidRPr="00A17B0B">
              <w:rPr>
                <w:rFonts w:ascii="Arial" w:eastAsia="Times New Roman" w:hAnsi="Arial" w:cs="Arial"/>
                <w:color w:val="000000"/>
                <w:kern w:val="0"/>
                <w:sz w:val="32"/>
                <w:szCs w:val="32"/>
                <w:lang w:eastAsia="en-GB"/>
                <w14:ligatures w14:val="none"/>
              </w:rPr>
              <w:t>• Economic volatility affecting corporate travel budgets.</w:t>
            </w:r>
          </w:p>
        </w:tc>
      </w:tr>
      <w:tr w:rsidR="00A17B0B" w:rsidRPr="00A17B0B" w14:paraId="5B459189" w14:textId="77777777" w:rsidTr="00A17B0B">
        <w:trPr>
          <w:trHeight w:val="1980"/>
        </w:trPr>
        <w:tc>
          <w:tcPr>
            <w:tcW w:w="4320" w:type="dxa"/>
            <w:tcBorders>
              <w:top w:val="nil"/>
              <w:left w:val="single" w:sz="4" w:space="0" w:color="auto"/>
              <w:bottom w:val="single" w:sz="4" w:space="0" w:color="auto"/>
              <w:right w:val="single" w:sz="4" w:space="0" w:color="auto"/>
            </w:tcBorders>
            <w:vAlign w:val="center"/>
            <w:hideMark/>
          </w:tcPr>
          <w:p w14:paraId="75D1EDBA" w14:textId="77777777" w:rsidR="00A17B0B" w:rsidRPr="00A17B0B" w:rsidRDefault="00A17B0B" w:rsidP="00A17B0B">
            <w:pPr>
              <w:spacing w:after="0" w:line="240" w:lineRule="auto"/>
              <w:jc w:val="center"/>
              <w:rPr>
                <w:rFonts w:ascii="Arial" w:eastAsia="Times New Roman" w:hAnsi="Arial" w:cs="Arial"/>
                <w:color w:val="000000"/>
                <w:kern w:val="0"/>
                <w:sz w:val="32"/>
                <w:szCs w:val="32"/>
                <w:lang w:eastAsia="en-GB"/>
                <w14:ligatures w14:val="none"/>
              </w:rPr>
            </w:pPr>
            <w:r w:rsidRPr="00A17B0B">
              <w:rPr>
                <w:rFonts w:ascii="Arial" w:eastAsia="Times New Roman" w:hAnsi="Arial" w:cs="Arial"/>
                <w:color w:val="000000"/>
                <w:kern w:val="0"/>
                <w:sz w:val="32"/>
                <w:szCs w:val="32"/>
                <w:lang w:eastAsia="en-GB"/>
                <w14:ligatures w14:val="none"/>
              </w:rPr>
              <w:t>• Partnership with local businesses and universities for mid-week occupancy.</w:t>
            </w:r>
          </w:p>
        </w:tc>
        <w:tc>
          <w:tcPr>
            <w:tcW w:w="4080" w:type="dxa"/>
            <w:tcBorders>
              <w:top w:val="nil"/>
              <w:left w:val="nil"/>
              <w:bottom w:val="single" w:sz="4" w:space="0" w:color="auto"/>
              <w:right w:val="single" w:sz="4" w:space="0" w:color="auto"/>
            </w:tcBorders>
            <w:vAlign w:val="center"/>
            <w:hideMark/>
          </w:tcPr>
          <w:p w14:paraId="1199FB2C" w14:textId="77777777" w:rsidR="00A17B0B" w:rsidRPr="00A17B0B" w:rsidRDefault="00A17B0B" w:rsidP="00A17B0B">
            <w:pPr>
              <w:spacing w:after="0" w:line="240" w:lineRule="auto"/>
              <w:jc w:val="center"/>
              <w:rPr>
                <w:rFonts w:ascii="Arial" w:eastAsia="Times New Roman" w:hAnsi="Arial" w:cs="Arial"/>
                <w:color w:val="000000"/>
                <w:kern w:val="0"/>
                <w:sz w:val="32"/>
                <w:szCs w:val="32"/>
                <w:lang w:eastAsia="en-GB"/>
                <w14:ligatures w14:val="none"/>
              </w:rPr>
            </w:pPr>
            <w:r w:rsidRPr="00A17B0B">
              <w:rPr>
                <w:rFonts w:ascii="Arial" w:eastAsia="Times New Roman" w:hAnsi="Arial" w:cs="Arial"/>
                <w:color w:val="000000"/>
                <w:kern w:val="0"/>
                <w:sz w:val="32"/>
                <w:szCs w:val="32"/>
                <w:lang w:eastAsia="en-GB"/>
                <w14:ligatures w14:val="none"/>
              </w:rPr>
              <w:t>• Rising energy costs and supply-chain instability.</w:t>
            </w:r>
          </w:p>
        </w:tc>
      </w:tr>
      <w:tr w:rsidR="00A17B0B" w:rsidRPr="00A17B0B" w14:paraId="55474E5B" w14:textId="77777777" w:rsidTr="00A17B0B">
        <w:trPr>
          <w:trHeight w:val="1755"/>
        </w:trPr>
        <w:tc>
          <w:tcPr>
            <w:tcW w:w="4320" w:type="dxa"/>
            <w:tcBorders>
              <w:top w:val="nil"/>
              <w:left w:val="single" w:sz="4" w:space="0" w:color="auto"/>
              <w:bottom w:val="single" w:sz="4" w:space="0" w:color="auto"/>
              <w:right w:val="single" w:sz="4" w:space="0" w:color="auto"/>
            </w:tcBorders>
            <w:vAlign w:val="center"/>
            <w:hideMark/>
          </w:tcPr>
          <w:p w14:paraId="16ED2AB6" w14:textId="77777777" w:rsidR="00A17B0B" w:rsidRPr="00A17B0B" w:rsidRDefault="00A17B0B" w:rsidP="00A17B0B">
            <w:pPr>
              <w:spacing w:after="0" w:line="240" w:lineRule="auto"/>
              <w:jc w:val="center"/>
              <w:rPr>
                <w:rFonts w:ascii="Arial" w:eastAsia="Times New Roman" w:hAnsi="Arial" w:cs="Arial"/>
                <w:color w:val="000000"/>
                <w:kern w:val="0"/>
                <w:sz w:val="32"/>
                <w:szCs w:val="32"/>
                <w:lang w:eastAsia="en-GB"/>
                <w14:ligatures w14:val="none"/>
              </w:rPr>
            </w:pPr>
            <w:r w:rsidRPr="00A17B0B">
              <w:rPr>
                <w:rFonts w:ascii="Arial" w:eastAsia="Times New Roman" w:hAnsi="Arial" w:cs="Arial"/>
                <w:color w:val="000000"/>
                <w:kern w:val="0"/>
                <w:sz w:val="32"/>
                <w:szCs w:val="32"/>
                <w:lang w:eastAsia="en-GB"/>
                <w14:ligatures w14:val="none"/>
              </w:rPr>
              <w:t>• Sustainability certification to attract environmentally conscious clients.</w:t>
            </w:r>
          </w:p>
        </w:tc>
        <w:tc>
          <w:tcPr>
            <w:tcW w:w="4080" w:type="dxa"/>
            <w:tcBorders>
              <w:top w:val="nil"/>
              <w:left w:val="nil"/>
              <w:bottom w:val="single" w:sz="4" w:space="0" w:color="auto"/>
              <w:right w:val="single" w:sz="4" w:space="0" w:color="auto"/>
            </w:tcBorders>
            <w:vAlign w:val="center"/>
            <w:hideMark/>
          </w:tcPr>
          <w:p w14:paraId="238C37D9" w14:textId="77777777" w:rsidR="00A17B0B" w:rsidRPr="00A17B0B" w:rsidRDefault="00A17B0B" w:rsidP="00A17B0B">
            <w:pPr>
              <w:spacing w:after="0" w:line="240" w:lineRule="auto"/>
              <w:jc w:val="center"/>
              <w:rPr>
                <w:rFonts w:ascii="Arial" w:eastAsia="Times New Roman" w:hAnsi="Arial" w:cs="Arial"/>
                <w:color w:val="000000"/>
                <w:kern w:val="0"/>
                <w:sz w:val="32"/>
                <w:szCs w:val="32"/>
                <w:lang w:eastAsia="en-GB"/>
                <w14:ligatures w14:val="none"/>
              </w:rPr>
            </w:pPr>
            <w:r w:rsidRPr="00A17B0B">
              <w:rPr>
                <w:rFonts w:ascii="Arial" w:eastAsia="Times New Roman" w:hAnsi="Arial" w:cs="Arial"/>
                <w:color w:val="000000"/>
                <w:kern w:val="0"/>
                <w:sz w:val="32"/>
                <w:szCs w:val="32"/>
                <w:lang w:eastAsia="en-GB"/>
                <w14:ligatures w14:val="none"/>
              </w:rPr>
              <w:t>• Talent shortages and wage inflation within the hospitality labour market.</w:t>
            </w:r>
          </w:p>
        </w:tc>
      </w:tr>
    </w:tbl>
    <w:p w14:paraId="40FDDAB4" w14:textId="77777777" w:rsidR="00A17B0B" w:rsidRPr="001E0E75" w:rsidRDefault="00A17B0B" w:rsidP="001E0E75">
      <w:pPr>
        <w:spacing w:line="360" w:lineRule="auto"/>
        <w:rPr>
          <w:rFonts w:ascii="Arial" w:hAnsi="Arial" w:cs="Arial"/>
          <w:b/>
          <w:bCs/>
          <w:sz w:val="32"/>
          <w:szCs w:val="32"/>
        </w:rPr>
      </w:pPr>
    </w:p>
    <w:p w14:paraId="2178717B" w14:textId="77777777" w:rsidR="008D201A" w:rsidRPr="001E0E75" w:rsidRDefault="008D201A" w:rsidP="001E0E75">
      <w:pPr>
        <w:spacing w:line="360" w:lineRule="auto"/>
        <w:rPr>
          <w:rFonts w:ascii="Arial" w:hAnsi="Arial" w:cs="Arial"/>
          <w:vanish/>
          <w:sz w:val="32"/>
          <w:szCs w:val="32"/>
        </w:rPr>
      </w:pPr>
    </w:p>
    <w:p w14:paraId="171B0F9F" w14:textId="77777777" w:rsidR="008D201A" w:rsidRPr="001E0E75" w:rsidRDefault="008D201A" w:rsidP="001E0E75">
      <w:pPr>
        <w:spacing w:line="360" w:lineRule="auto"/>
        <w:rPr>
          <w:rFonts w:ascii="Arial" w:hAnsi="Arial" w:cs="Arial"/>
          <w:sz w:val="32"/>
          <w:szCs w:val="32"/>
        </w:rPr>
      </w:pPr>
    </w:p>
    <w:p w14:paraId="2D1BA5D6"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 xml:space="preserve">The SWOT analysis demonstrates that the hotel’s </w:t>
      </w:r>
      <w:r w:rsidRPr="001E0E75">
        <w:rPr>
          <w:rFonts w:ascii="Arial" w:hAnsi="Arial" w:cs="Arial"/>
          <w:b/>
          <w:bCs/>
          <w:sz w:val="32"/>
          <w:szCs w:val="32"/>
        </w:rPr>
        <w:t>strategic location near London</w:t>
      </w:r>
      <w:r w:rsidRPr="001E0E75">
        <w:rPr>
          <w:rFonts w:ascii="Arial" w:hAnsi="Arial" w:cs="Arial"/>
          <w:sz w:val="32"/>
          <w:szCs w:val="32"/>
        </w:rPr>
        <w:t xml:space="preserve"> offers both competitive leverage and exposure to urban-area pressures. Management must therefore convert proximity advantages into differentiators—emphasising value, accessibility, and personalised service.</w:t>
      </w:r>
    </w:p>
    <w:p w14:paraId="41D46013" w14:textId="77777777" w:rsidR="00BD0A34" w:rsidRPr="001E0E75" w:rsidRDefault="00BD0A34" w:rsidP="001E0E75">
      <w:pPr>
        <w:spacing w:line="360" w:lineRule="auto"/>
        <w:rPr>
          <w:rFonts w:ascii="Arial" w:hAnsi="Arial" w:cs="Arial"/>
          <w:sz w:val="32"/>
          <w:szCs w:val="32"/>
        </w:rPr>
      </w:pPr>
      <w:r w:rsidRPr="001E0E75">
        <w:rPr>
          <w:rFonts w:ascii="Arial" w:hAnsi="Arial" w:cs="Arial"/>
          <w:sz w:val="32"/>
          <w:szCs w:val="32"/>
        </w:rPr>
        <w:t>Technological acceleration and digital consumer behaviour are reshaping the macro-environment, requiring hotels to align with smart-tourism trends (Buhalis and Sinarta, 2019; Li and Law, 2022).</w:t>
      </w:r>
    </w:p>
    <w:p w14:paraId="5AF75D6A" w14:textId="6FF62A96" w:rsidR="00AB5636" w:rsidRPr="001E0E75" w:rsidRDefault="00BD0A34" w:rsidP="001E0E75">
      <w:pPr>
        <w:spacing w:line="360" w:lineRule="auto"/>
        <w:rPr>
          <w:rFonts w:ascii="Arial" w:hAnsi="Arial" w:cs="Arial"/>
          <w:sz w:val="32"/>
          <w:szCs w:val="32"/>
        </w:rPr>
      </w:pPr>
      <w:r w:rsidRPr="001E0E75">
        <w:rPr>
          <w:rFonts w:ascii="Arial" w:hAnsi="Arial" w:cs="Arial"/>
          <w:sz w:val="32"/>
          <w:szCs w:val="32"/>
        </w:rPr>
        <w:lastRenderedPageBreak/>
        <w:t>Social factors also indicate increased domestic travel preferences and health-driven destination choices (Smith and Puczkó, 2023).</w:t>
      </w:r>
    </w:p>
    <w:p w14:paraId="31A4618F" w14:textId="77777777" w:rsidR="00BD0A34" w:rsidRPr="001E0E75" w:rsidRDefault="00BD0A34" w:rsidP="001E0E75">
      <w:pPr>
        <w:spacing w:line="360" w:lineRule="auto"/>
        <w:rPr>
          <w:rFonts w:ascii="Arial" w:hAnsi="Arial" w:cs="Arial"/>
          <w:sz w:val="32"/>
          <w:szCs w:val="32"/>
        </w:rPr>
      </w:pPr>
    </w:p>
    <w:p w14:paraId="7CD91888" w14:textId="77777777" w:rsidR="00AB5636" w:rsidRPr="001E0E75" w:rsidRDefault="00AB5636" w:rsidP="001E0E75">
      <w:pPr>
        <w:spacing w:line="360" w:lineRule="auto"/>
        <w:rPr>
          <w:rFonts w:ascii="Arial" w:hAnsi="Arial" w:cs="Arial"/>
          <w:b/>
          <w:bCs/>
          <w:sz w:val="32"/>
          <w:szCs w:val="32"/>
        </w:rPr>
      </w:pPr>
      <w:r w:rsidRPr="001E0E75">
        <w:rPr>
          <w:rFonts w:ascii="Arial" w:hAnsi="Arial" w:cs="Arial"/>
          <w:b/>
          <w:bCs/>
          <w:sz w:val="32"/>
          <w:szCs w:val="32"/>
        </w:rPr>
        <w:t>Post-Pandemic MICE and Location Dynamics</w:t>
      </w:r>
    </w:p>
    <w:p w14:paraId="2F8F206E" w14:textId="77777777" w:rsidR="00AB5636" w:rsidRPr="001E0E75" w:rsidRDefault="00AB5636" w:rsidP="001E0E75">
      <w:pPr>
        <w:spacing w:line="360" w:lineRule="auto"/>
        <w:rPr>
          <w:rFonts w:ascii="Arial" w:hAnsi="Arial" w:cs="Arial"/>
          <w:sz w:val="32"/>
          <w:szCs w:val="32"/>
        </w:rPr>
      </w:pPr>
      <w:r w:rsidRPr="001E0E75">
        <w:rPr>
          <w:rFonts w:ascii="Arial" w:hAnsi="Arial" w:cs="Arial"/>
          <w:sz w:val="32"/>
          <w:szCs w:val="32"/>
        </w:rPr>
        <w:t>Recent research highlights that the global Meetings, Incentives, Conferences and Events (MICE) sector has undergone significant transformation since the COVID-19 pandemic, influencing how hotels leverage their location to regain competitiveness. Jones, Hillier and Comfort (2023) emphasise that hybrid events have become a permanent feature of corporate travel, requiring venues to balance technological infrastructure with accessibility. Similarly, Berezina and Cobos (2021) note that regional hotels have capitalised on post-pandemic behavioural shifts, attracting domestic corporate clients who prefer suburban venues with lower density and flexible capacity.</w:t>
      </w:r>
    </w:p>
    <w:p w14:paraId="20DBDBBA" w14:textId="77777777" w:rsidR="00AB5636" w:rsidRPr="001E0E75" w:rsidRDefault="00AB5636" w:rsidP="001E0E75">
      <w:pPr>
        <w:spacing w:line="360" w:lineRule="auto"/>
        <w:rPr>
          <w:rFonts w:ascii="Arial" w:hAnsi="Arial" w:cs="Arial"/>
          <w:sz w:val="32"/>
          <w:szCs w:val="32"/>
        </w:rPr>
      </w:pPr>
      <w:r w:rsidRPr="001E0E75">
        <w:rPr>
          <w:rFonts w:ascii="Arial" w:hAnsi="Arial" w:cs="Arial"/>
          <w:sz w:val="32"/>
          <w:szCs w:val="32"/>
        </w:rPr>
        <w:t xml:space="preserve">In the UK context, VisitBritain (2023) reports that regional business events now contribute over 40% of domestic MICE revenue, underscoring the strategic value of accessible but non-central locations such as Kent and the South-East corridor. Moreover, PwC (2023) found that regional hotels adopting data-driven sales and geo-targeted marketing achieved stronger recovery rates than centrally located properties constrained by </w:t>
      </w:r>
      <w:r w:rsidRPr="001E0E75">
        <w:rPr>
          <w:rFonts w:ascii="Arial" w:hAnsi="Arial" w:cs="Arial"/>
          <w:sz w:val="32"/>
          <w:szCs w:val="32"/>
        </w:rPr>
        <w:lastRenderedPageBreak/>
        <w:t>high operating costs. These insights reinforce that location is no longer a static competitive determinant but a dynamic variable that interacts with technology, consumer perception, and sustainability expectations. Consequently, as Patiar and Wang (2021) argue, the success of peripheral hotels depends less on proximity to major cities and more on their ability to innovate, personalise, and communicate value effectively within changing market conditions.</w:t>
      </w:r>
    </w:p>
    <w:p w14:paraId="2E6B9355" w14:textId="77777777" w:rsidR="008D201A" w:rsidRPr="001E0E75" w:rsidRDefault="008D201A" w:rsidP="001E0E75">
      <w:pPr>
        <w:spacing w:line="360" w:lineRule="auto"/>
        <w:rPr>
          <w:rFonts w:ascii="Arial" w:hAnsi="Arial" w:cs="Arial"/>
          <w:b/>
          <w:bCs/>
          <w:sz w:val="32"/>
          <w:szCs w:val="32"/>
        </w:rPr>
      </w:pPr>
      <w:r w:rsidRPr="001E0E75">
        <w:rPr>
          <w:rFonts w:ascii="Arial" w:hAnsi="Arial" w:cs="Arial"/>
          <w:b/>
          <w:bCs/>
          <w:sz w:val="32"/>
          <w:szCs w:val="32"/>
        </w:rPr>
        <w:t>2.8 Literature Synthesis</w:t>
      </w:r>
    </w:p>
    <w:p w14:paraId="6FFFFB9E"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 xml:space="preserve">Academic and industry sources collectively highlight that </w:t>
      </w:r>
      <w:r w:rsidRPr="001E0E75">
        <w:rPr>
          <w:rFonts w:ascii="Arial" w:hAnsi="Arial" w:cs="Arial"/>
          <w:b/>
          <w:bCs/>
          <w:sz w:val="32"/>
          <w:szCs w:val="32"/>
        </w:rPr>
        <w:t>location is not merely a static geographic attribute but a dynamic strategic variable</w:t>
      </w:r>
      <w:r w:rsidRPr="001E0E75">
        <w:rPr>
          <w:rFonts w:ascii="Arial" w:hAnsi="Arial" w:cs="Arial"/>
          <w:sz w:val="32"/>
          <w:szCs w:val="32"/>
        </w:rPr>
        <w:t>. While earlier research focused on proximity and accessibility (Hotelling, 1929; Law et al., 2021), recent studies stress adaptive marketing and technological mediation (Camilleri, 2023; Ivanov &amp; Webster, 2021). The Dartford Bridge case illustrates how a regional full-service hotel can exploit network connectivity to the capital while differentiating through value and service innovation.</w:t>
      </w:r>
    </w:p>
    <w:p w14:paraId="4A64D123"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 xml:space="preserve">The reviewed literature further shows that regional hotels compete by integrating </w:t>
      </w:r>
      <w:r w:rsidRPr="001E0E75">
        <w:rPr>
          <w:rFonts w:ascii="Arial" w:hAnsi="Arial" w:cs="Arial"/>
          <w:b/>
          <w:bCs/>
          <w:sz w:val="32"/>
          <w:szCs w:val="32"/>
        </w:rPr>
        <w:t>relationship marketing</w:t>
      </w:r>
      <w:r w:rsidRPr="001E0E75">
        <w:rPr>
          <w:rFonts w:ascii="Arial" w:hAnsi="Arial" w:cs="Arial"/>
          <w:sz w:val="32"/>
          <w:szCs w:val="32"/>
        </w:rPr>
        <w:t xml:space="preserve"> and </w:t>
      </w:r>
      <w:r w:rsidRPr="001E0E75">
        <w:rPr>
          <w:rFonts w:ascii="Arial" w:hAnsi="Arial" w:cs="Arial"/>
          <w:b/>
          <w:bCs/>
          <w:sz w:val="32"/>
          <w:szCs w:val="32"/>
        </w:rPr>
        <w:t>hybrid event solutions</w:t>
      </w:r>
      <w:r w:rsidRPr="001E0E75">
        <w:rPr>
          <w:rFonts w:ascii="Arial" w:hAnsi="Arial" w:cs="Arial"/>
          <w:sz w:val="32"/>
          <w:szCs w:val="32"/>
        </w:rPr>
        <w:t xml:space="preserve"> rather than by matching city-centre scale (Rogerson &amp; Lisa, 2020; Whitfield &amp; Webster, 2020). This perspective supports the study’s aim of evaluating how </w:t>
      </w:r>
      <w:r w:rsidRPr="001E0E75">
        <w:rPr>
          <w:rFonts w:ascii="Arial" w:hAnsi="Arial" w:cs="Arial"/>
          <w:sz w:val="32"/>
          <w:szCs w:val="32"/>
        </w:rPr>
        <w:lastRenderedPageBreak/>
        <w:t>management at DoubleTree by Hilton Dartford Bridge adapts its sales strategies and event performance to its locational context.</w:t>
      </w:r>
    </w:p>
    <w:p w14:paraId="18B8058E"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The subsequent methodology chapter explains how qualitative case-study research was employed to explore these theoretical insights in practice.</w:t>
      </w:r>
    </w:p>
    <w:p w14:paraId="6CFBBA0B" w14:textId="77777777" w:rsidR="008D201A" w:rsidRPr="001E0E75" w:rsidRDefault="008D201A" w:rsidP="001E0E75">
      <w:pPr>
        <w:spacing w:line="360" w:lineRule="auto"/>
        <w:rPr>
          <w:rFonts w:ascii="Arial" w:hAnsi="Arial" w:cs="Arial"/>
          <w:sz w:val="32"/>
          <w:szCs w:val="32"/>
        </w:rPr>
      </w:pPr>
    </w:p>
    <w:p w14:paraId="28654295" w14:textId="77777777" w:rsidR="008D201A" w:rsidRPr="001E0E75" w:rsidRDefault="008D201A" w:rsidP="001E0E75">
      <w:pPr>
        <w:spacing w:line="360" w:lineRule="auto"/>
        <w:rPr>
          <w:rFonts w:ascii="Arial" w:hAnsi="Arial" w:cs="Arial"/>
          <w:sz w:val="32"/>
          <w:szCs w:val="32"/>
        </w:rPr>
      </w:pPr>
    </w:p>
    <w:p w14:paraId="452E9CB8" w14:textId="25D77E04" w:rsidR="00E35189" w:rsidRPr="001E0E75" w:rsidRDefault="008D201A" w:rsidP="001E0E75">
      <w:pPr>
        <w:spacing w:line="360" w:lineRule="auto"/>
        <w:rPr>
          <w:rFonts w:ascii="Arial" w:hAnsi="Arial" w:cs="Arial"/>
          <w:b/>
          <w:bCs/>
          <w:sz w:val="32"/>
          <w:szCs w:val="32"/>
        </w:rPr>
      </w:pPr>
      <w:r w:rsidRPr="001E0E75">
        <w:rPr>
          <w:rFonts w:ascii="Arial" w:hAnsi="Arial" w:cs="Arial"/>
          <w:b/>
          <w:bCs/>
          <w:sz w:val="32"/>
          <w:szCs w:val="32"/>
        </w:rPr>
        <w:t>Methodology</w:t>
      </w:r>
      <w:r w:rsidR="00E35189" w:rsidRPr="001E0E75">
        <w:rPr>
          <w:rFonts w:ascii="Arial" w:hAnsi="Arial" w:cs="Arial"/>
          <w:b/>
          <w:bCs/>
          <w:sz w:val="32"/>
          <w:szCs w:val="32"/>
        </w:rPr>
        <w:t xml:space="preserve"> – Chapter 3</w:t>
      </w:r>
    </w:p>
    <w:p w14:paraId="639C3E26" w14:textId="77777777" w:rsidR="008D201A" w:rsidRPr="001E0E75" w:rsidRDefault="008D201A" w:rsidP="001E0E75">
      <w:pPr>
        <w:spacing w:line="360" w:lineRule="auto"/>
        <w:rPr>
          <w:rFonts w:ascii="Arial" w:hAnsi="Arial" w:cs="Arial"/>
          <w:b/>
          <w:bCs/>
          <w:sz w:val="32"/>
          <w:szCs w:val="32"/>
        </w:rPr>
      </w:pPr>
      <w:r w:rsidRPr="001E0E75">
        <w:rPr>
          <w:rFonts w:ascii="Arial" w:hAnsi="Arial" w:cs="Arial"/>
          <w:b/>
          <w:bCs/>
          <w:sz w:val="32"/>
          <w:szCs w:val="32"/>
        </w:rPr>
        <w:t>3.1 Introduction</w:t>
      </w:r>
    </w:p>
    <w:p w14:paraId="7C0926D8"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This chapter outlines the research methodology employed to investigate how hotel location influences sales strategies and Meetings &amp; Events (M&amp;E) performance at DoubleTree by Hilton Dartford Bridge. It explains the research philosophy and approach, design and methods, sampling and data collection, ethical considerations, and steps taken to ensure credibility and trustworthiness of findings.</w:t>
      </w:r>
    </w:p>
    <w:p w14:paraId="50CD24F4" w14:textId="77777777" w:rsidR="00AB5636" w:rsidRPr="001E0E75" w:rsidRDefault="00AB5636" w:rsidP="001E0E75">
      <w:pPr>
        <w:spacing w:line="360" w:lineRule="auto"/>
        <w:rPr>
          <w:rFonts w:ascii="Arial" w:hAnsi="Arial" w:cs="Arial"/>
          <w:b/>
          <w:bCs/>
          <w:sz w:val="32"/>
          <w:szCs w:val="32"/>
        </w:rPr>
      </w:pPr>
      <w:r w:rsidRPr="001E0E75">
        <w:rPr>
          <w:rFonts w:ascii="Arial" w:hAnsi="Arial" w:cs="Arial"/>
          <w:b/>
          <w:bCs/>
          <w:sz w:val="32"/>
          <w:szCs w:val="32"/>
        </w:rPr>
        <w:t>Justification of Qualitative Approach and Reflexivity</w:t>
      </w:r>
    </w:p>
    <w:p w14:paraId="690F8AB1" w14:textId="77777777" w:rsidR="00AB5636" w:rsidRPr="001E0E75" w:rsidRDefault="00AB5636" w:rsidP="001E0E75">
      <w:pPr>
        <w:spacing w:line="360" w:lineRule="auto"/>
        <w:rPr>
          <w:rFonts w:ascii="Arial" w:hAnsi="Arial" w:cs="Arial"/>
          <w:sz w:val="32"/>
          <w:szCs w:val="32"/>
        </w:rPr>
      </w:pPr>
      <w:r w:rsidRPr="001E0E75">
        <w:rPr>
          <w:rFonts w:ascii="Arial" w:hAnsi="Arial" w:cs="Arial"/>
          <w:sz w:val="32"/>
          <w:szCs w:val="32"/>
        </w:rPr>
        <w:t xml:space="preserve">This study adopted a </w:t>
      </w:r>
      <w:r w:rsidRPr="001E0E75">
        <w:rPr>
          <w:rFonts w:ascii="Arial" w:hAnsi="Arial" w:cs="Arial"/>
          <w:b/>
          <w:bCs/>
          <w:sz w:val="32"/>
          <w:szCs w:val="32"/>
        </w:rPr>
        <w:t>qualitative research approach</w:t>
      </w:r>
      <w:r w:rsidRPr="001E0E75">
        <w:rPr>
          <w:rFonts w:ascii="Arial" w:hAnsi="Arial" w:cs="Arial"/>
          <w:sz w:val="32"/>
          <w:szCs w:val="32"/>
        </w:rPr>
        <w:t xml:space="preserve"> because the aim was to gain an in-depth understanding of perceptions, experiences, and strategic responses related to hotel location and sales performance. Quantitative methods would have limited the ability to capture the nuanced reasoning and subjective viewpoints of staff members involved in sales and </w:t>
      </w:r>
      <w:r w:rsidRPr="001E0E75">
        <w:rPr>
          <w:rFonts w:ascii="Arial" w:hAnsi="Arial" w:cs="Arial"/>
          <w:sz w:val="32"/>
          <w:szCs w:val="32"/>
        </w:rPr>
        <w:lastRenderedPageBreak/>
        <w:t xml:space="preserve">event management. As Creswell and Poth (2021) explain, qualitative inquiry is most appropriate when exploring </w:t>
      </w:r>
      <w:r w:rsidRPr="001E0E75">
        <w:rPr>
          <w:rFonts w:ascii="Arial" w:hAnsi="Arial" w:cs="Arial"/>
          <w:i/>
          <w:iCs/>
          <w:sz w:val="32"/>
          <w:szCs w:val="32"/>
        </w:rPr>
        <w:t>how</w:t>
      </w:r>
      <w:r w:rsidRPr="001E0E75">
        <w:rPr>
          <w:rFonts w:ascii="Arial" w:hAnsi="Arial" w:cs="Arial"/>
          <w:sz w:val="32"/>
          <w:szCs w:val="32"/>
        </w:rPr>
        <w:t xml:space="preserve"> and </w:t>
      </w:r>
      <w:r w:rsidRPr="001E0E75">
        <w:rPr>
          <w:rFonts w:ascii="Arial" w:hAnsi="Arial" w:cs="Arial"/>
          <w:i/>
          <w:iCs/>
          <w:sz w:val="32"/>
          <w:szCs w:val="32"/>
        </w:rPr>
        <w:t>why</w:t>
      </w:r>
      <w:r w:rsidRPr="001E0E75">
        <w:rPr>
          <w:rFonts w:ascii="Arial" w:hAnsi="Arial" w:cs="Arial"/>
          <w:sz w:val="32"/>
          <w:szCs w:val="32"/>
        </w:rPr>
        <w:t xml:space="preserve"> organisational actors interpret their contexts. The interpretivist paradigm therefore aligns with this study’s objective to explore meaning rather than measure variables.</w:t>
      </w:r>
    </w:p>
    <w:p w14:paraId="1B63ABE8" w14:textId="70491FD7" w:rsidR="00AB5636" w:rsidRPr="001E0E75" w:rsidRDefault="00AB5636" w:rsidP="001E0E75">
      <w:pPr>
        <w:spacing w:line="360" w:lineRule="auto"/>
        <w:rPr>
          <w:rFonts w:ascii="Arial" w:hAnsi="Arial" w:cs="Arial"/>
          <w:sz w:val="32"/>
          <w:szCs w:val="32"/>
        </w:rPr>
      </w:pPr>
      <w:r w:rsidRPr="001E0E75">
        <w:rPr>
          <w:rFonts w:ascii="Arial" w:hAnsi="Arial" w:cs="Arial"/>
          <w:sz w:val="32"/>
          <w:szCs w:val="32"/>
        </w:rPr>
        <w:t>As the researcher completed a professional placement within the same organisation, reflexivity was essential to ensure objectivity. The researcher maintained a reflective journal to document observations and minimise personal bias during data collection and interpretation. According to Lincoln and Guba (1985), reflexive awareness enhances trustworthiness by distinguishing professional experience from empirical evidence. To further ensure validity, findings were cross-checked against secondary data sources and verified with participants after transcription. This triangulated approach supports methodological rigour while recognising the interpretive nature of qualitative analysis (Saunders, Lewis and Thornhill, 2019).</w:t>
      </w:r>
    </w:p>
    <w:p w14:paraId="06243405" w14:textId="77777777" w:rsidR="008D201A" w:rsidRPr="001E0E75" w:rsidRDefault="008D201A" w:rsidP="001E0E75">
      <w:pPr>
        <w:spacing w:line="360" w:lineRule="auto"/>
        <w:rPr>
          <w:rFonts w:ascii="Arial" w:hAnsi="Arial" w:cs="Arial"/>
          <w:b/>
          <w:bCs/>
          <w:sz w:val="32"/>
          <w:szCs w:val="32"/>
        </w:rPr>
      </w:pPr>
      <w:r w:rsidRPr="001E0E75">
        <w:rPr>
          <w:rFonts w:ascii="Arial" w:hAnsi="Arial" w:cs="Arial"/>
          <w:b/>
          <w:bCs/>
          <w:sz w:val="32"/>
          <w:szCs w:val="32"/>
        </w:rPr>
        <w:t>3.2 Research Philosophy and Approach</w:t>
      </w:r>
    </w:p>
    <w:p w14:paraId="35EC478F"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 xml:space="preserve">This study adopts an </w:t>
      </w:r>
      <w:r w:rsidRPr="001E0E75">
        <w:rPr>
          <w:rFonts w:ascii="Arial" w:hAnsi="Arial" w:cs="Arial"/>
          <w:b/>
          <w:bCs/>
          <w:sz w:val="32"/>
          <w:szCs w:val="32"/>
        </w:rPr>
        <w:t>interpretivist research philosophy</w:t>
      </w:r>
      <w:r w:rsidRPr="001E0E75">
        <w:rPr>
          <w:rFonts w:ascii="Arial" w:hAnsi="Arial" w:cs="Arial"/>
          <w:sz w:val="32"/>
          <w:szCs w:val="32"/>
        </w:rPr>
        <w:t xml:space="preserve">, which is appropriate for examining decision-making processes, managerial perceptions, and context-specific strategic responses within hospitality settings (Saunders et al., 2019). Interpretivism acknowledges that organisational behaviours and strategic choices are socially constructed and best understood </w:t>
      </w:r>
      <w:r w:rsidRPr="001E0E75">
        <w:rPr>
          <w:rFonts w:ascii="Arial" w:hAnsi="Arial" w:cs="Arial"/>
          <w:sz w:val="32"/>
          <w:szCs w:val="32"/>
        </w:rPr>
        <w:lastRenderedPageBreak/>
        <w:t>through engagement with those involved in the process (Creswell &amp; Poth, 2021).</w:t>
      </w:r>
    </w:p>
    <w:p w14:paraId="44820514"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 xml:space="preserve">A </w:t>
      </w:r>
      <w:r w:rsidRPr="001E0E75">
        <w:rPr>
          <w:rFonts w:ascii="Arial" w:hAnsi="Arial" w:cs="Arial"/>
          <w:b/>
          <w:bCs/>
          <w:sz w:val="32"/>
          <w:szCs w:val="32"/>
        </w:rPr>
        <w:t>qualitative approach</w:t>
      </w:r>
      <w:r w:rsidRPr="001E0E75">
        <w:rPr>
          <w:rFonts w:ascii="Arial" w:hAnsi="Arial" w:cs="Arial"/>
          <w:sz w:val="32"/>
          <w:szCs w:val="32"/>
        </w:rPr>
        <w:t xml:space="preserve"> was selected to gather rich insights into how hotel location affects sales activities and event performance. Unlike quantitative methods, which prioritise numerical measurement, qualitative research allows exploration of managerial perceptions, lived experiences, and strategic reasoning (Bryman &amp; Bell, 2021). This approach aligns with the study objective to understand how hotel leaders respond to the opportunities and limitations of a regional location near London.</w:t>
      </w:r>
    </w:p>
    <w:p w14:paraId="0A7D2AB1" w14:textId="45A8040E" w:rsidR="00BD0A34" w:rsidRPr="001E0E75" w:rsidRDefault="00BD0A34" w:rsidP="001E0E75">
      <w:pPr>
        <w:spacing w:line="360" w:lineRule="auto"/>
        <w:rPr>
          <w:rFonts w:ascii="Arial" w:hAnsi="Arial" w:cs="Arial"/>
          <w:sz w:val="32"/>
          <w:szCs w:val="32"/>
        </w:rPr>
      </w:pPr>
      <w:r w:rsidRPr="001E0E75">
        <w:rPr>
          <w:rFonts w:ascii="Arial" w:hAnsi="Arial" w:cs="Arial"/>
          <w:sz w:val="32"/>
          <w:szCs w:val="32"/>
        </w:rPr>
        <w:t>The reflexive approach also aligns with the constructivist recommendations of Braun and Clarke (2006) and supports the credibility criteria described by Lincoln and Guba (1985).</w:t>
      </w:r>
    </w:p>
    <w:p w14:paraId="4B0998B9" w14:textId="77777777" w:rsidR="008D201A" w:rsidRPr="001E0E75" w:rsidRDefault="008D201A" w:rsidP="001E0E75">
      <w:pPr>
        <w:spacing w:line="360" w:lineRule="auto"/>
        <w:rPr>
          <w:rFonts w:ascii="Arial" w:hAnsi="Arial" w:cs="Arial"/>
          <w:b/>
          <w:bCs/>
          <w:sz w:val="32"/>
          <w:szCs w:val="32"/>
        </w:rPr>
      </w:pPr>
      <w:r w:rsidRPr="001E0E75">
        <w:rPr>
          <w:rFonts w:ascii="Arial" w:hAnsi="Arial" w:cs="Arial"/>
          <w:b/>
          <w:bCs/>
          <w:sz w:val="32"/>
          <w:szCs w:val="32"/>
        </w:rPr>
        <w:t>3.3 Research Design: Case Study Strategy</w:t>
      </w:r>
    </w:p>
    <w:p w14:paraId="4A34BD7C"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 xml:space="preserve">A </w:t>
      </w:r>
      <w:r w:rsidRPr="001E0E75">
        <w:rPr>
          <w:rFonts w:ascii="Arial" w:hAnsi="Arial" w:cs="Arial"/>
          <w:b/>
          <w:bCs/>
          <w:sz w:val="32"/>
          <w:szCs w:val="32"/>
        </w:rPr>
        <w:t>single case-study design</w:t>
      </w:r>
      <w:r w:rsidRPr="001E0E75">
        <w:rPr>
          <w:rFonts w:ascii="Arial" w:hAnsi="Arial" w:cs="Arial"/>
          <w:sz w:val="32"/>
          <w:szCs w:val="32"/>
        </w:rPr>
        <w:t xml:space="preserve"> was adopted, focusing on DoubleTree by Hilton Dartford Bridge. Case studies are widely used in hospitality management research to explore real-world complexities in depth (Yin, 2018). The hotel’s unique positioning — operating as a branded, full-service property near but outside a major metropolitan area — offers a valuable context to analyse how location informs commercial strategies and M&amp;E performance.</w:t>
      </w:r>
    </w:p>
    <w:p w14:paraId="64561470"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 xml:space="preserve">This research design is particularly appropriate because the researcher completed a professional placement within the </w:t>
      </w:r>
      <w:r w:rsidRPr="001E0E75">
        <w:rPr>
          <w:rFonts w:ascii="Arial" w:hAnsi="Arial" w:cs="Arial"/>
          <w:sz w:val="32"/>
          <w:szCs w:val="32"/>
        </w:rPr>
        <w:lastRenderedPageBreak/>
        <w:t>property’s M&amp;E department, providing insider access to understand operational practices and strategic decision-making.</w:t>
      </w:r>
    </w:p>
    <w:p w14:paraId="555AF716" w14:textId="77777777" w:rsidR="008D201A" w:rsidRPr="001E0E75" w:rsidRDefault="008D201A" w:rsidP="001E0E75">
      <w:pPr>
        <w:spacing w:line="360" w:lineRule="auto"/>
        <w:rPr>
          <w:rFonts w:ascii="Arial" w:hAnsi="Arial" w:cs="Arial"/>
          <w:b/>
          <w:bCs/>
          <w:sz w:val="32"/>
          <w:szCs w:val="32"/>
        </w:rPr>
      </w:pPr>
      <w:r w:rsidRPr="001E0E75">
        <w:rPr>
          <w:rFonts w:ascii="Arial" w:hAnsi="Arial" w:cs="Arial"/>
          <w:b/>
          <w:bCs/>
          <w:sz w:val="32"/>
          <w:szCs w:val="32"/>
        </w:rPr>
        <w:t>3.4 Data Collection Methods</w:t>
      </w:r>
    </w:p>
    <w:p w14:paraId="261BF349" w14:textId="40E7B332" w:rsidR="00BD0A34" w:rsidRPr="001E0E75" w:rsidRDefault="00BD0A34" w:rsidP="001E0E75">
      <w:pPr>
        <w:spacing w:line="360" w:lineRule="auto"/>
        <w:rPr>
          <w:rFonts w:ascii="Arial" w:hAnsi="Arial" w:cs="Arial"/>
          <w:sz w:val="32"/>
          <w:szCs w:val="32"/>
        </w:rPr>
      </w:pPr>
      <w:r w:rsidRPr="001E0E75">
        <w:rPr>
          <w:rFonts w:ascii="Arial" w:hAnsi="Arial" w:cs="Arial"/>
          <w:sz w:val="32"/>
          <w:szCs w:val="32"/>
        </w:rPr>
        <w:t>Sampling decisions were guided by the principles outlined by Etikan and Bala (2017) and adapted to a small qualitative case study framework following Yin (2018).</w:t>
      </w:r>
    </w:p>
    <w:p w14:paraId="1DC5DE23"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 xml:space="preserve">Primary data were collected through </w:t>
      </w:r>
      <w:r w:rsidRPr="001E0E75">
        <w:rPr>
          <w:rFonts w:ascii="Arial" w:hAnsi="Arial" w:cs="Arial"/>
          <w:b/>
          <w:bCs/>
          <w:sz w:val="32"/>
          <w:szCs w:val="32"/>
        </w:rPr>
        <w:t>semi-structured interviews</w:t>
      </w:r>
      <w:r w:rsidRPr="001E0E75">
        <w:rPr>
          <w:rFonts w:ascii="Arial" w:hAnsi="Arial" w:cs="Arial"/>
          <w:sz w:val="32"/>
          <w:szCs w:val="32"/>
        </w:rPr>
        <w:t xml:space="preserve"> with three hotel professionals directly involved in sales and event delivery. Semi-structured interviews enable open dialogue while still addressing key research themes such as sales strategy, location advantages, and challenges in attracting event business (Quinlan et al., 2019).</w:t>
      </w:r>
    </w:p>
    <w:p w14:paraId="4AE7A1B5"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Participants included:</w:t>
      </w:r>
    </w:p>
    <w:p w14:paraId="3333710D" w14:textId="77777777" w:rsidR="008D201A" w:rsidRPr="001E0E75" w:rsidRDefault="008D201A" w:rsidP="001E0E75">
      <w:pPr>
        <w:numPr>
          <w:ilvl w:val="0"/>
          <w:numId w:val="3"/>
        </w:numPr>
        <w:spacing w:line="360" w:lineRule="auto"/>
        <w:rPr>
          <w:rFonts w:ascii="Arial" w:hAnsi="Arial" w:cs="Arial"/>
          <w:sz w:val="32"/>
          <w:szCs w:val="32"/>
        </w:rPr>
      </w:pPr>
      <w:r w:rsidRPr="001E0E75">
        <w:rPr>
          <w:rFonts w:ascii="Arial" w:hAnsi="Arial" w:cs="Arial"/>
          <w:sz w:val="32"/>
          <w:szCs w:val="32"/>
        </w:rPr>
        <w:t>M&amp;E Sales Manager</w:t>
      </w:r>
    </w:p>
    <w:p w14:paraId="5784C076" w14:textId="77777777" w:rsidR="008D201A" w:rsidRPr="001E0E75" w:rsidRDefault="008D201A" w:rsidP="001E0E75">
      <w:pPr>
        <w:numPr>
          <w:ilvl w:val="0"/>
          <w:numId w:val="3"/>
        </w:numPr>
        <w:spacing w:line="360" w:lineRule="auto"/>
        <w:rPr>
          <w:rFonts w:ascii="Arial" w:hAnsi="Arial" w:cs="Arial"/>
          <w:sz w:val="32"/>
          <w:szCs w:val="32"/>
        </w:rPr>
      </w:pPr>
      <w:r w:rsidRPr="001E0E75">
        <w:rPr>
          <w:rFonts w:ascii="Arial" w:hAnsi="Arial" w:cs="Arial"/>
          <w:sz w:val="32"/>
          <w:szCs w:val="32"/>
        </w:rPr>
        <w:t>Conference &amp; Events Coordinator</w:t>
      </w:r>
    </w:p>
    <w:p w14:paraId="1AD84650" w14:textId="77777777" w:rsidR="008D201A" w:rsidRPr="001E0E75" w:rsidRDefault="008D201A" w:rsidP="001E0E75">
      <w:pPr>
        <w:numPr>
          <w:ilvl w:val="0"/>
          <w:numId w:val="3"/>
        </w:numPr>
        <w:spacing w:line="360" w:lineRule="auto"/>
        <w:rPr>
          <w:rFonts w:ascii="Arial" w:hAnsi="Arial" w:cs="Arial"/>
          <w:sz w:val="32"/>
          <w:szCs w:val="32"/>
        </w:rPr>
      </w:pPr>
      <w:r w:rsidRPr="001E0E75">
        <w:rPr>
          <w:rFonts w:ascii="Arial" w:hAnsi="Arial" w:cs="Arial"/>
          <w:sz w:val="32"/>
          <w:szCs w:val="32"/>
        </w:rPr>
        <w:t>Front Office Supervisor with M&amp;E support responsibilities</w:t>
      </w:r>
    </w:p>
    <w:p w14:paraId="760E1D90"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These interviews were conducted in person, each lasting approximately 30–40 minutes. Questions explored perceptions of location, sales channels, competitive positioning, event buyer preferences, and operational constraints. Responses were recorded through note-taking and paraphrased immediately after interviews to retain accuracy while maintaining anonymity.</w:t>
      </w:r>
    </w:p>
    <w:p w14:paraId="4104347F" w14:textId="570A1699" w:rsidR="00BD0A34" w:rsidRPr="001E0E75" w:rsidRDefault="008D201A" w:rsidP="001E0E75">
      <w:pPr>
        <w:spacing w:line="360" w:lineRule="auto"/>
        <w:rPr>
          <w:rFonts w:ascii="Arial" w:hAnsi="Arial" w:cs="Arial"/>
          <w:sz w:val="32"/>
          <w:szCs w:val="32"/>
        </w:rPr>
      </w:pPr>
      <w:r w:rsidRPr="001E0E75">
        <w:rPr>
          <w:rFonts w:ascii="Arial" w:hAnsi="Arial" w:cs="Arial"/>
          <w:sz w:val="32"/>
          <w:szCs w:val="32"/>
        </w:rPr>
        <w:lastRenderedPageBreak/>
        <w:t>Secondary data supported primary insights, including industry reports (VisitBritain, PwC, UKHospitality), academic sources, Hilton brand materials, and hotel-specific online documentation.</w:t>
      </w:r>
    </w:p>
    <w:p w14:paraId="54D908B9" w14:textId="77777777" w:rsidR="008D201A" w:rsidRPr="001E0E75" w:rsidRDefault="008D201A" w:rsidP="001E0E75">
      <w:pPr>
        <w:spacing w:line="360" w:lineRule="auto"/>
        <w:rPr>
          <w:rFonts w:ascii="Arial" w:hAnsi="Arial" w:cs="Arial"/>
          <w:b/>
          <w:bCs/>
          <w:sz w:val="32"/>
          <w:szCs w:val="32"/>
        </w:rPr>
      </w:pPr>
      <w:r w:rsidRPr="001E0E75">
        <w:rPr>
          <w:rFonts w:ascii="Arial" w:hAnsi="Arial" w:cs="Arial"/>
          <w:b/>
          <w:bCs/>
          <w:sz w:val="32"/>
          <w:szCs w:val="32"/>
        </w:rPr>
        <w:t>3.5 Sampling</w:t>
      </w:r>
    </w:p>
    <w:p w14:paraId="25307188"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 xml:space="preserve">A </w:t>
      </w:r>
      <w:r w:rsidRPr="001E0E75">
        <w:rPr>
          <w:rFonts w:ascii="Arial" w:hAnsi="Arial" w:cs="Arial"/>
          <w:b/>
          <w:bCs/>
          <w:sz w:val="32"/>
          <w:szCs w:val="32"/>
        </w:rPr>
        <w:t>purposive sampling</w:t>
      </w:r>
      <w:r w:rsidRPr="001E0E75">
        <w:rPr>
          <w:rFonts w:ascii="Arial" w:hAnsi="Arial" w:cs="Arial"/>
          <w:sz w:val="32"/>
          <w:szCs w:val="32"/>
        </w:rPr>
        <w:t xml:space="preserve"> technique was used to identify employees with direct involvement in event sales and delivery. Purposive sampling is appropriate when seeking informed perspectives from individuals with relevant professional experience (Etikan &amp; Bala, 2017). The sample size — three participants — was suitable for a focused case-study environment, enabling in-depth responses aligned with the research scope.</w:t>
      </w:r>
    </w:p>
    <w:p w14:paraId="4E803D74" w14:textId="77777777" w:rsidR="008D201A" w:rsidRPr="001E0E75" w:rsidRDefault="008D201A" w:rsidP="001E0E75">
      <w:pPr>
        <w:spacing w:line="360" w:lineRule="auto"/>
        <w:rPr>
          <w:rFonts w:ascii="Arial" w:hAnsi="Arial" w:cs="Arial"/>
          <w:b/>
          <w:bCs/>
          <w:sz w:val="32"/>
          <w:szCs w:val="32"/>
        </w:rPr>
      </w:pPr>
      <w:r w:rsidRPr="001E0E75">
        <w:rPr>
          <w:rFonts w:ascii="Arial" w:hAnsi="Arial" w:cs="Arial"/>
          <w:b/>
          <w:bCs/>
          <w:sz w:val="32"/>
          <w:szCs w:val="32"/>
        </w:rPr>
        <w:t>3.6 Data Analysis</w:t>
      </w:r>
    </w:p>
    <w:p w14:paraId="28C27D2F" w14:textId="77777777" w:rsidR="008D201A" w:rsidRDefault="008D201A" w:rsidP="001E0E75">
      <w:pPr>
        <w:spacing w:line="360" w:lineRule="auto"/>
        <w:rPr>
          <w:rFonts w:ascii="Arial" w:hAnsi="Arial" w:cs="Arial"/>
          <w:sz w:val="32"/>
          <w:szCs w:val="32"/>
        </w:rPr>
      </w:pPr>
      <w:r w:rsidRPr="001E0E75">
        <w:rPr>
          <w:rFonts w:ascii="Arial" w:hAnsi="Arial" w:cs="Arial"/>
          <w:sz w:val="32"/>
          <w:szCs w:val="32"/>
        </w:rPr>
        <w:t xml:space="preserve">A </w:t>
      </w:r>
      <w:r w:rsidRPr="001E0E75">
        <w:rPr>
          <w:rFonts w:ascii="Arial" w:hAnsi="Arial" w:cs="Arial"/>
          <w:b/>
          <w:bCs/>
          <w:sz w:val="32"/>
          <w:szCs w:val="32"/>
        </w:rPr>
        <w:t>thematic analysis</w:t>
      </w:r>
      <w:r w:rsidRPr="001E0E75">
        <w:rPr>
          <w:rFonts w:ascii="Arial" w:hAnsi="Arial" w:cs="Arial"/>
          <w:sz w:val="32"/>
          <w:szCs w:val="32"/>
        </w:rPr>
        <w:t xml:space="preserve"> approach was applied to interpret findings. Interview notes were reviewed and coded manually to identify recurring themes, including location-specific challenges, sales strategy adaptations, technology use, and customer behaviour. Thematic analysis is effective for uncovering patterns in qualitative hospitality research (Clarke &amp; Braun, 2021) and supports the interpretivist aim of understanding managers’ perspectives.</w:t>
      </w:r>
    </w:p>
    <w:p w14:paraId="7DC36461" w14:textId="77777777" w:rsidR="00A17B0B" w:rsidRDefault="00A17B0B" w:rsidP="001E0E75">
      <w:pPr>
        <w:spacing w:line="360" w:lineRule="auto"/>
        <w:rPr>
          <w:rFonts w:ascii="Arial" w:hAnsi="Arial" w:cs="Arial"/>
          <w:sz w:val="32"/>
          <w:szCs w:val="32"/>
        </w:rPr>
      </w:pPr>
    </w:p>
    <w:p w14:paraId="26B4BE29" w14:textId="77777777" w:rsidR="00A17B0B" w:rsidRPr="001E0E75" w:rsidRDefault="00A17B0B" w:rsidP="001E0E75">
      <w:pPr>
        <w:spacing w:line="360" w:lineRule="auto"/>
        <w:rPr>
          <w:rFonts w:ascii="Arial" w:hAnsi="Arial" w:cs="Arial"/>
          <w:sz w:val="32"/>
          <w:szCs w:val="32"/>
        </w:rPr>
      </w:pPr>
    </w:p>
    <w:p w14:paraId="48493915" w14:textId="77777777" w:rsidR="008D201A" w:rsidRPr="001E0E75" w:rsidRDefault="008D201A" w:rsidP="001E0E75">
      <w:pPr>
        <w:spacing w:line="360" w:lineRule="auto"/>
        <w:rPr>
          <w:rFonts w:ascii="Arial" w:hAnsi="Arial" w:cs="Arial"/>
          <w:b/>
          <w:bCs/>
          <w:sz w:val="32"/>
          <w:szCs w:val="32"/>
        </w:rPr>
      </w:pPr>
      <w:r w:rsidRPr="001E0E75">
        <w:rPr>
          <w:rFonts w:ascii="Arial" w:hAnsi="Arial" w:cs="Arial"/>
          <w:b/>
          <w:bCs/>
          <w:sz w:val="32"/>
          <w:szCs w:val="32"/>
        </w:rPr>
        <w:lastRenderedPageBreak/>
        <w:t>3.7 Ethical Considerations</w:t>
      </w:r>
    </w:p>
    <w:p w14:paraId="3C1FBFA2"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Ethical integrity was maintained throughout the study. Participants were informed of the research purpose, involvement was voluntary, and confidentiality was assured. No personal identifiers or commercially sensitive details are disclosed. Data were stored securely in accordance with university ethical guidelines and GDPR principles.</w:t>
      </w:r>
    </w:p>
    <w:p w14:paraId="29077DFF" w14:textId="77777777" w:rsidR="008D201A" w:rsidRPr="001E0E75" w:rsidRDefault="008D201A" w:rsidP="001E0E75">
      <w:pPr>
        <w:spacing w:line="360" w:lineRule="auto"/>
        <w:rPr>
          <w:rFonts w:ascii="Arial" w:hAnsi="Arial" w:cs="Arial"/>
          <w:b/>
          <w:bCs/>
          <w:sz w:val="32"/>
          <w:szCs w:val="32"/>
        </w:rPr>
      </w:pPr>
      <w:r w:rsidRPr="001E0E75">
        <w:rPr>
          <w:rFonts w:ascii="Arial" w:hAnsi="Arial" w:cs="Arial"/>
          <w:b/>
          <w:bCs/>
          <w:sz w:val="32"/>
          <w:szCs w:val="32"/>
        </w:rPr>
        <w:t>3.8 Reliability, Validity, and Trustworthiness</w:t>
      </w:r>
    </w:p>
    <w:p w14:paraId="1F7978CE"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While qualitative research does not seek statistical generalisation, credibility and trustworthiness were ensured through:</w:t>
      </w:r>
    </w:p>
    <w:p w14:paraId="121C3029" w14:textId="77777777" w:rsidR="008D201A" w:rsidRPr="001E0E75" w:rsidRDefault="008D201A" w:rsidP="001E0E75">
      <w:pPr>
        <w:numPr>
          <w:ilvl w:val="0"/>
          <w:numId w:val="4"/>
        </w:numPr>
        <w:spacing w:line="360" w:lineRule="auto"/>
        <w:rPr>
          <w:rFonts w:ascii="Arial" w:hAnsi="Arial" w:cs="Arial"/>
          <w:sz w:val="32"/>
          <w:szCs w:val="32"/>
        </w:rPr>
      </w:pPr>
      <w:r w:rsidRPr="001E0E75">
        <w:rPr>
          <w:rFonts w:ascii="Arial" w:hAnsi="Arial" w:cs="Arial"/>
          <w:b/>
          <w:bCs/>
          <w:sz w:val="32"/>
          <w:szCs w:val="32"/>
        </w:rPr>
        <w:t>Triangulation</w:t>
      </w:r>
      <w:r w:rsidRPr="001E0E75">
        <w:rPr>
          <w:rFonts w:ascii="Arial" w:hAnsi="Arial" w:cs="Arial"/>
          <w:sz w:val="32"/>
          <w:szCs w:val="32"/>
        </w:rPr>
        <w:t xml:space="preserve"> — combining interview data with secondary industry sources</w:t>
      </w:r>
    </w:p>
    <w:p w14:paraId="5E7046A5" w14:textId="77777777" w:rsidR="008D201A" w:rsidRPr="001E0E75" w:rsidRDefault="008D201A" w:rsidP="001E0E75">
      <w:pPr>
        <w:numPr>
          <w:ilvl w:val="0"/>
          <w:numId w:val="4"/>
        </w:numPr>
        <w:spacing w:line="360" w:lineRule="auto"/>
        <w:rPr>
          <w:rFonts w:ascii="Arial" w:hAnsi="Arial" w:cs="Arial"/>
          <w:sz w:val="32"/>
          <w:szCs w:val="32"/>
        </w:rPr>
      </w:pPr>
      <w:r w:rsidRPr="001E0E75">
        <w:rPr>
          <w:rFonts w:ascii="Arial" w:hAnsi="Arial" w:cs="Arial"/>
          <w:b/>
          <w:bCs/>
          <w:sz w:val="32"/>
          <w:szCs w:val="32"/>
        </w:rPr>
        <w:t>Reflexivity</w:t>
      </w:r>
      <w:r w:rsidRPr="001E0E75">
        <w:rPr>
          <w:rFonts w:ascii="Arial" w:hAnsi="Arial" w:cs="Arial"/>
          <w:sz w:val="32"/>
          <w:szCs w:val="32"/>
        </w:rPr>
        <w:t xml:space="preserve"> — acknowledging the researcher’s placement role and maintaining objectivity</w:t>
      </w:r>
    </w:p>
    <w:p w14:paraId="14531929" w14:textId="77777777" w:rsidR="008D201A" w:rsidRPr="001E0E75" w:rsidRDefault="008D201A" w:rsidP="001E0E75">
      <w:pPr>
        <w:numPr>
          <w:ilvl w:val="0"/>
          <w:numId w:val="4"/>
        </w:numPr>
        <w:spacing w:line="360" w:lineRule="auto"/>
        <w:rPr>
          <w:rFonts w:ascii="Arial" w:hAnsi="Arial" w:cs="Arial"/>
          <w:sz w:val="32"/>
          <w:szCs w:val="32"/>
        </w:rPr>
      </w:pPr>
      <w:r w:rsidRPr="001E0E75">
        <w:rPr>
          <w:rFonts w:ascii="Arial" w:hAnsi="Arial" w:cs="Arial"/>
          <w:b/>
          <w:bCs/>
          <w:sz w:val="32"/>
          <w:szCs w:val="32"/>
        </w:rPr>
        <w:t>Transparency</w:t>
      </w:r>
      <w:r w:rsidRPr="001E0E75">
        <w:rPr>
          <w:rFonts w:ascii="Arial" w:hAnsi="Arial" w:cs="Arial"/>
          <w:sz w:val="32"/>
          <w:szCs w:val="32"/>
        </w:rPr>
        <w:t xml:space="preserve"> — documenting data-collection and analysis procedures clearly</w:t>
      </w:r>
    </w:p>
    <w:p w14:paraId="52F8FEFA"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These measures enhance the dependability and authenticity of findings (Lincoln &amp; Guba, 1985).</w:t>
      </w:r>
    </w:p>
    <w:p w14:paraId="355AA8CB" w14:textId="77777777" w:rsidR="008D201A" w:rsidRPr="001E0E75" w:rsidRDefault="008D201A" w:rsidP="001E0E75">
      <w:pPr>
        <w:spacing w:line="360" w:lineRule="auto"/>
        <w:rPr>
          <w:rFonts w:ascii="Arial" w:hAnsi="Arial" w:cs="Arial"/>
          <w:b/>
          <w:bCs/>
          <w:sz w:val="32"/>
          <w:szCs w:val="32"/>
        </w:rPr>
      </w:pPr>
      <w:r w:rsidRPr="001E0E75">
        <w:rPr>
          <w:rFonts w:ascii="Arial" w:hAnsi="Arial" w:cs="Arial"/>
          <w:b/>
          <w:bCs/>
          <w:sz w:val="32"/>
          <w:szCs w:val="32"/>
        </w:rPr>
        <w:t>3.9 Chapter Summary</w:t>
      </w:r>
    </w:p>
    <w:p w14:paraId="720A43C4"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This methodology chapter has outlined the interpretivist, qualitative case-study approach used to examine the influence of location on hotel sales and M&amp;E performance. Semi-</w:t>
      </w:r>
      <w:r w:rsidRPr="001E0E75">
        <w:rPr>
          <w:rFonts w:ascii="Arial" w:hAnsi="Arial" w:cs="Arial"/>
          <w:sz w:val="32"/>
          <w:szCs w:val="32"/>
        </w:rPr>
        <w:lastRenderedPageBreak/>
        <w:t>structured interviews with hotel staff were supported by secondary data and analysed thematically to ensure depth of understanding. Ethical standards and trustworthiness measures were applied throughout.</w:t>
      </w:r>
    </w:p>
    <w:p w14:paraId="0ED6B61C" w14:textId="77777777" w:rsidR="008D201A" w:rsidRPr="001E0E75" w:rsidRDefault="008D201A" w:rsidP="001E0E75">
      <w:pPr>
        <w:spacing w:line="360" w:lineRule="auto"/>
        <w:rPr>
          <w:rFonts w:ascii="Arial" w:hAnsi="Arial" w:cs="Arial"/>
          <w:sz w:val="32"/>
          <w:szCs w:val="32"/>
        </w:rPr>
      </w:pPr>
      <w:r w:rsidRPr="001E0E75">
        <w:rPr>
          <w:rFonts w:ascii="Arial" w:hAnsi="Arial" w:cs="Arial"/>
          <w:sz w:val="32"/>
          <w:szCs w:val="32"/>
        </w:rPr>
        <w:t>The next chapter presents the findings and analysis derived from the research, linking emergent themes to academic theory and industry literature.</w:t>
      </w:r>
    </w:p>
    <w:p w14:paraId="3EA0B70A" w14:textId="77777777" w:rsidR="00AB5636" w:rsidRPr="001E0E75" w:rsidRDefault="00AB5636" w:rsidP="001E0E75">
      <w:pPr>
        <w:spacing w:line="360" w:lineRule="auto"/>
        <w:rPr>
          <w:rFonts w:ascii="Arial" w:hAnsi="Arial" w:cs="Arial"/>
          <w:sz w:val="32"/>
          <w:szCs w:val="32"/>
        </w:rPr>
      </w:pPr>
    </w:p>
    <w:p w14:paraId="2BF669E1" w14:textId="77777777" w:rsidR="00B4255E" w:rsidRPr="001E0E75" w:rsidRDefault="00B4255E" w:rsidP="001E0E75">
      <w:pPr>
        <w:spacing w:line="360" w:lineRule="auto"/>
        <w:rPr>
          <w:rFonts w:ascii="Arial" w:hAnsi="Arial" w:cs="Arial"/>
          <w:b/>
          <w:bCs/>
          <w:sz w:val="32"/>
          <w:szCs w:val="32"/>
        </w:rPr>
      </w:pPr>
      <w:r w:rsidRPr="001E0E75">
        <w:rPr>
          <w:rFonts w:ascii="Arial" w:hAnsi="Arial" w:cs="Arial"/>
          <w:b/>
          <w:bCs/>
          <w:sz w:val="32"/>
          <w:szCs w:val="32"/>
        </w:rPr>
        <w:t>Chapter 4 – Findings and Discussion</w:t>
      </w:r>
    </w:p>
    <w:p w14:paraId="2748996F" w14:textId="77777777" w:rsidR="00B4255E" w:rsidRPr="001E0E75" w:rsidRDefault="00B4255E" w:rsidP="001E0E75">
      <w:pPr>
        <w:spacing w:line="360" w:lineRule="auto"/>
        <w:rPr>
          <w:rFonts w:ascii="Arial" w:hAnsi="Arial" w:cs="Arial"/>
          <w:b/>
          <w:bCs/>
          <w:sz w:val="32"/>
          <w:szCs w:val="32"/>
        </w:rPr>
      </w:pPr>
      <w:r w:rsidRPr="001E0E75">
        <w:rPr>
          <w:rFonts w:ascii="Arial" w:hAnsi="Arial" w:cs="Arial"/>
          <w:b/>
          <w:bCs/>
          <w:sz w:val="32"/>
          <w:szCs w:val="32"/>
        </w:rPr>
        <w:t>4.1 Introduction</w:t>
      </w:r>
    </w:p>
    <w:p w14:paraId="2732EFBF" w14:textId="77777777" w:rsidR="00B4255E" w:rsidRPr="001E0E75" w:rsidRDefault="00B4255E" w:rsidP="001E0E75">
      <w:pPr>
        <w:spacing w:line="360" w:lineRule="auto"/>
        <w:rPr>
          <w:rFonts w:ascii="Arial" w:hAnsi="Arial" w:cs="Arial"/>
          <w:sz w:val="32"/>
          <w:szCs w:val="32"/>
        </w:rPr>
      </w:pPr>
      <w:r w:rsidRPr="001E0E75">
        <w:rPr>
          <w:rFonts w:ascii="Arial" w:hAnsi="Arial" w:cs="Arial"/>
          <w:sz w:val="32"/>
          <w:szCs w:val="32"/>
        </w:rPr>
        <w:t xml:space="preserve">This chapter presents and analyses the key findings from the research conducted at DoubleTree by Hilton Dartford Bridge, focusing on how the hotel’s location influences sales strategies and the performance of its Meetings and Events (M&amp;E) department. Data were primarily collected through semi-structured interviews with three staff members – the M&amp;E Sales Manager, Events Coordinator, and Front Office Supervisor – and supported by secondary research from Hilton corporate publications and industry reports. Thematic analysis (Braun and Clarke, 2006) revealed four dominant themes: (1) location and market positioning; (2) sales strategies and value perception; (3) hybrid meetings and technological adaptation; and (4) relationship marketing and customer retention. These themes </w:t>
      </w:r>
      <w:r w:rsidRPr="001E0E75">
        <w:rPr>
          <w:rFonts w:ascii="Arial" w:hAnsi="Arial" w:cs="Arial"/>
          <w:sz w:val="32"/>
          <w:szCs w:val="32"/>
        </w:rPr>
        <w:lastRenderedPageBreak/>
        <w:t>are discussed in relation to academic literature and strategic implications for the property.</w:t>
      </w:r>
    </w:p>
    <w:p w14:paraId="66668C53" w14:textId="77777777" w:rsidR="008D201A" w:rsidRPr="001E0E75" w:rsidRDefault="008D201A" w:rsidP="001E0E75">
      <w:pPr>
        <w:spacing w:line="360" w:lineRule="auto"/>
        <w:rPr>
          <w:rFonts w:ascii="Arial" w:hAnsi="Arial" w:cs="Arial"/>
          <w:sz w:val="32"/>
          <w:szCs w:val="32"/>
        </w:rPr>
      </w:pPr>
    </w:p>
    <w:p w14:paraId="18E888D3" w14:textId="77777777" w:rsidR="00B4255E" w:rsidRPr="00A17B0B" w:rsidRDefault="00B4255E" w:rsidP="001E0E75">
      <w:pPr>
        <w:spacing w:line="360" w:lineRule="auto"/>
        <w:rPr>
          <w:rFonts w:ascii="Arial" w:hAnsi="Arial" w:cs="Arial"/>
          <w:b/>
          <w:bCs/>
          <w:sz w:val="32"/>
          <w:szCs w:val="32"/>
        </w:rPr>
      </w:pPr>
      <w:r w:rsidRPr="00A17B0B">
        <w:rPr>
          <w:rFonts w:ascii="Arial" w:hAnsi="Arial" w:cs="Arial"/>
          <w:b/>
          <w:bCs/>
          <w:sz w:val="32"/>
          <w:szCs w:val="32"/>
        </w:rPr>
        <w:t>4.2 Emerging Themes</w:t>
      </w:r>
    </w:p>
    <w:p w14:paraId="2BD5C957" w14:textId="77777777" w:rsidR="00B4255E" w:rsidRPr="00A17B0B" w:rsidRDefault="00B4255E" w:rsidP="001E0E75">
      <w:pPr>
        <w:spacing w:line="360" w:lineRule="auto"/>
        <w:rPr>
          <w:rFonts w:ascii="Arial" w:hAnsi="Arial" w:cs="Arial"/>
          <w:b/>
          <w:bCs/>
          <w:sz w:val="32"/>
          <w:szCs w:val="32"/>
        </w:rPr>
      </w:pPr>
      <w:r w:rsidRPr="00A17B0B">
        <w:rPr>
          <w:rFonts w:ascii="Arial" w:hAnsi="Arial" w:cs="Arial"/>
          <w:b/>
          <w:bCs/>
          <w:sz w:val="32"/>
          <w:szCs w:val="32"/>
        </w:rPr>
        <w:t>Theme 1: Location and Market Positioning</w:t>
      </w:r>
    </w:p>
    <w:p w14:paraId="4399DB68" w14:textId="77777777" w:rsidR="00B4255E" w:rsidRPr="001E0E75" w:rsidRDefault="00B4255E" w:rsidP="001E0E75">
      <w:pPr>
        <w:spacing w:line="360" w:lineRule="auto"/>
        <w:rPr>
          <w:rFonts w:ascii="Arial" w:hAnsi="Arial" w:cs="Arial"/>
          <w:sz w:val="32"/>
          <w:szCs w:val="32"/>
        </w:rPr>
      </w:pPr>
    </w:p>
    <w:p w14:paraId="00830598" w14:textId="77777777" w:rsidR="00B4255E" w:rsidRPr="001E0E75" w:rsidRDefault="00B4255E" w:rsidP="001E0E75">
      <w:pPr>
        <w:spacing w:line="360" w:lineRule="auto"/>
        <w:rPr>
          <w:rFonts w:ascii="Arial" w:hAnsi="Arial" w:cs="Arial"/>
          <w:sz w:val="32"/>
          <w:szCs w:val="32"/>
        </w:rPr>
      </w:pPr>
      <w:r w:rsidRPr="001E0E75">
        <w:rPr>
          <w:rFonts w:ascii="Arial" w:hAnsi="Arial" w:cs="Arial"/>
          <w:sz w:val="32"/>
          <w:szCs w:val="32"/>
        </w:rPr>
        <w:t>All participants recognised that the hotel’s location provides both strategic advantages and operational challenges. Situated near the M25 and the Dartford Crossing, the DoubleTree by Hilton Dartford Bridge benefits from convenient road access to London, Kent, and Essex, making it an accessible option for corporate clients seeking proximity without inner-city costs. The M&amp;E Sales Manager noted that “location is our biggest selling point when targeting companies along the M25 corridor – it’s close enough to London but offers parking, space, and value that city hotels cannot.”</w:t>
      </w:r>
    </w:p>
    <w:p w14:paraId="3D7A3F68" w14:textId="77777777" w:rsidR="00B4255E" w:rsidRPr="001E0E75" w:rsidRDefault="00B4255E" w:rsidP="001E0E75">
      <w:pPr>
        <w:spacing w:line="360" w:lineRule="auto"/>
        <w:rPr>
          <w:rFonts w:ascii="Arial" w:hAnsi="Arial" w:cs="Arial"/>
          <w:sz w:val="32"/>
          <w:szCs w:val="32"/>
        </w:rPr>
      </w:pPr>
    </w:p>
    <w:p w14:paraId="15DF528D" w14:textId="77777777" w:rsidR="00B4255E" w:rsidRPr="001E0E75" w:rsidRDefault="00B4255E" w:rsidP="001E0E75">
      <w:pPr>
        <w:spacing w:line="360" w:lineRule="auto"/>
        <w:rPr>
          <w:rFonts w:ascii="Arial" w:hAnsi="Arial" w:cs="Arial"/>
          <w:sz w:val="32"/>
          <w:szCs w:val="32"/>
        </w:rPr>
      </w:pPr>
      <w:r w:rsidRPr="001E0E75">
        <w:rPr>
          <w:rFonts w:ascii="Arial" w:hAnsi="Arial" w:cs="Arial"/>
          <w:sz w:val="32"/>
          <w:szCs w:val="32"/>
        </w:rPr>
        <w:t xml:space="preserve">This aligns with research by Law, Li and Fong (2021), which emphasises that hotels located on urban peripheries often attract price-sensitive business clients seeking convenience and affordability. However, while accessibility supports mid-scale event bookings, the hotel struggles with limited public transport connections and reduced visibility compared with </w:t>
      </w:r>
      <w:r w:rsidRPr="001E0E75">
        <w:rPr>
          <w:rFonts w:ascii="Arial" w:hAnsi="Arial" w:cs="Arial"/>
          <w:sz w:val="32"/>
          <w:szCs w:val="32"/>
        </w:rPr>
        <w:lastRenderedPageBreak/>
        <w:t>central London competitors. This limitation is consistent with the findings of Li and Huang (2021), who highlight that peripheral hotels frequently face perception barriers and reduced international reach.</w:t>
      </w:r>
    </w:p>
    <w:p w14:paraId="336E9B07" w14:textId="77777777" w:rsidR="00B4255E" w:rsidRPr="001E0E75" w:rsidRDefault="00B4255E" w:rsidP="001E0E75">
      <w:pPr>
        <w:spacing w:line="360" w:lineRule="auto"/>
        <w:rPr>
          <w:rFonts w:ascii="Arial" w:hAnsi="Arial" w:cs="Arial"/>
          <w:sz w:val="32"/>
          <w:szCs w:val="32"/>
        </w:rPr>
      </w:pPr>
    </w:p>
    <w:p w14:paraId="7AFFD507" w14:textId="353E310A" w:rsidR="00B4255E" w:rsidRPr="001E0E75" w:rsidRDefault="00B4255E" w:rsidP="001E0E75">
      <w:pPr>
        <w:spacing w:line="360" w:lineRule="auto"/>
        <w:rPr>
          <w:rFonts w:ascii="Arial" w:hAnsi="Arial" w:cs="Arial"/>
          <w:sz w:val="32"/>
          <w:szCs w:val="32"/>
        </w:rPr>
      </w:pPr>
      <w:r w:rsidRPr="001E0E75">
        <w:rPr>
          <w:rFonts w:ascii="Arial" w:hAnsi="Arial" w:cs="Arial"/>
          <w:sz w:val="32"/>
          <w:szCs w:val="32"/>
        </w:rPr>
        <w:t>The hotel’s positioning strategy, therefore, focuses on promoting value and flexibility rather than prestige. The property’s marketing materials highlight “easy motorway access,” “free parking,” and “affordable event packages,” consistent with regional competitiveness frameworks identified by Patiar and Wang (2021). Overall, location remains a dual-edged factor—supporting accessibility yet constraining prestige-driven demand, a balance that requires ongoing strategic management.</w:t>
      </w:r>
    </w:p>
    <w:p w14:paraId="60682C95" w14:textId="77777777" w:rsidR="00B4255E" w:rsidRPr="001E0E75" w:rsidRDefault="00B4255E" w:rsidP="001E0E75">
      <w:pPr>
        <w:spacing w:line="360" w:lineRule="auto"/>
        <w:rPr>
          <w:rFonts w:ascii="Arial" w:hAnsi="Arial" w:cs="Arial"/>
          <w:b/>
          <w:bCs/>
          <w:sz w:val="32"/>
          <w:szCs w:val="32"/>
        </w:rPr>
      </w:pPr>
      <w:r w:rsidRPr="001E0E75">
        <w:rPr>
          <w:rFonts w:ascii="Arial" w:hAnsi="Arial" w:cs="Arial"/>
          <w:b/>
          <w:bCs/>
          <w:sz w:val="32"/>
          <w:szCs w:val="32"/>
        </w:rPr>
        <w:t>Theme 2: Sales Strategies and Value Perception</w:t>
      </w:r>
    </w:p>
    <w:p w14:paraId="17834B50" w14:textId="77777777" w:rsidR="00B4255E" w:rsidRPr="001E0E75" w:rsidRDefault="00B4255E" w:rsidP="001E0E75">
      <w:pPr>
        <w:spacing w:line="360" w:lineRule="auto"/>
        <w:rPr>
          <w:rFonts w:ascii="Arial" w:hAnsi="Arial" w:cs="Arial"/>
          <w:sz w:val="32"/>
          <w:szCs w:val="32"/>
        </w:rPr>
      </w:pPr>
      <w:r w:rsidRPr="001E0E75">
        <w:rPr>
          <w:rFonts w:ascii="Arial" w:hAnsi="Arial" w:cs="Arial"/>
          <w:sz w:val="32"/>
          <w:szCs w:val="32"/>
        </w:rPr>
        <w:t>Participants identified that the hotel’s sales strategy has evolved significantly since the COVID-19 pandemic, shifting towards value-added propositions and regional partnerships. The M&amp;E Sales Manager described a “need to sell experiences rather than just rooms,” focusing on bundled event packages that combine catering, accommodation, and technology support. This reflects Ottenbacher, Gnoth and Jones (2018), who argue that aligning sales and marketing creates a more cohesive value narrative in competitive markets.</w:t>
      </w:r>
    </w:p>
    <w:p w14:paraId="22ED0738" w14:textId="77777777" w:rsidR="00B4255E" w:rsidRPr="001E0E75" w:rsidRDefault="00B4255E" w:rsidP="001E0E75">
      <w:pPr>
        <w:spacing w:line="360" w:lineRule="auto"/>
        <w:rPr>
          <w:rFonts w:ascii="Arial" w:hAnsi="Arial" w:cs="Arial"/>
          <w:sz w:val="32"/>
          <w:szCs w:val="32"/>
        </w:rPr>
      </w:pPr>
      <w:r w:rsidRPr="001E0E75">
        <w:rPr>
          <w:rFonts w:ascii="Arial" w:hAnsi="Arial" w:cs="Arial"/>
          <w:sz w:val="32"/>
          <w:szCs w:val="32"/>
        </w:rPr>
        <w:lastRenderedPageBreak/>
        <w:t xml:space="preserve">One key element of this strategy is </w:t>
      </w:r>
      <w:r w:rsidRPr="001E0E75">
        <w:rPr>
          <w:rFonts w:ascii="Arial" w:hAnsi="Arial" w:cs="Arial"/>
          <w:b/>
          <w:bCs/>
          <w:sz w:val="32"/>
          <w:szCs w:val="32"/>
        </w:rPr>
        <w:t>dynamic pricing</w:t>
      </w:r>
      <w:r w:rsidRPr="001E0E75">
        <w:rPr>
          <w:rFonts w:ascii="Arial" w:hAnsi="Arial" w:cs="Arial"/>
          <w:sz w:val="32"/>
          <w:szCs w:val="32"/>
        </w:rPr>
        <w:t xml:space="preserve"> – adjusting rates based on demand and lead time. According to the Events Coordinator, “our biggest advantage is flexibility – we can tailor rates or add services depending on the client’s needs.” This strategy supports findings by Law et al. (2020), which highlight the growing importance of adaptive pricing in regional hospitality markets.</w:t>
      </w:r>
    </w:p>
    <w:p w14:paraId="04235DEB" w14:textId="105936D5" w:rsidR="00BD0A34" w:rsidRPr="001E0E75" w:rsidRDefault="00BD0A34" w:rsidP="001E0E75">
      <w:pPr>
        <w:spacing w:line="360" w:lineRule="auto"/>
        <w:rPr>
          <w:rFonts w:ascii="Arial" w:hAnsi="Arial" w:cs="Arial"/>
          <w:sz w:val="32"/>
          <w:szCs w:val="32"/>
        </w:rPr>
      </w:pPr>
      <w:r w:rsidRPr="001E0E75">
        <w:rPr>
          <w:rFonts w:ascii="Arial" w:hAnsi="Arial" w:cs="Arial"/>
          <w:sz w:val="32"/>
          <w:szCs w:val="32"/>
        </w:rPr>
        <w:t>These outcomes mirror international evidence that peripheral hotels increasingly outperform central properties when they leverage accessibility and cost advantages (Rogerson and Lisa, 2020; Law, Li and Fong, 2021).</w:t>
      </w:r>
    </w:p>
    <w:p w14:paraId="7A3AA9EF" w14:textId="77777777" w:rsidR="00B4255E" w:rsidRPr="001E0E75" w:rsidRDefault="00B4255E" w:rsidP="001E0E75">
      <w:pPr>
        <w:spacing w:line="360" w:lineRule="auto"/>
        <w:rPr>
          <w:rFonts w:ascii="Arial" w:hAnsi="Arial" w:cs="Arial"/>
          <w:sz w:val="32"/>
          <w:szCs w:val="32"/>
        </w:rPr>
      </w:pPr>
      <w:r w:rsidRPr="001E0E75">
        <w:rPr>
          <w:rFonts w:ascii="Arial" w:hAnsi="Arial" w:cs="Arial"/>
          <w:sz w:val="32"/>
          <w:szCs w:val="32"/>
        </w:rPr>
        <w:t xml:space="preserve">Moreover, the sales team leverages Hilton’s </w:t>
      </w:r>
      <w:r w:rsidRPr="001E0E75">
        <w:rPr>
          <w:rFonts w:ascii="Arial" w:hAnsi="Arial" w:cs="Arial"/>
          <w:b/>
          <w:bCs/>
          <w:sz w:val="32"/>
          <w:szCs w:val="32"/>
        </w:rPr>
        <w:t>Customer Relationship Management (CRM)</w:t>
      </w:r>
      <w:r w:rsidRPr="001E0E75">
        <w:rPr>
          <w:rFonts w:ascii="Arial" w:hAnsi="Arial" w:cs="Arial"/>
          <w:sz w:val="32"/>
          <w:szCs w:val="32"/>
        </w:rPr>
        <w:t xml:space="preserve"> system to target repeat clients and monitor booking patterns. This use of data aligns with Tonidandel, King and Cortina’s (2018) concept of big data in strategic decision-making, demonstrating how even mid-scale hotels can use analytics to enhance conversion and loyalty.</w:t>
      </w:r>
    </w:p>
    <w:p w14:paraId="379637AD" w14:textId="77777777" w:rsidR="00B4255E" w:rsidRPr="001E0E75" w:rsidRDefault="00B4255E" w:rsidP="001E0E75">
      <w:pPr>
        <w:spacing w:line="360" w:lineRule="auto"/>
        <w:rPr>
          <w:rFonts w:ascii="Arial" w:hAnsi="Arial" w:cs="Arial"/>
          <w:sz w:val="32"/>
          <w:szCs w:val="32"/>
        </w:rPr>
      </w:pPr>
      <w:r w:rsidRPr="001E0E75">
        <w:rPr>
          <w:rFonts w:ascii="Arial" w:hAnsi="Arial" w:cs="Arial"/>
          <w:sz w:val="32"/>
          <w:szCs w:val="32"/>
        </w:rPr>
        <w:t xml:space="preserve">However, participants also emphasised that local competition – particularly newer conference centres and boutique hotels – pressures the property to maintain competitive pricing while preserving Hilton’s quality standards. This tension between brand integrity and regional affordability is a recurring challenge, echoing Rogerson and Lisa’s (2020) discussion of </w:t>
      </w:r>
      <w:r w:rsidRPr="001E0E75">
        <w:rPr>
          <w:rFonts w:ascii="Arial" w:hAnsi="Arial" w:cs="Arial"/>
          <w:sz w:val="32"/>
          <w:szCs w:val="32"/>
        </w:rPr>
        <w:lastRenderedPageBreak/>
        <w:t>peripheral business hotels balancing global branding with local economics.</w:t>
      </w:r>
    </w:p>
    <w:p w14:paraId="533FD329" w14:textId="77777777" w:rsidR="00B4255E" w:rsidRPr="001E0E75" w:rsidRDefault="00B4255E" w:rsidP="001E0E75">
      <w:pPr>
        <w:spacing w:line="360" w:lineRule="auto"/>
        <w:rPr>
          <w:rFonts w:ascii="Arial" w:hAnsi="Arial" w:cs="Arial"/>
          <w:sz w:val="32"/>
          <w:szCs w:val="32"/>
        </w:rPr>
      </w:pPr>
    </w:p>
    <w:p w14:paraId="7D92A2EF" w14:textId="77777777" w:rsidR="00B4255E" w:rsidRPr="001E0E75" w:rsidRDefault="00B4255E" w:rsidP="001E0E75">
      <w:pPr>
        <w:spacing w:line="360" w:lineRule="auto"/>
        <w:rPr>
          <w:rFonts w:ascii="Arial" w:hAnsi="Arial" w:cs="Arial"/>
          <w:b/>
          <w:bCs/>
          <w:sz w:val="32"/>
          <w:szCs w:val="32"/>
        </w:rPr>
      </w:pPr>
      <w:r w:rsidRPr="001E0E75">
        <w:rPr>
          <w:rFonts w:ascii="Arial" w:hAnsi="Arial" w:cs="Arial"/>
          <w:b/>
          <w:bCs/>
          <w:sz w:val="32"/>
          <w:szCs w:val="32"/>
        </w:rPr>
        <w:t>Theme 3: Hybrid Meetings and Technological Adaptation</w:t>
      </w:r>
    </w:p>
    <w:p w14:paraId="65DB4345" w14:textId="2F9D43BC" w:rsidR="00BD0A34" w:rsidRPr="001E0E75" w:rsidRDefault="00BD0A34" w:rsidP="001E0E75">
      <w:pPr>
        <w:spacing w:line="360" w:lineRule="auto"/>
        <w:rPr>
          <w:rFonts w:ascii="Arial" w:hAnsi="Arial" w:cs="Arial"/>
          <w:sz w:val="32"/>
          <w:szCs w:val="32"/>
        </w:rPr>
      </w:pPr>
      <w:r w:rsidRPr="001E0E75">
        <w:rPr>
          <w:rFonts w:ascii="Arial" w:hAnsi="Arial" w:cs="Arial"/>
          <w:sz w:val="32"/>
          <w:szCs w:val="32"/>
        </w:rPr>
        <w:t>The integration of automation and digital platforms is further validated by emerging research on smart-service delivery and AI-assisted event management (Ivanov and Webster, 2021; Tussyadiah, 2020).</w:t>
      </w:r>
    </w:p>
    <w:p w14:paraId="7D8199CA" w14:textId="77777777" w:rsidR="00B4255E" w:rsidRPr="001E0E75" w:rsidRDefault="00B4255E" w:rsidP="001E0E75">
      <w:pPr>
        <w:spacing w:line="360" w:lineRule="auto"/>
        <w:rPr>
          <w:rFonts w:ascii="Arial" w:hAnsi="Arial" w:cs="Arial"/>
          <w:sz w:val="32"/>
          <w:szCs w:val="32"/>
        </w:rPr>
      </w:pPr>
      <w:r w:rsidRPr="001E0E75">
        <w:rPr>
          <w:rFonts w:ascii="Arial" w:hAnsi="Arial" w:cs="Arial"/>
          <w:sz w:val="32"/>
          <w:szCs w:val="32"/>
        </w:rPr>
        <w:t>The pandemic accelerated technological innovation within the M&amp;E sector, compelling regional hotels to adopt hybrid meeting formats that combine physical and virtual attendance. DoubleTree Dartford Bridge invested in upgraded audio-visual equipment and improved Wi-Fi connectivity, positioning itself as a flexible venue for hybrid events. The Events Coordinator stated, “Technology has become our biggest differentiator – many clients now ask about streaming or recording options before anything else.”</w:t>
      </w:r>
    </w:p>
    <w:p w14:paraId="6FF5DB08" w14:textId="77777777" w:rsidR="00B4255E" w:rsidRPr="001E0E75" w:rsidRDefault="00B4255E" w:rsidP="001E0E75">
      <w:pPr>
        <w:spacing w:line="360" w:lineRule="auto"/>
        <w:rPr>
          <w:rFonts w:ascii="Arial" w:hAnsi="Arial" w:cs="Arial"/>
          <w:sz w:val="32"/>
          <w:szCs w:val="32"/>
        </w:rPr>
      </w:pPr>
      <w:r w:rsidRPr="001E0E75">
        <w:rPr>
          <w:rFonts w:ascii="Arial" w:hAnsi="Arial" w:cs="Arial"/>
          <w:sz w:val="32"/>
          <w:szCs w:val="32"/>
        </w:rPr>
        <w:t xml:space="preserve">This trend reflects global developments in the meetings industry identified by Jones, Hillier and Comfort (2023) and Davidson and Rogers (2022), who note that hybrid capabilities are now a basic expectation among corporate clients. The investment also demonstrates how peripheral hotels can leverage technology to overcome location disadvantages, a concept supported by Camilleri (2023), who found that digital </w:t>
      </w:r>
      <w:r w:rsidRPr="001E0E75">
        <w:rPr>
          <w:rFonts w:ascii="Arial" w:hAnsi="Arial" w:cs="Arial"/>
          <w:sz w:val="32"/>
          <w:szCs w:val="32"/>
        </w:rPr>
        <w:lastRenderedPageBreak/>
        <w:t>engagement extends a hotel’s market reach beyond geographic limits.</w:t>
      </w:r>
    </w:p>
    <w:p w14:paraId="45E0BD77" w14:textId="77777777" w:rsidR="00B4255E" w:rsidRPr="001E0E75" w:rsidRDefault="00B4255E" w:rsidP="001E0E75">
      <w:pPr>
        <w:spacing w:line="360" w:lineRule="auto"/>
        <w:rPr>
          <w:rFonts w:ascii="Arial" w:hAnsi="Arial" w:cs="Arial"/>
          <w:sz w:val="32"/>
          <w:szCs w:val="32"/>
        </w:rPr>
      </w:pPr>
      <w:r w:rsidRPr="001E0E75">
        <w:rPr>
          <w:rFonts w:ascii="Arial" w:hAnsi="Arial" w:cs="Arial"/>
          <w:sz w:val="32"/>
          <w:szCs w:val="32"/>
        </w:rPr>
        <w:t>However, technological adaptation also entails increased operational complexity. Staff training, maintenance costs, and the need for technical support during events add layers of responsibility to the M&amp;E team. The Front Office Supervisor acknowledged, “We’re still learning – sometimes clients expect broadcast-quality production, but we’re a hotel, not a TV studio.” This highlights the need for realistic client communication and continuous staff development.</w:t>
      </w:r>
    </w:p>
    <w:p w14:paraId="59D145F0" w14:textId="77777777" w:rsidR="00B4255E" w:rsidRPr="001E0E75" w:rsidRDefault="00B4255E" w:rsidP="001E0E75">
      <w:pPr>
        <w:spacing w:line="360" w:lineRule="auto"/>
        <w:rPr>
          <w:rFonts w:ascii="Arial" w:hAnsi="Arial" w:cs="Arial"/>
          <w:sz w:val="32"/>
          <w:szCs w:val="32"/>
        </w:rPr>
      </w:pPr>
      <w:r w:rsidRPr="001E0E75">
        <w:rPr>
          <w:rFonts w:ascii="Arial" w:hAnsi="Arial" w:cs="Arial"/>
          <w:sz w:val="32"/>
          <w:szCs w:val="32"/>
        </w:rPr>
        <w:t>Overall, hybrid meeting infrastructure has become a strategic equaliser for DoubleTree Dartford Bridge. By promoting itself as a “connected regional venue,” the hotel capitalises on both accessibility and digital capability, aligning with contemporary trends in event management (Marques and Pinho, 2022).</w:t>
      </w:r>
    </w:p>
    <w:p w14:paraId="7246E8C3" w14:textId="7EEFF1A0" w:rsidR="00B4255E" w:rsidRPr="001E0E75" w:rsidRDefault="00B4255E" w:rsidP="001E0E75">
      <w:pPr>
        <w:spacing w:line="360" w:lineRule="auto"/>
        <w:rPr>
          <w:rFonts w:ascii="Arial" w:hAnsi="Arial" w:cs="Arial"/>
          <w:sz w:val="32"/>
          <w:szCs w:val="32"/>
        </w:rPr>
      </w:pPr>
    </w:p>
    <w:p w14:paraId="29F65A41" w14:textId="77777777" w:rsidR="00B4255E" w:rsidRPr="001E0E75" w:rsidRDefault="00B4255E" w:rsidP="001E0E75">
      <w:pPr>
        <w:spacing w:line="360" w:lineRule="auto"/>
        <w:rPr>
          <w:rFonts w:ascii="Arial" w:hAnsi="Arial" w:cs="Arial"/>
          <w:b/>
          <w:bCs/>
          <w:sz w:val="32"/>
          <w:szCs w:val="32"/>
        </w:rPr>
      </w:pPr>
      <w:r w:rsidRPr="001E0E75">
        <w:rPr>
          <w:rFonts w:ascii="Arial" w:hAnsi="Arial" w:cs="Arial"/>
          <w:b/>
          <w:bCs/>
          <w:sz w:val="32"/>
          <w:szCs w:val="32"/>
        </w:rPr>
        <w:t>Theme 4: Relationship Marketing and Customer Retention</w:t>
      </w:r>
    </w:p>
    <w:p w14:paraId="6AF1385E" w14:textId="77777777" w:rsidR="00B4255E" w:rsidRPr="001E0E75" w:rsidRDefault="00B4255E" w:rsidP="001E0E75">
      <w:pPr>
        <w:spacing w:line="360" w:lineRule="auto"/>
        <w:rPr>
          <w:rFonts w:ascii="Arial" w:hAnsi="Arial" w:cs="Arial"/>
          <w:sz w:val="32"/>
          <w:szCs w:val="32"/>
        </w:rPr>
      </w:pPr>
      <w:r w:rsidRPr="001E0E75">
        <w:rPr>
          <w:rFonts w:ascii="Arial" w:hAnsi="Arial" w:cs="Arial"/>
          <w:sz w:val="32"/>
          <w:szCs w:val="32"/>
        </w:rPr>
        <w:t xml:space="preserve">Relationship marketing emerged as a central theme in sustaining the M&amp;E department’s performance. Repeat corporate clients and regional associations account for a substantial share of event revenue, and the sales team prioritises maintaining these partnerships through consistent communication and personalised service. The Sales Manager </w:t>
      </w:r>
      <w:r w:rsidRPr="001E0E75">
        <w:rPr>
          <w:rFonts w:ascii="Arial" w:hAnsi="Arial" w:cs="Arial"/>
          <w:sz w:val="32"/>
          <w:szCs w:val="32"/>
        </w:rPr>
        <w:lastRenderedPageBreak/>
        <w:t>noted that “our biggest wins come from long-term relationships, not one-off events.”</w:t>
      </w:r>
    </w:p>
    <w:p w14:paraId="430C564D" w14:textId="77777777" w:rsidR="00B4255E" w:rsidRPr="001E0E75" w:rsidRDefault="00B4255E" w:rsidP="001E0E75">
      <w:pPr>
        <w:spacing w:line="360" w:lineRule="auto"/>
        <w:rPr>
          <w:rFonts w:ascii="Arial" w:hAnsi="Arial" w:cs="Arial"/>
          <w:sz w:val="32"/>
          <w:szCs w:val="32"/>
        </w:rPr>
      </w:pPr>
      <w:r w:rsidRPr="001E0E75">
        <w:rPr>
          <w:rFonts w:ascii="Arial" w:hAnsi="Arial" w:cs="Arial"/>
          <w:sz w:val="32"/>
          <w:szCs w:val="32"/>
        </w:rPr>
        <w:t>This approach is consistent with Rahimi and Kozak (2017), who argue that Customer Relationship Management (CRM) systems are vital in maintaining loyalty and trust in service industries. Furthermore, Ji, Shin and Lee (2024) found that repeat clients often act as informal brand ambassadors, encouraging word-of-mouth referrals—a pattern mirrored in the hotel’s experience with local business networks.</w:t>
      </w:r>
    </w:p>
    <w:p w14:paraId="4B578E08" w14:textId="77777777" w:rsidR="00B4255E" w:rsidRPr="001E0E75" w:rsidRDefault="00B4255E" w:rsidP="001E0E75">
      <w:pPr>
        <w:spacing w:line="360" w:lineRule="auto"/>
        <w:rPr>
          <w:rFonts w:ascii="Arial" w:hAnsi="Arial" w:cs="Arial"/>
          <w:sz w:val="32"/>
          <w:szCs w:val="32"/>
        </w:rPr>
      </w:pPr>
      <w:r w:rsidRPr="001E0E75">
        <w:rPr>
          <w:rFonts w:ascii="Arial" w:hAnsi="Arial" w:cs="Arial"/>
          <w:sz w:val="32"/>
          <w:szCs w:val="32"/>
        </w:rPr>
        <w:t xml:space="preserve">The interviewees also discussed the importance of </w:t>
      </w:r>
      <w:r w:rsidRPr="001E0E75">
        <w:rPr>
          <w:rFonts w:ascii="Arial" w:hAnsi="Arial" w:cs="Arial"/>
          <w:i/>
          <w:iCs/>
          <w:sz w:val="32"/>
          <w:szCs w:val="32"/>
        </w:rPr>
        <w:t>personal connection</w:t>
      </w:r>
      <w:r w:rsidRPr="001E0E75">
        <w:rPr>
          <w:rFonts w:ascii="Arial" w:hAnsi="Arial" w:cs="Arial"/>
          <w:sz w:val="32"/>
          <w:szCs w:val="32"/>
        </w:rPr>
        <w:t xml:space="preserve"> in driving repeat business. Post-event follow-ups, thank-you gestures, and pre-booking offers foster a sense of exclusivity and appreciation. This relational approach resonates with Kenesei and Stier (2017), who suggest that cultural and interpersonal sensitivity significantly influence client satisfaction in hospitality contexts.</w:t>
      </w:r>
    </w:p>
    <w:p w14:paraId="78F09C60" w14:textId="77777777" w:rsidR="00B4255E" w:rsidRPr="001E0E75" w:rsidRDefault="00B4255E" w:rsidP="001E0E75">
      <w:pPr>
        <w:spacing w:line="360" w:lineRule="auto"/>
        <w:rPr>
          <w:rFonts w:ascii="Arial" w:hAnsi="Arial" w:cs="Arial"/>
          <w:sz w:val="32"/>
          <w:szCs w:val="32"/>
        </w:rPr>
      </w:pPr>
      <w:r w:rsidRPr="001E0E75">
        <w:rPr>
          <w:rFonts w:ascii="Arial" w:hAnsi="Arial" w:cs="Arial"/>
          <w:sz w:val="32"/>
          <w:szCs w:val="32"/>
        </w:rPr>
        <w:t>Nevertheless, staff acknowledged challenges in balancing personalisation with workload. The Events Coordinator observed that “when we’re short-staffed, it’s easy to slip back into transactional service.” This underscores the operational pressures that can undermine long-term relationship building, particularly in regional hotels where resources are limited (Baum, 2017).</w:t>
      </w:r>
    </w:p>
    <w:p w14:paraId="2792F53E" w14:textId="77777777" w:rsidR="00B4255E" w:rsidRPr="001E0E75" w:rsidRDefault="00B4255E" w:rsidP="001E0E75">
      <w:pPr>
        <w:spacing w:line="360" w:lineRule="auto"/>
        <w:rPr>
          <w:rFonts w:ascii="Arial" w:hAnsi="Arial" w:cs="Arial"/>
          <w:sz w:val="32"/>
          <w:szCs w:val="32"/>
        </w:rPr>
      </w:pPr>
    </w:p>
    <w:p w14:paraId="45A2990A" w14:textId="77777777" w:rsidR="00B4255E" w:rsidRPr="001E0E75" w:rsidRDefault="00B4255E" w:rsidP="001E0E75">
      <w:pPr>
        <w:spacing w:line="360" w:lineRule="auto"/>
        <w:rPr>
          <w:rFonts w:ascii="Arial" w:hAnsi="Arial" w:cs="Arial"/>
          <w:b/>
          <w:bCs/>
          <w:sz w:val="32"/>
          <w:szCs w:val="32"/>
        </w:rPr>
      </w:pPr>
      <w:r w:rsidRPr="001E0E75">
        <w:rPr>
          <w:rFonts w:ascii="Arial" w:hAnsi="Arial" w:cs="Arial"/>
          <w:b/>
          <w:bCs/>
          <w:sz w:val="32"/>
          <w:szCs w:val="32"/>
        </w:rPr>
        <w:lastRenderedPageBreak/>
        <w:t>4.3 Cross-Theme Analysis</w:t>
      </w:r>
    </w:p>
    <w:p w14:paraId="09D5EBDA" w14:textId="77777777" w:rsidR="00B4255E" w:rsidRPr="001E0E75" w:rsidRDefault="00B4255E" w:rsidP="001E0E75">
      <w:pPr>
        <w:spacing w:line="360" w:lineRule="auto"/>
        <w:rPr>
          <w:rFonts w:ascii="Arial" w:hAnsi="Arial" w:cs="Arial"/>
          <w:sz w:val="32"/>
          <w:szCs w:val="32"/>
        </w:rPr>
      </w:pPr>
      <w:r w:rsidRPr="001E0E75">
        <w:rPr>
          <w:rFonts w:ascii="Arial" w:hAnsi="Arial" w:cs="Arial"/>
          <w:sz w:val="32"/>
          <w:szCs w:val="32"/>
        </w:rPr>
        <w:t xml:space="preserve">The four themes collectively reveal that </w:t>
      </w:r>
      <w:r w:rsidRPr="001E0E75">
        <w:rPr>
          <w:rFonts w:ascii="Arial" w:hAnsi="Arial" w:cs="Arial"/>
          <w:b/>
          <w:bCs/>
          <w:sz w:val="32"/>
          <w:szCs w:val="32"/>
        </w:rPr>
        <w:t>location acts as both a constraint and a catalyst</w:t>
      </w:r>
      <w:r w:rsidRPr="001E0E75">
        <w:rPr>
          <w:rFonts w:ascii="Arial" w:hAnsi="Arial" w:cs="Arial"/>
          <w:sz w:val="32"/>
          <w:szCs w:val="32"/>
        </w:rPr>
        <w:t xml:space="preserve"> for strategic adaptation. The hotel’s accessibility enables competitive value offerings, while its lack of prestige drives innovation in pricing, technology, and customer relationships. This dynamic supports Stipanović and Rudan’s (2014) view that strategic adaptability is a key determinant of tourism competitiveness.</w:t>
      </w:r>
    </w:p>
    <w:p w14:paraId="6EC5CE27" w14:textId="77777777" w:rsidR="00B4255E" w:rsidRPr="001E0E75" w:rsidRDefault="00B4255E" w:rsidP="001E0E75">
      <w:pPr>
        <w:spacing w:line="360" w:lineRule="auto"/>
        <w:rPr>
          <w:rFonts w:ascii="Arial" w:hAnsi="Arial" w:cs="Arial"/>
          <w:sz w:val="32"/>
          <w:szCs w:val="32"/>
        </w:rPr>
      </w:pPr>
      <w:r w:rsidRPr="001E0E75">
        <w:rPr>
          <w:rFonts w:ascii="Arial" w:hAnsi="Arial" w:cs="Arial"/>
          <w:sz w:val="32"/>
          <w:szCs w:val="32"/>
        </w:rPr>
        <w:t xml:space="preserve">A recurring pattern across themes is the </w:t>
      </w:r>
      <w:r w:rsidRPr="001E0E75">
        <w:rPr>
          <w:rFonts w:ascii="Arial" w:hAnsi="Arial" w:cs="Arial"/>
          <w:b/>
          <w:bCs/>
          <w:sz w:val="32"/>
          <w:szCs w:val="32"/>
        </w:rPr>
        <w:t>interdependence of technology and relationships</w:t>
      </w:r>
      <w:r w:rsidRPr="001E0E75">
        <w:rPr>
          <w:rFonts w:ascii="Arial" w:hAnsi="Arial" w:cs="Arial"/>
          <w:sz w:val="32"/>
          <w:szCs w:val="32"/>
        </w:rPr>
        <w:t>. Hybrid meetings not only expand reach but also strengthen client loyalty by offering flexibility and perceived professionalism. Similarly, CRM systems and data analytics integrate technological and human elements of sales performance, echoing the findings of Ivanov and Webster (2021) on digital transformation in hospitality.</w:t>
      </w:r>
    </w:p>
    <w:p w14:paraId="3582A4B5" w14:textId="77777777" w:rsidR="00B4255E" w:rsidRPr="001E0E75" w:rsidRDefault="00B4255E" w:rsidP="001E0E75">
      <w:pPr>
        <w:spacing w:line="360" w:lineRule="auto"/>
        <w:rPr>
          <w:rFonts w:ascii="Arial" w:hAnsi="Arial" w:cs="Arial"/>
          <w:sz w:val="32"/>
          <w:szCs w:val="32"/>
        </w:rPr>
      </w:pPr>
      <w:r w:rsidRPr="001E0E75">
        <w:rPr>
          <w:rFonts w:ascii="Arial" w:hAnsi="Arial" w:cs="Arial"/>
          <w:sz w:val="32"/>
          <w:szCs w:val="32"/>
        </w:rPr>
        <w:t>In theoretical terms, the findings reinforce Kotler et al.’s (2019) marketing framework of segmentation, targeting, and positioning (STP). DoubleTree Dartford Bridge segments its market geographically (Greater London and Kent), targets price-sensitive corporate clients, and positions itself as an accessible yet professional venue. This strategic coherence demonstrates how theory translates effectively into practice within a regional Hilton context.</w:t>
      </w:r>
    </w:p>
    <w:p w14:paraId="1FDDBF4F" w14:textId="6310D60B" w:rsidR="00B4255E" w:rsidRPr="001E0E75" w:rsidRDefault="00B4255E" w:rsidP="001E0E75">
      <w:pPr>
        <w:spacing w:line="360" w:lineRule="auto"/>
        <w:rPr>
          <w:rFonts w:ascii="Arial" w:hAnsi="Arial" w:cs="Arial"/>
          <w:sz w:val="32"/>
          <w:szCs w:val="32"/>
        </w:rPr>
      </w:pPr>
      <w:r w:rsidRPr="001E0E75">
        <w:rPr>
          <w:rFonts w:ascii="Arial" w:hAnsi="Arial" w:cs="Arial"/>
          <w:sz w:val="32"/>
          <w:szCs w:val="32"/>
        </w:rPr>
        <w:lastRenderedPageBreak/>
        <w:t xml:space="preserve">Moreover, the hotel’s approach embodies elements of </w:t>
      </w:r>
      <w:r w:rsidRPr="001E0E75">
        <w:rPr>
          <w:rFonts w:ascii="Arial" w:hAnsi="Arial" w:cs="Arial"/>
          <w:b/>
          <w:bCs/>
          <w:sz w:val="32"/>
          <w:szCs w:val="32"/>
        </w:rPr>
        <w:t>service-dominant logic</w:t>
      </w:r>
      <w:r w:rsidRPr="001E0E75">
        <w:rPr>
          <w:rFonts w:ascii="Arial" w:hAnsi="Arial" w:cs="Arial"/>
          <w:sz w:val="32"/>
          <w:szCs w:val="32"/>
        </w:rPr>
        <w:t xml:space="preserve"> (Vargo and Lusch, 2008), where value is co-created through client interaction and flexibility rather than simply delivered through fixed packages. By adapting to client needs and maintaining relationships, the hotel leverages its peripheral location as a platform for personalised service, aligning with Enz’s (2010) assertion that location challenges can stimulate innovative marketing behaviour.</w:t>
      </w:r>
    </w:p>
    <w:p w14:paraId="0FA02B2D" w14:textId="77777777" w:rsidR="00B4255E" w:rsidRPr="001E0E75" w:rsidRDefault="00B4255E" w:rsidP="001E0E75">
      <w:pPr>
        <w:spacing w:line="360" w:lineRule="auto"/>
        <w:rPr>
          <w:rFonts w:ascii="Arial" w:hAnsi="Arial" w:cs="Arial"/>
          <w:b/>
          <w:bCs/>
          <w:sz w:val="32"/>
          <w:szCs w:val="32"/>
        </w:rPr>
      </w:pPr>
      <w:r w:rsidRPr="001E0E75">
        <w:rPr>
          <w:rFonts w:ascii="Arial" w:hAnsi="Arial" w:cs="Arial"/>
          <w:b/>
          <w:bCs/>
          <w:sz w:val="32"/>
          <w:szCs w:val="32"/>
        </w:rPr>
        <w:t>4.4 Managerial Implications</w:t>
      </w:r>
    </w:p>
    <w:p w14:paraId="0EA50510" w14:textId="77777777" w:rsidR="00B4255E" w:rsidRPr="001E0E75" w:rsidRDefault="00B4255E" w:rsidP="001E0E75">
      <w:pPr>
        <w:spacing w:line="360" w:lineRule="auto"/>
        <w:rPr>
          <w:rFonts w:ascii="Arial" w:hAnsi="Arial" w:cs="Arial"/>
          <w:sz w:val="32"/>
          <w:szCs w:val="32"/>
        </w:rPr>
      </w:pPr>
      <w:r w:rsidRPr="001E0E75">
        <w:rPr>
          <w:rFonts w:ascii="Arial" w:hAnsi="Arial" w:cs="Arial"/>
          <w:sz w:val="32"/>
          <w:szCs w:val="32"/>
        </w:rPr>
        <w:t>The findings have several implications for both the local property and Hilton’s wider brand strategy:</w:t>
      </w:r>
    </w:p>
    <w:p w14:paraId="6BBFF4A0" w14:textId="77777777" w:rsidR="00B4255E" w:rsidRPr="001E0E75" w:rsidRDefault="00B4255E" w:rsidP="001E0E75">
      <w:pPr>
        <w:numPr>
          <w:ilvl w:val="0"/>
          <w:numId w:val="18"/>
        </w:numPr>
        <w:spacing w:line="360" w:lineRule="auto"/>
        <w:rPr>
          <w:rFonts w:ascii="Arial" w:hAnsi="Arial" w:cs="Arial"/>
          <w:sz w:val="32"/>
          <w:szCs w:val="32"/>
        </w:rPr>
      </w:pPr>
      <w:r w:rsidRPr="001E0E75">
        <w:rPr>
          <w:rFonts w:ascii="Arial" w:hAnsi="Arial" w:cs="Arial"/>
          <w:b/>
          <w:bCs/>
          <w:sz w:val="32"/>
          <w:szCs w:val="32"/>
        </w:rPr>
        <w:t>Geo-Targeted Marketing:</w:t>
      </w:r>
      <w:r w:rsidRPr="001E0E75">
        <w:rPr>
          <w:rFonts w:ascii="Arial" w:hAnsi="Arial" w:cs="Arial"/>
          <w:sz w:val="32"/>
          <w:szCs w:val="32"/>
        </w:rPr>
        <w:br/>
        <w:t>The hotel should enhance its online visibility using geo-targeted ads aimed at corporate clusters along the M25 and Thames Gateway. Research by Camilleri (2023) and Pike and Page (2020) shows that geographically focused digital campaigns can yield higher engagement rates for peripheral destinations.</w:t>
      </w:r>
    </w:p>
    <w:p w14:paraId="3E1898B5" w14:textId="77777777" w:rsidR="00B4255E" w:rsidRPr="001E0E75" w:rsidRDefault="00B4255E" w:rsidP="001E0E75">
      <w:pPr>
        <w:numPr>
          <w:ilvl w:val="0"/>
          <w:numId w:val="18"/>
        </w:numPr>
        <w:spacing w:line="360" w:lineRule="auto"/>
        <w:rPr>
          <w:rFonts w:ascii="Arial" w:hAnsi="Arial" w:cs="Arial"/>
          <w:sz w:val="32"/>
          <w:szCs w:val="32"/>
        </w:rPr>
      </w:pPr>
      <w:r w:rsidRPr="001E0E75">
        <w:rPr>
          <w:rFonts w:ascii="Arial" w:hAnsi="Arial" w:cs="Arial"/>
          <w:b/>
          <w:bCs/>
          <w:sz w:val="32"/>
          <w:szCs w:val="32"/>
        </w:rPr>
        <w:t>Technology and Hybrid Excellence:</w:t>
      </w:r>
      <w:r w:rsidRPr="001E0E75">
        <w:rPr>
          <w:rFonts w:ascii="Arial" w:hAnsi="Arial" w:cs="Arial"/>
          <w:sz w:val="32"/>
          <w:szCs w:val="32"/>
        </w:rPr>
        <w:br/>
        <w:t>Investing in continuous staff training and maintenance of AV systems is essential to ensure consistent hybrid meeting quality. Partnerships with technology providers could also reduce operational strain (Jones et al., 2023).</w:t>
      </w:r>
    </w:p>
    <w:p w14:paraId="50A737E3" w14:textId="33E78991" w:rsidR="00B4255E" w:rsidRPr="001E0E75" w:rsidRDefault="00B4255E" w:rsidP="001E0E75">
      <w:pPr>
        <w:numPr>
          <w:ilvl w:val="0"/>
          <w:numId w:val="18"/>
        </w:numPr>
        <w:spacing w:line="360" w:lineRule="auto"/>
        <w:rPr>
          <w:rFonts w:ascii="Arial" w:hAnsi="Arial" w:cs="Arial"/>
          <w:sz w:val="32"/>
          <w:szCs w:val="32"/>
        </w:rPr>
      </w:pPr>
      <w:r w:rsidRPr="001E0E75">
        <w:rPr>
          <w:rFonts w:ascii="Arial" w:hAnsi="Arial" w:cs="Arial"/>
          <w:b/>
          <w:bCs/>
          <w:sz w:val="32"/>
          <w:szCs w:val="32"/>
        </w:rPr>
        <w:lastRenderedPageBreak/>
        <w:t>Sustainability Integration:</w:t>
      </w:r>
      <w:r w:rsidRPr="001E0E75">
        <w:rPr>
          <w:rFonts w:ascii="Arial" w:hAnsi="Arial" w:cs="Arial"/>
          <w:sz w:val="32"/>
          <w:szCs w:val="32"/>
        </w:rPr>
        <w:br/>
        <w:t>Given rising corporate interest in eco-certified venues (Green Tourism, 2024), obtaining sustainability accreditation (e.g., Green Tourism or Hilton’s Travel with Purpose initiative) could enhance competitiveness.</w:t>
      </w:r>
      <w:r w:rsidR="00BD0A34" w:rsidRPr="001E0E75">
        <w:rPr>
          <w:rFonts w:ascii="Arial" w:hAnsi="Arial" w:cs="Arial"/>
          <w:sz w:val="32"/>
          <w:szCs w:val="32"/>
        </w:rPr>
        <w:t xml:space="preserve"> Aligning with recent sustainability initiatives in the UK hospitality sector (Green Tourism, 2024; DCMS, 2022), the hotel’s long-term competitiveness depends on embedding environmental and technological innovation within its event strategy.</w:t>
      </w:r>
    </w:p>
    <w:p w14:paraId="3A17DB07" w14:textId="77777777" w:rsidR="00B4255E" w:rsidRPr="001E0E75" w:rsidRDefault="00B4255E" w:rsidP="001E0E75">
      <w:pPr>
        <w:numPr>
          <w:ilvl w:val="0"/>
          <w:numId w:val="18"/>
        </w:numPr>
        <w:spacing w:line="360" w:lineRule="auto"/>
        <w:rPr>
          <w:rFonts w:ascii="Arial" w:hAnsi="Arial" w:cs="Arial"/>
          <w:sz w:val="32"/>
          <w:szCs w:val="32"/>
        </w:rPr>
      </w:pPr>
      <w:r w:rsidRPr="001E0E75">
        <w:rPr>
          <w:rFonts w:ascii="Arial" w:hAnsi="Arial" w:cs="Arial"/>
          <w:b/>
          <w:bCs/>
          <w:sz w:val="32"/>
          <w:szCs w:val="32"/>
        </w:rPr>
        <w:t>Community and Business Partnerships:</w:t>
      </w:r>
      <w:r w:rsidRPr="001E0E75">
        <w:rPr>
          <w:rFonts w:ascii="Arial" w:hAnsi="Arial" w:cs="Arial"/>
          <w:sz w:val="32"/>
          <w:szCs w:val="32"/>
        </w:rPr>
        <w:br/>
        <w:t>Strengthening collaboration with local councils and business networks can expand the hotel’s client base, supporting Rogerson and Lisa’s (2020) recommendation for regional hospitality integration.</w:t>
      </w:r>
    </w:p>
    <w:p w14:paraId="403A7409" w14:textId="423AC834" w:rsidR="00B4255E" w:rsidRPr="001E0E75" w:rsidRDefault="00B4255E" w:rsidP="001E0E75">
      <w:pPr>
        <w:numPr>
          <w:ilvl w:val="0"/>
          <w:numId w:val="18"/>
        </w:numPr>
        <w:spacing w:line="360" w:lineRule="auto"/>
        <w:rPr>
          <w:rFonts w:ascii="Arial" w:hAnsi="Arial" w:cs="Arial"/>
          <w:sz w:val="32"/>
          <w:szCs w:val="32"/>
        </w:rPr>
      </w:pPr>
      <w:r w:rsidRPr="001E0E75">
        <w:rPr>
          <w:rFonts w:ascii="Arial" w:hAnsi="Arial" w:cs="Arial"/>
          <w:b/>
          <w:bCs/>
          <w:sz w:val="32"/>
          <w:szCs w:val="32"/>
        </w:rPr>
        <w:t>Staff Retention and Training:</w:t>
      </w:r>
      <w:r w:rsidRPr="001E0E75">
        <w:rPr>
          <w:rFonts w:ascii="Arial" w:hAnsi="Arial" w:cs="Arial"/>
          <w:sz w:val="32"/>
          <w:szCs w:val="32"/>
        </w:rPr>
        <w:br/>
        <w:t xml:space="preserve">High service quality depends on consistent staffing. Hilton’s global workforce initiatives (UKHospitality, 2023) can be leveraged to develop tailored training programmes for regional teams. </w:t>
      </w:r>
    </w:p>
    <w:p w14:paraId="4B311538" w14:textId="561572F2" w:rsidR="00B4255E" w:rsidRPr="00A17B0B" w:rsidRDefault="00B4255E" w:rsidP="00A17B0B">
      <w:pPr>
        <w:spacing w:line="360" w:lineRule="auto"/>
        <w:ind w:left="720"/>
        <w:rPr>
          <w:rFonts w:ascii="Arial" w:hAnsi="Arial" w:cs="Arial"/>
          <w:b/>
          <w:bCs/>
          <w:sz w:val="32"/>
          <w:szCs w:val="32"/>
        </w:rPr>
      </w:pPr>
      <w:r w:rsidRPr="001E0E75">
        <w:rPr>
          <w:rFonts w:ascii="Arial" w:hAnsi="Arial" w:cs="Arial"/>
          <w:b/>
          <w:bCs/>
          <w:sz w:val="32"/>
          <w:szCs w:val="32"/>
        </w:rPr>
        <w:t>4.5 Summary</w:t>
      </w:r>
    </w:p>
    <w:p w14:paraId="1B0D0382" w14:textId="0FE79671" w:rsidR="00B4255E" w:rsidRPr="001E0E75" w:rsidRDefault="00B4255E" w:rsidP="00A17B0B">
      <w:pPr>
        <w:spacing w:line="360" w:lineRule="auto"/>
        <w:ind w:left="720"/>
        <w:rPr>
          <w:rFonts w:ascii="Arial" w:hAnsi="Arial" w:cs="Arial"/>
          <w:sz w:val="32"/>
          <w:szCs w:val="32"/>
        </w:rPr>
      </w:pPr>
      <w:r w:rsidRPr="001E0E75">
        <w:rPr>
          <w:rFonts w:ascii="Arial" w:hAnsi="Arial" w:cs="Arial"/>
          <w:sz w:val="32"/>
          <w:szCs w:val="32"/>
        </w:rPr>
        <w:t xml:space="preserve">In summary, the findings demonstrate that DoubleTree by Hilton Dartford Bridge successfully mitigates its locational disadvantages through strategic adaptability, technological </w:t>
      </w:r>
      <w:r w:rsidRPr="001E0E75">
        <w:rPr>
          <w:rFonts w:ascii="Arial" w:hAnsi="Arial" w:cs="Arial"/>
          <w:sz w:val="32"/>
          <w:szCs w:val="32"/>
        </w:rPr>
        <w:lastRenderedPageBreak/>
        <w:t>investment, and relationship marketing. The property’s experience validates academic arguments that location is not merely a determinant of performance but a catalyst for strategic innovation (Yang, Pan and Song, 2022). The next chapter concludes the dissertation by summarising key insights and offering targeted recommendations to enhance the hotel’s future competitiveness within the M&amp;E sector.</w:t>
      </w:r>
    </w:p>
    <w:p w14:paraId="0C67EEC6" w14:textId="07B7FF3A" w:rsidR="00B4255E" w:rsidRPr="001E0E75" w:rsidRDefault="00B4255E" w:rsidP="001E0E75">
      <w:pPr>
        <w:spacing w:line="360" w:lineRule="auto"/>
        <w:ind w:left="720"/>
        <w:rPr>
          <w:rFonts w:ascii="Arial" w:hAnsi="Arial" w:cs="Arial"/>
          <w:b/>
          <w:bCs/>
          <w:sz w:val="32"/>
          <w:szCs w:val="32"/>
        </w:rPr>
      </w:pPr>
      <w:r w:rsidRPr="001E0E75">
        <w:rPr>
          <w:rFonts w:ascii="Arial" w:hAnsi="Arial" w:cs="Arial"/>
          <w:b/>
          <w:bCs/>
          <w:sz w:val="32"/>
          <w:szCs w:val="32"/>
        </w:rPr>
        <w:t>Summary of Chapter 4 – Findings and Discussion</w:t>
      </w:r>
    </w:p>
    <w:p w14:paraId="4EA6E163" w14:textId="77777777" w:rsidR="00B4255E" w:rsidRPr="001E0E75" w:rsidRDefault="00B4255E" w:rsidP="001E0E75">
      <w:pPr>
        <w:spacing w:line="360" w:lineRule="auto"/>
        <w:ind w:left="720"/>
        <w:rPr>
          <w:rFonts w:ascii="Arial" w:hAnsi="Arial" w:cs="Arial"/>
          <w:sz w:val="32"/>
          <w:szCs w:val="32"/>
        </w:rPr>
      </w:pPr>
      <w:r w:rsidRPr="001E0E75">
        <w:rPr>
          <w:rFonts w:ascii="Arial" w:hAnsi="Arial" w:cs="Arial"/>
          <w:sz w:val="32"/>
          <w:szCs w:val="32"/>
        </w:rPr>
        <w:t>The findings of this study reveal that hotel location exerts a multifaceted influence on sales strategies and the performance of the Meetings and Events (M&amp;E) department at DoubleTree by Hilton Dartford Bridge. Drawing on interview data and secondary sources, four dominant themes emerged: location and market positioning, sales and value perception, hybrid meeting technologies, and relationship marketing.</w:t>
      </w:r>
    </w:p>
    <w:p w14:paraId="7321774B" w14:textId="77777777" w:rsidR="00B4255E" w:rsidRPr="001E0E75" w:rsidRDefault="00B4255E" w:rsidP="001E0E75">
      <w:pPr>
        <w:spacing w:line="360" w:lineRule="auto"/>
        <w:ind w:left="720"/>
        <w:rPr>
          <w:rFonts w:ascii="Arial" w:hAnsi="Arial" w:cs="Arial"/>
          <w:sz w:val="32"/>
          <w:szCs w:val="32"/>
        </w:rPr>
      </w:pPr>
      <w:r w:rsidRPr="001E0E75">
        <w:rPr>
          <w:rFonts w:ascii="Arial" w:hAnsi="Arial" w:cs="Arial"/>
          <w:sz w:val="32"/>
          <w:szCs w:val="32"/>
        </w:rPr>
        <w:t xml:space="preserve">The hotel’s location near the M25 and Dartford Crossing provides strategic accessibility to the Greater London and Kent markets but limits prestige and public transport connectivity. This duality compels management to emphasise value-based positioning, offering flexible pricing, free parking, and spacious facilities to attract regional corporate clients. Consistent with research by Li </w:t>
      </w:r>
      <w:r w:rsidRPr="001E0E75">
        <w:rPr>
          <w:rFonts w:ascii="Arial" w:hAnsi="Arial" w:cs="Arial"/>
          <w:sz w:val="32"/>
          <w:szCs w:val="32"/>
        </w:rPr>
        <w:lastRenderedPageBreak/>
        <w:t>and Huang (2021) and Patiar and Wang (2021), location thus acts as both an opportunity and constraint, shaping how the hotel differentiates itself from central London competitors.</w:t>
      </w:r>
    </w:p>
    <w:p w14:paraId="65EA5A66" w14:textId="77777777" w:rsidR="00B4255E" w:rsidRPr="001E0E75" w:rsidRDefault="00B4255E" w:rsidP="001E0E75">
      <w:pPr>
        <w:spacing w:line="360" w:lineRule="auto"/>
        <w:ind w:left="720"/>
        <w:rPr>
          <w:rFonts w:ascii="Arial" w:hAnsi="Arial" w:cs="Arial"/>
          <w:sz w:val="32"/>
          <w:szCs w:val="32"/>
        </w:rPr>
      </w:pPr>
      <w:r w:rsidRPr="001E0E75">
        <w:rPr>
          <w:rFonts w:ascii="Arial" w:hAnsi="Arial" w:cs="Arial"/>
          <w:sz w:val="32"/>
          <w:szCs w:val="32"/>
        </w:rPr>
        <w:t>Sales strategies have evolved towards bundled event packages, dynamic pricing, and digital engagement. Hybrid meeting technologies, introduced post-pandemic, have become key competitive tools, enabling the hotel to host virtual and physical events simultaneously. These initiatives reflect the adaptive strategies discussed by Jones et al. (2023) and Davidson and Rogers (2022). Relationship marketing also plays a pivotal role; CRM systems and personalised client interactions foster long-term loyalty, supporting Rahimi and Kozak’s (2017) service relationship framework.</w:t>
      </w:r>
    </w:p>
    <w:p w14:paraId="0DA6C1F8" w14:textId="42832F70" w:rsidR="00B4255E" w:rsidRPr="001E0E75" w:rsidRDefault="00B4255E" w:rsidP="00A17B0B">
      <w:pPr>
        <w:spacing w:line="360" w:lineRule="auto"/>
        <w:ind w:left="720"/>
        <w:rPr>
          <w:rFonts w:ascii="Arial" w:hAnsi="Arial" w:cs="Arial"/>
          <w:sz w:val="32"/>
          <w:szCs w:val="32"/>
        </w:rPr>
      </w:pPr>
      <w:r w:rsidRPr="001E0E75">
        <w:rPr>
          <w:rFonts w:ascii="Arial" w:hAnsi="Arial" w:cs="Arial"/>
          <w:sz w:val="32"/>
          <w:szCs w:val="32"/>
        </w:rPr>
        <w:t>Collectively, the findings demonstrate that strategic adaptability and innovation allow the hotel to overcome geographical limitations. The integration of technology, data analytics, and personalised service reinforces the argument that location, while fixed, can be transformed into a strategic asset through managerial creativity. This chapter underscores that regional hotels can achieve sustained competitiveness by aligning sales and marketing strategies with locational realities and evolving client expectations.</w:t>
      </w:r>
    </w:p>
    <w:p w14:paraId="7FFA3F46" w14:textId="77777777" w:rsidR="00B4255E" w:rsidRPr="001E0E75" w:rsidRDefault="00B4255E" w:rsidP="001E0E75">
      <w:pPr>
        <w:spacing w:line="360" w:lineRule="auto"/>
        <w:ind w:left="720"/>
        <w:rPr>
          <w:rFonts w:ascii="Arial" w:hAnsi="Arial" w:cs="Arial"/>
          <w:b/>
          <w:bCs/>
          <w:sz w:val="32"/>
          <w:szCs w:val="32"/>
        </w:rPr>
      </w:pPr>
      <w:r w:rsidRPr="001E0E75">
        <w:rPr>
          <w:rFonts w:ascii="Arial" w:hAnsi="Arial" w:cs="Arial"/>
          <w:b/>
          <w:bCs/>
          <w:sz w:val="32"/>
          <w:szCs w:val="32"/>
        </w:rPr>
        <w:lastRenderedPageBreak/>
        <w:t>Chapter 5 – Conclusion and Recommendations</w:t>
      </w:r>
    </w:p>
    <w:p w14:paraId="3E5A4FD9" w14:textId="77777777" w:rsidR="00B4255E" w:rsidRPr="001E0E75" w:rsidRDefault="00B4255E" w:rsidP="001E0E75">
      <w:pPr>
        <w:spacing w:line="360" w:lineRule="auto"/>
        <w:ind w:left="720"/>
        <w:rPr>
          <w:rFonts w:ascii="Arial" w:hAnsi="Arial" w:cs="Arial"/>
          <w:b/>
          <w:bCs/>
          <w:sz w:val="32"/>
          <w:szCs w:val="32"/>
        </w:rPr>
      </w:pPr>
      <w:r w:rsidRPr="001E0E75">
        <w:rPr>
          <w:rFonts w:ascii="Arial" w:hAnsi="Arial" w:cs="Arial"/>
          <w:b/>
          <w:bCs/>
          <w:sz w:val="32"/>
          <w:szCs w:val="32"/>
        </w:rPr>
        <w:t>5.1 Introduction</w:t>
      </w:r>
    </w:p>
    <w:p w14:paraId="38BA4AB8" w14:textId="1D2D0476" w:rsidR="00B4255E" w:rsidRPr="001E0E75" w:rsidRDefault="00B4255E" w:rsidP="000F4B47">
      <w:pPr>
        <w:spacing w:line="360" w:lineRule="auto"/>
        <w:ind w:left="720"/>
        <w:rPr>
          <w:rFonts w:ascii="Arial" w:hAnsi="Arial" w:cs="Arial"/>
          <w:sz w:val="32"/>
          <w:szCs w:val="32"/>
        </w:rPr>
      </w:pPr>
      <w:r w:rsidRPr="001E0E75">
        <w:rPr>
          <w:rFonts w:ascii="Arial" w:hAnsi="Arial" w:cs="Arial"/>
          <w:sz w:val="32"/>
          <w:szCs w:val="32"/>
        </w:rPr>
        <w:t>This chapter concludes the dissertation by summarising the principal findings on how hotel location influences sales strategies and Meetings &amp; Events (M&amp;E) performance at DoubleTree by Hilton Dartford Bridge. It discusses the theoretical and practical implications of the study, evaluates its limitations, and presents recommendations for managerial practice and future research. The results confirm that location exerts both enabling and constraining effects on hotel competitiveness, while adaptive managerial behaviour can transform geographical disadvantages into strategic opportunities.</w:t>
      </w:r>
    </w:p>
    <w:p w14:paraId="1AABD651" w14:textId="77777777" w:rsidR="00B4255E" w:rsidRPr="001E0E75" w:rsidRDefault="00B4255E" w:rsidP="001E0E75">
      <w:pPr>
        <w:spacing w:line="360" w:lineRule="auto"/>
        <w:ind w:left="720"/>
        <w:rPr>
          <w:rFonts w:ascii="Arial" w:hAnsi="Arial" w:cs="Arial"/>
          <w:b/>
          <w:bCs/>
          <w:sz w:val="32"/>
          <w:szCs w:val="32"/>
        </w:rPr>
      </w:pPr>
      <w:r w:rsidRPr="001E0E75">
        <w:rPr>
          <w:rFonts w:ascii="Arial" w:hAnsi="Arial" w:cs="Arial"/>
          <w:b/>
          <w:bCs/>
          <w:sz w:val="32"/>
          <w:szCs w:val="32"/>
        </w:rPr>
        <w:t>5.2 Summary of Key Findings</w:t>
      </w:r>
    </w:p>
    <w:p w14:paraId="4D49B01A" w14:textId="77777777" w:rsidR="00B4255E" w:rsidRPr="001E0E75" w:rsidRDefault="00B4255E" w:rsidP="001E0E75">
      <w:pPr>
        <w:spacing w:line="360" w:lineRule="auto"/>
        <w:ind w:left="720"/>
        <w:rPr>
          <w:rFonts w:ascii="Arial" w:hAnsi="Arial" w:cs="Arial"/>
          <w:sz w:val="32"/>
          <w:szCs w:val="32"/>
        </w:rPr>
      </w:pPr>
      <w:r w:rsidRPr="001E0E75">
        <w:rPr>
          <w:rFonts w:ascii="Arial" w:hAnsi="Arial" w:cs="Arial"/>
          <w:sz w:val="32"/>
          <w:szCs w:val="32"/>
        </w:rPr>
        <w:t>The research demonstrates that the hotel’s peripheral location near the M25 and the Dartford Crossing simultaneously provides accessibility advantages and market perception challenges. Its proximity to London attracts price-sensitive corporate clients who prioritise convenience and parking availability, yet limited public transport options and a lack of metropolitan prestige constrain its ability to capture premium event demand (Law et al., 2021; Li and Huang, 2021).</w:t>
      </w:r>
    </w:p>
    <w:p w14:paraId="1EF5A4A6" w14:textId="77777777" w:rsidR="00B4255E" w:rsidRPr="001E0E75" w:rsidRDefault="00B4255E" w:rsidP="001E0E75">
      <w:pPr>
        <w:spacing w:line="360" w:lineRule="auto"/>
        <w:ind w:left="720"/>
        <w:rPr>
          <w:rFonts w:ascii="Arial" w:hAnsi="Arial" w:cs="Arial"/>
          <w:sz w:val="32"/>
          <w:szCs w:val="32"/>
        </w:rPr>
      </w:pPr>
      <w:r w:rsidRPr="001E0E75">
        <w:rPr>
          <w:rFonts w:ascii="Arial" w:hAnsi="Arial" w:cs="Arial"/>
          <w:sz w:val="32"/>
          <w:szCs w:val="32"/>
        </w:rPr>
        <w:lastRenderedPageBreak/>
        <w:t>To counteract these constraints, the hotel has adopted several adaptive strategies:</w:t>
      </w:r>
    </w:p>
    <w:p w14:paraId="50BA278E" w14:textId="77777777" w:rsidR="00B4255E" w:rsidRPr="001E0E75" w:rsidRDefault="00B4255E" w:rsidP="001E0E75">
      <w:pPr>
        <w:numPr>
          <w:ilvl w:val="0"/>
          <w:numId w:val="19"/>
        </w:numPr>
        <w:spacing w:line="360" w:lineRule="auto"/>
        <w:rPr>
          <w:rFonts w:ascii="Arial" w:hAnsi="Arial" w:cs="Arial"/>
          <w:sz w:val="32"/>
          <w:szCs w:val="32"/>
        </w:rPr>
      </w:pPr>
      <w:r w:rsidRPr="001E0E75">
        <w:rPr>
          <w:rFonts w:ascii="Arial" w:hAnsi="Arial" w:cs="Arial"/>
          <w:b/>
          <w:bCs/>
          <w:sz w:val="32"/>
          <w:szCs w:val="32"/>
        </w:rPr>
        <w:t>Value-based positioning</w:t>
      </w:r>
      <w:r w:rsidRPr="001E0E75">
        <w:rPr>
          <w:rFonts w:ascii="Arial" w:hAnsi="Arial" w:cs="Arial"/>
          <w:sz w:val="32"/>
          <w:szCs w:val="32"/>
        </w:rPr>
        <w:t xml:space="preserve"> – offering competitive pricing, inclusive packages, and strong service delivery to differentiate from city-centre competitors (Patiar and Wang, 2021).</w:t>
      </w:r>
    </w:p>
    <w:p w14:paraId="108C55B8" w14:textId="77777777" w:rsidR="00B4255E" w:rsidRPr="001E0E75" w:rsidRDefault="00B4255E" w:rsidP="001E0E75">
      <w:pPr>
        <w:numPr>
          <w:ilvl w:val="0"/>
          <w:numId w:val="19"/>
        </w:numPr>
        <w:spacing w:line="360" w:lineRule="auto"/>
        <w:rPr>
          <w:rFonts w:ascii="Arial" w:hAnsi="Arial" w:cs="Arial"/>
          <w:sz w:val="32"/>
          <w:szCs w:val="32"/>
        </w:rPr>
      </w:pPr>
      <w:r w:rsidRPr="001E0E75">
        <w:rPr>
          <w:rFonts w:ascii="Arial" w:hAnsi="Arial" w:cs="Arial"/>
          <w:b/>
          <w:bCs/>
          <w:sz w:val="32"/>
          <w:szCs w:val="32"/>
        </w:rPr>
        <w:t>Dynamic pricing and bundling</w:t>
      </w:r>
      <w:r w:rsidRPr="001E0E75">
        <w:rPr>
          <w:rFonts w:ascii="Arial" w:hAnsi="Arial" w:cs="Arial"/>
          <w:sz w:val="32"/>
          <w:szCs w:val="32"/>
        </w:rPr>
        <w:t xml:space="preserve"> – allowing the sales team to tailor offerings according to client type and timing, consistent with Law et al. (2020).</w:t>
      </w:r>
    </w:p>
    <w:p w14:paraId="72C1333B" w14:textId="77777777" w:rsidR="00B4255E" w:rsidRPr="001E0E75" w:rsidRDefault="00B4255E" w:rsidP="001E0E75">
      <w:pPr>
        <w:numPr>
          <w:ilvl w:val="0"/>
          <w:numId w:val="19"/>
        </w:numPr>
        <w:spacing w:line="360" w:lineRule="auto"/>
        <w:rPr>
          <w:rFonts w:ascii="Arial" w:hAnsi="Arial" w:cs="Arial"/>
          <w:sz w:val="32"/>
          <w:szCs w:val="32"/>
        </w:rPr>
      </w:pPr>
      <w:r w:rsidRPr="001E0E75">
        <w:rPr>
          <w:rFonts w:ascii="Arial" w:hAnsi="Arial" w:cs="Arial"/>
          <w:b/>
          <w:bCs/>
          <w:sz w:val="32"/>
          <w:szCs w:val="32"/>
        </w:rPr>
        <w:t>Technological innovation</w:t>
      </w:r>
      <w:r w:rsidRPr="001E0E75">
        <w:rPr>
          <w:rFonts w:ascii="Arial" w:hAnsi="Arial" w:cs="Arial"/>
          <w:sz w:val="32"/>
          <w:szCs w:val="32"/>
        </w:rPr>
        <w:t xml:space="preserve"> – implementing hybrid event capabilities to appeal to both local and remote audiences (Jones et al., 2023).</w:t>
      </w:r>
    </w:p>
    <w:p w14:paraId="78D751E5" w14:textId="77777777" w:rsidR="00B4255E" w:rsidRPr="001E0E75" w:rsidRDefault="00B4255E" w:rsidP="001E0E75">
      <w:pPr>
        <w:numPr>
          <w:ilvl w:val="0"/>
          <w:numId w:val="19"/>
        </w:numPr>
        <w:spacing w:line="360" w:lineRule="auto"/>
        <w:rPr>
          <w:rFonts w:ascii="Arial" w:hAnsi="Arial" w:cs="Arial"/>
          <w:sz w:val="32"/>
          <w:szCs w:val="32"/>
        </w:rPr>
      </w:pPr>
      <w:r w:rsidRPr="001E0E75">
        <w:rPr>
          <w:rFonts w:ascii="Arial" w:hAnsi="Arial" w:cs="Arial"/>
          <w:b/>
          <w:bCs/>
          <w:sz w:val="32"/>
          <w:szCs w:val="32"/>
        </w:rPr>
        <w:t>Relationship marketing</w:t>
      </w:r>
      <w:r w:rsidRPr="001E0E75">
        <w:rPr>
          <w:rFonts w:ascii="Arial" w:hAnsi="Arial" w:cs="Arial"/>
          <w:sz w:val="32"/>
          <w:szCs w:val="32"/>
        </w:rPr>
        <w:t xml:space="preserve"> – fostering long-term client partnerships through CRM systems and personalised communication (Rahimi and Kozak, 2017).</w:t>
      </w:r>
    </w:p>
    <w:p w14:paraId="47A9C063" w14:textId="3DBFB2FB" w:rsidR="00B4255E" w:rsidRPr="001E0E75" w:rsidRDefault="00B4255E" w:rsidP="00A17B0B">
      <w:pPr>
        <w:spacing w:line="360" w:lineRule="auto"/>
        <w:ind w:left="720"/>
        <w:rPr>
          <w:rFonts w:ascii="Arial" w:hAnsi="Arial" w:cs="Arial"/>
          <w:sz w:val="32"/>
          <w:szCs w:val="32"/>
        </w:rPr>
      </w:pPr>
      <w:r w:rsidRPr="001E0E75">
        <w:rPr>
          <w:rFonts w:ascii="Arial" w:hAnsi="Arial" w:cs="Arial"/>
          <w:sz w:val="32"/>
          <w:szCs w:val="32"/>
        </w:rPr>
        <w:t>Collectively, these strategies illustrate the application of Kotler et al.’s (2019) STP framework—segmenting markets geographically, targeting regional corporates, and positioning the brand around value and flexibility. The study reinforces the principle that location, although fixed, can be strategically leveraged through service differentiation, innovation, and relationship strength (Yang, Pan and Song, 2022).</w:t>
      </w:r>
    </w:p>
    <w:p w14:paraId="56467426" w14:textId="77777777" w:rsidR="00B4255E" w:rsidRPr="001E0E75" w:rsidRDefault="00B4255E" w:rsidP="001E0E75">
      <w:pPr>
        <w:spacing w:line="360" w:lineRule="auto"/>
        <w:ind w:left="720"/>
        <w:rPr>
          <w:rFonts w:ascii="Arial" w:hAnsi="Arial" w:cs="Arial"/>
          <w:b/>
          <w:bCs/>
          <w:sz w:val="32"/>
          <w:szCs w:val="32"/>
        </w:rPr>
      </w:pPr>
      <w:r w:rsidRPr="001E0E75">
        <w:rPr>
          <w:rFonts w:ascii="Arial" w:hAnsi="Arial" w:cs="Arial"/>
          <w:b/>
          <w:bCs/>
          <w:sz w:val="32"/>
          <w:szCs w:val="32"/>
        </w:rPr>
        <w:lastRenderedPageBreak/>
        <w:t>5.3 Theoretical Implications</w:t>
      </w:r>
    </w:p>
    <w:p w14:paraId="492A6F0E" w14:textId="77777777" w:rsidR="00B4255E" w:rsidRPr="001E0E75" w:rsidRDefault="00B4255E" w:rsidP="001E0E75">
      <w:pPr>
        <w:spacing w:line="360" w:lineRule="auto"/>
        <w:ind w:left="720"/>
        <w:rPr>
          <w:rFonts w:ascii="Arial" w:hAnsi="Arial" w:cs="Arial"/>
          <w:sz w:val="32"/>
          <w:szCs w:val="32"/>
        </w:rPr>
      </w:pPr>
      <w:r w:rsidRPr="001E0E75">
        <w:rPr>
          <w:rFonts w:ascii="Arial" w:hAnsi="Arial" w:cs="Arial"/>
          <w:sz w:val="32"/>
          <w:szCs w:val="32"/>
        </w:rPr>
        <w:t>This research contributes to the academic discourse on hospitality location theory by demonstrating that spatial disadvantage can stimulate strategic creativity. The findings support Stipanović and Rudan’s (2014) argument that competitiveness in tourism arises from continuous adaptation to external conditions rather than physical geography alone.</w:t>
      </w:r>
    </w:p>
    <w:p w14:paraId="7BF34027" w14:textId="77777777" w:rsidR="00B4255E" w:rsidRPr="001E0E75" w:rsidRDefault="00B4255E" w:rsidP="001E0E75">
      <w:pPr>
        <w:spacing w:line="360" w:lineRule="auto"/>
        <w:ind w:left="720"/>
        <w:rPr>
          <w:rFonts w:ascii="Arial" w:hAnsi="Arial" w:cs="Arial"/>
          <w:sz w:val="32"/>
          <w:szCs w:val="32"/>
        </w:rPr>
      </w:pPr>
      <w:r w:rsidRPr="001E0E75">
        <w:rPr>
          <w:rFonts w:ascii="Arial" w:hAnsi="Arial" w:cs="Arial"/>
          <w:sz w:val="32"/>
          <w:szCs w:val="32"/>
        </w:rPr>
        <w:t xml:space="preserve">Furthermore, the study advances the literature on </w:t>
      </w:r>
      <w:r w:rsidRPr="001E0E75">
        <w:rPr>
          <w:rFonts w:ascii="Arial" w:hAnsi="Arial" w:cs="Arial"/>
          <w:b/>
          <w:bCs/>
          <w:sz w:val="32"/>
          <w:szCs w:val="32"/>
        </w:rPr>
        <w:t>service-dominant logic</w:t>
      </w:r>
      <w:r w:rsidRPr="001E0E75">
        <w:rPr>
          <w:rFonts w:ascii="Arial" w:hAnsi="Arial" w:cs="Arial"/>
          <w:sz w:val="32"/>
          <w:szCs w:val="32"/>
        </w:rPr>
        <w:t xml:space="preserve"> (Vargo and Lusch, 2008), showing that value in M&amp;E services is co-created with clients through flexibility, technological collaboration, and relational engagement. The case also validates the integration of </w:t>
      </w:r>
      <w:r w:rsidRPr="001E0E75">
        <w:rPr>
          <w:rFonts w:ascii="Arial" w:hAnsi="Arial" w:cs="Arial"/>
          <w:b/>
          <w:bCs/>
          <w:sz w:val="32"/>
          <w:szCs w:val="32"/>
        </w:rPr>
        <w:t>relationship marketing</w:t>
      </w:r>
      <w:r w:rsidRPr="001E0E75">
        <w:rPr>
          <w:rFonts w:ascii="Arial" w:hAnsi="Arial" w:cs="Arial"/>
          <w:sz w:val="32"/>
          <w:szCs w:val="32"/>
        </w:rPr>
        <w:t xml:space="preserve"> and </w:t>
      </w:r>
      <w:r w:rsidRPr="001E0E75">
        <w:rPr>
          <w:rFonts w:ascii="Arial" w:hAnsi="Arial" w:cs="Arial"/>
          <w:b/>
          <w:bCs/>
          <w:sz w:val="32"/>
          <w:szCs w:val="32"/>
        </w:rPr>
        <w:t>data analytics</w:t>
      </w:r>
      <w:r w:rsidRPr="001E0E75">
        <w:rPr>
          <w:rFonts w:ascii="Arial" w:hAnsi="Arial" w:cs="Arial"/>
          <w:sz w:val="32"/>
          <w:szCs w:val="32"/>
        </w:rPr>
        <w:t xml:space="preserve"> (Tonidandel et al., 2018) within regional hotel contexts, illustrating how digital tools enhance customer intimacy despite geographical distance.</w:t>
      </w:r>
    </w:p>
    <w:p w14:paraId="3DF110BA" w14:textId="77777777" w:rsidR="00B4255E" w:rsidRPr="001E0E75" w:rsidRDefault="00B4255E" w:rsidP="001E0E75">
      <w:pPr>
        <w:spacing w:line="360" w:lineRule="auto"/>
        <w:ind w:left="720"/>
        <w:rPr>
          <w:rFonts w:ascii="Arial" w:hAnsi="Arial" w:cs="Arial"/>
          <w:sz w:val="32"/>
          <w:szCs w:val="32"/>
        </w:rPr>
      </w:pPr>
      <w:r w:rsidRPr="001E0E75">
        <w:rPr>
          <w:rFonts w:ascii="Arial" w:hAnsi="Arial" w:cs="Arial"/>
          <w:sz w:val="32"/>
          <w:szCs w:val="32"/>
        </w:rPr>
        <w:t xml:space="preserve">Finally, the research bridges the gap between </w:t>
      </w:r>
      <w:r w:rsidRPr="001E0E75">
        <w:rPr>
          <w:rFonts w:ascii="Arial" w:hAnsi="Arial" w:cs="Arial"/>
          <w:b/>
          <w:bCs/>
          <w:sz w:val="32"/>
          <w:szCs w:val="32"/>
        </w:rPr>
        <w:t>hospitality marketing theory</w:t>
      </w:r>
      <w:r w:rsidRPr="001E0E75">
        <w:rPr>
          <w:rFonts w:ascii="Arial" w:hAnsi="Arial" w:cs="Arial"/>
          <w:sz w:val="32"/>
          <w:szCs w:val="32"/>
        </w:rPr>
        <w:t xml:space="preserve"> and </w:t>
      </w:r>
      <w:r w:rsidRPr="001E0E75">
        <w:rPr>
          <w:rFonts w:ascii="Arial" w:hAnsi="Arial" w:cs="Arial"/>
          <w:b/>
          <w:bCs/>
          <w:sz w:val="32"/>
          <w:szCs w:val="32"/>
        </w:rPr>
        <w:t>practical sales operations</w:t>
      </w:r>
      <w:r w:rsidRPr="001E0E75">
        <w:rPr>
          <w:rFonts w:ascii="Arial" w:hAnsi="Arial" w:cs="Arial"/>
          <w:sz w:val="32"/>
          <w:szCs w:val="32"/>
        </w:rPr>
        <w:t>, confirming Enz’s (2010) proposition that location affects managerial decision-making across pricing, promotion, and resource allocation.</w:t>
      </w:r>
    </w:p>
    <w:p w14:paraId="29EA686A" w14:textId="77777777" w:rsidR="00B4255E" w:rsidRPr="001E0E75" w:rsidRDefault="00B4255E" w:rsidP="001E0E75">
      <w:pPr>
        <w:spacing w:line="360" w:lineRule="auto"/>
        <w:ind w:left="720"/>
        <w:rPr>
          <w:rFonts w:ascii="Arial" w:hAnsi="Arial" w:cs="Arial"/>
          <w:sz w:val="32"/>
          <w:szCs w:val="32"/>
        </w:rPr>
      </w:pPr>
    </w:p>
    <w:p w14:paraId="68BA9A9F" w14:textId="77777777" w:rsidR="00B4255E" w:rsidRPr="001E0E75" w:rsidRDefault="00B4255E" w:rsidP="001E0E75">
      <w:pPr>
        <w:spacing w:line="360" w:lineRule="auto"/>
        <w:ind w:left="720"/>
        <w:rPr>
          <w:rFonts w:ascii="Arial" w:hAnsi="Arial" w:cs="Arial"/>
          <w:b/>
          <w:bCs/>
          <w:sz w:val="32"/>
          <w:szCs w:val="32"/>
        </w:rPr>
      </w:pPr>
      <w:r w:rsidRPr="001E0E75">
        <w:rPr>
          <w:rFonts w:ascii="Arial" w:hAnsi="Arial" w:cs="Arial"/>
          <w:b/>
          <w:bCs/>
          <w:sz w:val="32"/>
          <w:szCs w:val="32"/>
        </w:rPr>
        <w:lastRenderedPageBreak/>
        <w:t>5.4 Practical Implications for Hilton and Regional Hotels</w:t>
      </w:r>
    </w:p>
    <w:p w14:paraId="59CABE05" w14:textId="77777777" w:rsidR="00B4255E" w:rsidRPr="001E0E75" w:rsidRDefault="00B4255E" w:rsidP="001E0E75">
      <w:pPr>
        <w:spacing w:line="360" w:lineRule="auto"/>
        <w:ind w:left="720"/>
        <w:rPr>
          <w:rFonts w:ascii="Arial" w:hAnsi="Arial" w:cs="Arial"/>
          <w:sz w:val="32"/>
          <w:szCs w:val="32"/>
        </w:rPr>
      </w:pPr>
      <w:r w:rsidRPr="001E0E75">
        <w:rPr>
          <w:rFonts w:ascii="Arial" w:hAnsi="Arial" w:cs="Arial"/>
          <w:sz w:val="32"/>
          <w:szCs w:val="32"/>
        </w:rPr>
        <w:t>The insights derived from DoubleTree by Hilton Dartford Bridge carry broader lessons for regional full-service hotels within large international chains.</w:t>
      </w:r>
    </w:p>
    <w:p w14:paraId="51E8B41C" w14:textId="77777777" w:rsidR="00B4255E" w:rsidRPr="001E0E75" w:rsidRDefault="00B4255E" w:rsidP="001E0E75">
      <w:pPr>
        <w:spacing w:line="360" w:lineRule="auto"/>
        <w:ind w:left="720"/>
        <w:rPr>
          <w:rFonts w:ascii="Arial" w:hAnsi="Arial" w:cs="Arial"/>
          <w:b/>
          <w:bCs/>
          <w:sz w:val="32"/>
          <w:szCs w:val="32"/>
        </w:rPr>
      </w:pPr>
      <w:r w:rsidRPr="001E0E75">
        <w:rPr>
          <w:rFonts w:ascii="Arial" w:hAnsi="Arial" w:cs="Arial"/>
          <w:b/>
          <w:bCs/>
          <w:sz w:val="32"/>
          <w:szCs w:val="32"/>
        </w:rPr>
        <w:t>5.4.1 Geo-targeted Digital Marketing</w:t>
      </w:r>
    </w:p>
    <w:p w14:paraId="67527E65" w14:textId="77777777" w:rsidR="00B4255E" w:rsidRPr="001E0E75" w:rsidRDefault="00B4255E" w:rsidP="001E0E75">
      <w:pPr>
        <w:spacing w:line="360" w:lineRule="auto"/>
        <w:ind w:left="720"/>
        <w:rPr>
          <w:rFonts w:ascii="Arial" w:hAnsi="Arial" w:cs="Arial"/>
          <w:sz w:val="32"/>
          <w:szCs w:val="32"/>
        </w:rPr>
      </w:pPr>
      <w:r w:rsidRPr="001E0E75">
        <w:rPr>
          <w:rFonts w:ascii="Arial" w:hAnsi="Arial" w:cs="Arial"/>
          <w:sz w:val="32"/>
          <w:szCs w:val="32"/>
        </w:rPr>
        <w:t>Hilton should expand its use of geo-targeted advertising and search-engine marketing focused on corporate clusters along the M25, Thames Gateway, and South-East England. As Camilleri (2023) emphasises, digital segmentation can offset physical distance by capturing audiences searching for “London-area meetings with parking.” Integrating local keywords, Google My Business optimisation, and LinkedIn promotion will increase event enquiries from the regional market.</w:t>
      </w:r>
    </w:p>
    <w:p w14:paraId="62C7DBEE" w14:textId="77777777" w:rsidR="00B4255E" w:rsidRPr="001E0E75" w:rsidRDefault="00B4255E" w:rsidP="001E0E75">
      <w:pPr>
        <w:spacing w:line="360" w:lineRule="auto"/>
        <w:ind w:left="720"/>
        <w:rPr>
          <w:rFonts w:ascii="Arial" w:hAnsi="Arial" w:cs="Arial"/>
          <w:b/>
          <w:bCs/>
          <w:sz w:val="32"/>
          <w:szCs w:val="32"/>
        </w:rPr>
      </w:pPr>
      <w:r w:rsidRPr="001E0E75">
        <w:rPr>
          <w:rFonts w:ascii="Arial" w:hAnsi="Arial" w:cs="Arial"/>
          <w:b/>
          <w:bCs/>
          <w:sz w:val="32"/>
          <w:szCs w:val="32"/>
        </w:rPr>
        <w:t>5.4.2 Hybrid Event Excellence</w:t>
      </w:r>
    </w:p>
    <w:p w14:paraId="284D213D" w14:textId="77777777" w:rsidR="00B4255E" w:rsidRPr="001E0E75" w:rsidRDefault="00B4255E" w:rsidP="001E0E75">
      <w:pPr>
        <w:spacing w:line="360" w:lineRule="auto"/>
        <w:ind w:left="720"/>
        <w:rPr>
          <w:rFonts w:ascii="Arial" w:hAnsi="Arial" w:cs="Arial"/>
          <w:sz w:val="32"/>
          <w:szCs w:val="32"/>
        </w:rPr>
      </w:pPr>
      <w:r w:rsidRPr="001E0E75">
        <w:rPr>
          <w:rFonts w:ascii="Arial" w:hAnsi="Arial" w:cs="Arial"/>
          <w:sz w:val="32"/>
          <w:szCs w:val="32"/>
        </w:rPr>
        <w:t>The property should invest in continual staff training to ensure that hybrid meeting technology remains reliable and competitive. Partnerships with AV suppliers could provide technical expertise without large capital costs. Following Davidson and Rogers (2022), hybrid capability should be promoted not merely as an add-on but as a core component of the hotel’s M&amp;E identity—“connected, accessible, and sustainable.”</w:t>
      </w:r>
    </w:p>
    <w:p w14:paraId="3200EA97" w14:textId="77777777" w:rsidR="00B4255E" w:rsidRPr="001E0E75" w:rsidRDefault="00B4255E" w:rsidP="001E0E75">
      <w:pPr>
        <w:spacing w:line="360" w:lineRule="auto"/>
        <w:ind w:left="720"/>
        <w:rPr>
          <w:rFonts w:ascii="Arial" w:hAnsi="Arial" w:cs="Arial"/>
          <w:b/>
          <w:bCs/>
          <w:sz w:val="32"/>
          <w:szCs w:val="32"/>
        </w:rPr>
      </w:pPr>
      <w:r w:rsidRPr="001E0E75">
        <w:rPr>
          <w:rFonts w:ascii="Arial" w:hAnsi="Arial" w:cs="Arial"/>
          <w:b/>
          <w:bCs/>
          <w:sz w:val="32"/>
          <w:szCs w:val="32"/>
        </w:rPr>
        <w:lastRenderedPageBreak/>
        <w:t>5.4.3 Sustainability and CSR Integration</w:t>
      </w:r>
    </w:p>
    <w:p w14:paraId="68347CFE" w14:textId="77777777" w:rsidR="00B4255E" w:rsidRPr="001E0E75" w:rsidRDefault="00B4255E" w:rsidP="001E0E75">
      <w:pPr>
        <w:spacing w:line="360" w:lineRule="auto"/>
        <w:ind w:left="720"/>
        <w:rPr>
          <w:rFonts w:ascii="Arial" w:hAnsi="Arial" w:cs="Arial"/>
          <w:sz w:val="32"/>
          <w:szCs w:val="32"/>
        </w:rPr>
      </w:pPr>
      <w:r w:rsidRPr="001E0E75">
        <w:rPr>
          <w:rFonts w:ascii="Arial" w:hAnsi="Arial" w:cs="Arial"/>
          <w:sz w:val="32"/>
          <w:szCs w:val="32"/>
        </w:rPr>
        <w:t xml:space="preserve">Corporate clients increasingly select venues based on environmental credentials (Green Tourism, 2024). Achieving Green Tourism certification or alignment with Hilton’s </w:t>
      </w:r>
      <w:r w:rsidRPr="001E0E75">
        <w:rPr>
          <w:rFonts w:ascii="Arial" w:hAnsi="Arial" w:cs="Arial"/>
          <w:i/>
          <w:iCs/>
          <w:sz w:val="32"/>
          <w:szCs w:val="32"/>
        </w:rPr>
        <w:t>Travel with Purpose</w:t>
      </w:r>
      <w:r w:rsidRPr="001E0E75">
        <w:rPr>
          <w:rFonts w:ascii="Arial" w:hAnsi="Arial" w:cs="Arial"/>
          <w:sz w:val="32"/>
          <w:szCs w:val="32"/>
        </w:rPr>
        <w:t xml:space="preserve"> initiative would enhance brand differentiation and appeal to socially responsible organisations. Sustainable practices—such as digital registration, waste reduction, and renewable-energy use—should be marketed as integral to the guest experience.</w:t>
      </w:r>
    </w:p>
    <w:p w14:paraId="40AC09D2" w14:textId="77777777" w:rsidR="00B4255E" w:rsidRPr="001E0E75" w:rsidRDefault="00B4255E" w:rsidP="001E0E75">
      <w:pPr>
        <w:spacing w:line="360" w:lineRule="auto"/>
        <w:ind w:left="720"/>
        <w:rPr>
          <w:rFonts w:ascii="Arial" w:hAnsi="Arial" w:cs="Arial"/>
          <w:b/>
          <w:bCs/>
          <w:sz w:val="32"/>
          <w:szCs w:val="32"/>
        </w:rPr>
      </w:pPr>
      <w:r w:rsidRPr="001E0E75">
        <w:rPr>
          <w:rFonts w:ascii="Arial" w:hAnsi="Arial" w:cs="Arial"/>
          <w:b/>
          <w:bCs/>
          <w:sz w:val="32"/>
          <w:szCs w:val="32"/>
        </w:rPr>
        <w:t>5.4.4 Community and Business Partnerships</w:t>
      </w:r>
    </w:p>
    <w:p w14:paraId="23018632" w14:textId="77777777" w:rsidR="00B4255E" w:rsidRPr="001E0E75" w:rsidRDefault="00B4255E" w:rsidP="001E0E75">
      <w:pPr>
        <w:spacing w:line="360" w:lineRule="auto"/>
        <w:ind w:left="720"/>
        <w:rPr>
          <w:rFonts w:ascii="Arial" w:hAnsi="Arial" w:cs="Arial"/>
          <w:sz w:val="32"/>
          <w:szCs w:val="32"/>
        </w:rPr>
      </w:pPr>
      <w:r w:rsidRPr="001E0E75">
        <w:rPr>
          <w:rFonts w:ascii="Arial" w:hAnsi="Arial" w:cs="Arial"/>
          <w:sz w:val="32"/>
          <w:szCs w:val="32"/>
        </w:rPr>
        <w:t>Building partnerships with local chambers of commerce, business parks, and universities can generate repeat events and visibility within the regional economy. These alliances strengthen brand identity and reflect Rogerson and Lisa’s (2020) recommendation that peripheral hotels embed themselves within local business ecosystems to stabilise demand.</w:t>
      </w:r>
    </w:p>
    <w:p w14:paraId="0C85FBE4" w14:textId="77777777" w:rsidR="00B4255E" w:rsidRPr="001E0E75" w:rsidRDefault="00B4255E" w:rsidP="001E0E75">
      <w:pPr>
        <w:spacing w:line="360" w:lineRule="auto"/>
        <w:ind w:left="720"/>
        <w:rPr>
          <w:rFonts w:ascii="Arial" w:hAnsi="Arial" w:cs="Arial"/>
          <w:b/>
          <w:bCs/>
          <w:sz w:val="32"/>
          <w:szCs w:val="32"/>
        </w:rPr>
      </w:pPr>
      <w:r w:rsidRPr="001E0E75">
        <w:rPr>
          <w:rFonts w:ascii="Arial" w:hAnsi="Arial" w:cs="Arial"/>
          <w:b/>
          <w:bCs/>
          <w:sz w:val="32"/>
          <w:szCs w:val="32"/>
        </w:rPr>
        <w:t>5.4.5 Staff Development and Retention</w:t>
      </w:r>
    </w:p>
    <w:p w14:paraId="3915658A" w14:textId="68A5013A" w:rsidR="00B4255E" w:rsidRPr="001E0E75" w:rsidRDefault="00B4255E" w:rsidP="000F4B47">
      <w:pPr>
        <w:spacing w:line="360" w:lineRule="auto"/>
        <w:ind w:left="720"/>
        <w:rPr>
          <w:rFonts w:ascii="Arial" w:hAnsi="Arial" w:cs="Arial"/>
          <w:sz w:val="32"/>
          <w:szCs w:val="32"/>
        </w:rPr>
      </w:pPr>
      <w:r w:rsidRPr="001E0E75">
        <w:rPr>
          <w:rFonts w:ascii="Arial" w:hAnsi="Arial" w:cs="Arial"/>
          <w:sz w:val="32"/>
          <w:szCs w:val="32"/>
        </w:rPr>
        <w:t xml:space="preserve">Given that personalised service emerged as a key determinant of client loyalty, Hilton should implement structured M&amp;E training modules for regional staff under its corporate learning framework. Enhancing employee engagement and cross-departmental collaboration can </w:t>
      </w:r>
      <w:r w:rsidRPr="001E0E75">
        <w:rPr>
          <w:rFonts w:ascii="Arial" w:hAnsi="Arial" w:cs="Arial"/>
          <w:sz w:val="32"/>
          <w:szCs w:val="32"/>
        </w:rPr>
        <w:lastRenderedPageBreak/>
        <w:t>sustain service consistency even under resource constraints (Baum, 2017).</w:t>
      </w:r>
    </w:p>
    <w:p w14:paraId="056B8875" w14:textId="77777777" w:rsidR="00B4255E" w:rsidRPr="001E0E75" w:rsidRDefault="00B4255E" w:rsidP="001E0E75">
      <w:pPr>
        <w:spacing w:line="360" w:lineRule="auto"/>
        <w:ind w:left="720"/>
        <w:rPr>
          <w:rFonts w:ascii="Arial" w:hAnsi="Arial" w:cs="Arial"/>
          <w:b/>
          <w:bCs/>
          <w:sz w:val="32"/>
          <w:szCs w:val="32"/>
        </w:rPr>
      </w:pPr>
      <w:r w:rsidRPr="001E0E75">
        <w:rPr>
          <w:rFonts w:ascii="Arial" w:hAnsi="Arial" w:cs="Arial"/>
          <w:b/>
          <w:bCs/>
          <w:sz w:val="32"/>
          <w:szCs w:val="32"/>
        </w:rPr>
        <w:t>5.5 Strategic Framework for DoubleTree by Hilton Dartford Bridge</w:t>
      </w:r>
    </w:p>
    <w:p w14:paraId="095EA1BC" w14:textId="77777777" w:rsidR="00B4255E" w:rsidRDefault="00B4255E" w:rsidP="001E0E75">
      <w:pPr>
        <w:spacing w:line="360" w:lineRule="auto"/>
        <w:ind w:left="720"/>
        <w:rPr>
          <w:rFonts w:ascii="Arial" w:hAnsi="Arial" w:cs="Arial"/>
          <w:sz w:val="32"/>
          <w:szCs w:val="32"/>
        </w:rPr>
      </w:pPr>
      <w:r w:rsidRPr="001E0E75">
        <w:rPr>
          <w:rFonts w:ascii="Arial" w:hAnsi="Arial" w:cs="Arial"/>
          <w:sz w:val="32"/>
          <w:szCs w:val="32"/>
        </w:rPr>
        <w:t>To operationalise these insights, the following strategic model is proposed:</w:t>
      </w:r>
    </w:p>
    <w:tbl>
      <w:tblPr>
        <w:tblW w:w="9820" w:type="dxa"/>
        <w:tblLook w:val="04A0" w:firstRow="1" w:lastRow="0" w:firstColumn="1" w:lastColumn="0" w:noHBand="0" w:noVBand="1"/>
      </w:tblPr>
      <w:tblGrid>
        <w:gridCol w:w="2385"/>
        <w:gridCol w:w="3924"/>
        <w:gridCol w:w="3511"/>
      </w:tblGrid>
      <w:tr w:rsidR="000F4B47" w:rsidRPr="000F4B47" w14:paraId="72AC627B" w14:textId="77777777" w:rsidTr="000F4B47">
        <w:trPr>
          <w:trHeight w:val="780"/>
        </w:trPr>
        <w:tc>
          <w:tcPr>
            <w:tcW w:w="2360" w:type="dxa"/>
            <w:tcBorders>
              <w:top w:val="single" w:sz="4" w:space="0" w:color="auto"/>
              <w:left w:val="single" w:sz="4" w:space="0" w:color="auto"/>
              <w:bottom w:val="single" w:sz="4" w:space="0" w:color="auto"/>
              <w:right w:val="single" w:sz="4" w:space="0" w:color="auto"/>
            </w:tcBorders>
            <w:vAlign w:val="center"/>
            <w:hideMark/>
          </w:tcPr>
          <w:p w14:paraId="6F56F1A2" w14:textId="77777777" w:rsidR="000F4B47" w:rsidRPr="000F4B47" w:rsidRDefault="000F4B47" w:rsidP="000F4B47">
            <w:pPr>
              <w:spacing w:after="0" w:line="240" w:lineRule="auto"/>
              <w:jc w:val="center"/>
              <w:rPr>
                <w:rFonts w:ascii="Arial" w:eastAsia="Times New Roman" w:hAnsi="Arial" w:cs="Arial"/>
                <w:b/>
                <w:bCs/>
                <w:color w:val="000000"/>
                <w:kern w:val="0"/>
                <w:sz w:val="32"/>
                <w:szCs w:val="32"/>
                <w:lang w:eastAsia="en-GB"/>
                <w14:ligatures w14:val="none"/>
              </w:rPr>
            </w:pPr>
            <w:r w:rsidRPr="000F4B47">
              <w:rPr>
                <w:rFonts w:ascii="Arial" w:eastAsia="Times New Roman" w:hAnsi="Arial" w:cs="Arial"/>
                <w:b/>
                <w:bCs/>
                <w:color w:val="000000"/>
                <w:kern w:val="0"/>
                <w:sz w:val="32"/>
                <w:szCs w:val="32"/>
                <w:lang w:eastAsia="en-GB"/>
                <w14:ligatures w14:val="none"/>
              </w:rPr>
              <w:t>Strategic Pillar</w:t>
            </w:r>
          </w:p>
        </w:tc>
        <w:tc>
          <w:tcPr>
            <w:tcW w:w="3940" w:type="dxa"/>
            <w:tcBorders>
              <w:top w:val="single" w:sz="4" w:space="0" w:color="auto"/>
              <w:left w:val="nil"/>
              <w:bottom w:val="single" w:sz="4" w:space="0" w:color="auto"/>
              <w:right w:val="single" w:sz="4" w:space="0" w:color="auto"/>
            </w:tcBorders>
            <w:vAlign w:val="center"/>
            <w:hideMark/>
          </w:tcPr>
          <w:p w14:paraId="7580B82D" w14:textId="77777777" w:rsidR="000F4B47" w:rsidRPr="000F4B47" w:rsidRDefault="000F4B47" w:rsidP="000F4B47">
            <w:pPr>
              <w:spacing w:after="0" w:line="240" w:lineRule="auto"/>
              <w:jc w:val="center"/>
              <w:rPr>
                <w:rFonts w:ascii="Arial" w:eastAsia="Times New Roman" w:hAnsi="Arial" w:cs="Arial"/>
                <w:b/>
                <w:bCs/>
                <w:color w:val="000000"/>
                <w:kern w:val="0"/>
                <w:sz w:val="32"/>
                <w:szCs w:val="32"/>
                <w:lang w:eastAsia="en-GB"/>
                <w14:ligatures w14:val="none"/>
              </w:rPr>
            </w:pPr>
            <w:r w:rsidRPr="000F4B47">
              <w:rPr>
                <w:rFonts w:ascii="Arial" w:eastAsia="Times New Roman" w:hAnsi="Arial" w:cs="Arial"/>
                <w:b/>
                <w:bCs/>
                <w:color w:val="000000"/>
                <w:kern w:val="0"/>
                <w:sz w:val="32"/>
                <w:szCs w:val="32"/>
                <w:lang w:eastAsia="en-GB"/>
                <w14:ligatures w14:val="none"/>
              </w:rPr>
              <w:t>Key Action</w:t>
            </w:r>
          </w:p>
        </w:tc>
        <w:tc>
          <w:tcPr>
            <w:tcW w:w="3520" w:type="dxa"/>
            <w:tcBorders>
              <w:top w:val="single" w:sz="4" w:space="0" w:color="auto"/>
              <w:left w:val="nil"/>
              <w:bottom w:val="single" w:sz="4" w:space="0" w:color="auto"/>
              <w:right w:val="single" w:sz="4" w:space="0" w:color="auto"/>
            </w:tcBorders>
            <w:vAlign w:val="center"/>
            <w:hideMark/>
          </w:tcPr>
          <w:p w14:paraId="66269EF1" w14:textId="77777777" w:rsidR="000F4B47" w:rsidRPr="000F4B47" w:rsidRDefault="000F4B47" w:rsidP="000F4B47">
            <w:pPr>
              <w:spacing w:after="0" w:line="240" w:lineRule="auto"/>
              <w:jc w:val="center"/>
              <w:rPr>
                <w:rFonts w:ascii="Arial" w:eastAsia="Times New Roman" w:hAnsi="Arial" w:cs="Arial"/>
                <w:b/>
                <w:bCs/>
                <w:color w:val="000000"/>
                <w:kern w:val="0"/>
                <w:sz w:val="32"/>
                <w:szCs w:val="32"/>
                <w:lang w:eastAsia="en-GB"/>
                <w14:ligatures w14:val="none"/>
              </w:rPr>
            </w:pPr>
            <w:r w:rsidRPr="000F4B47">
              <w:rPr>
                <w:rFonts w:ascii="Arial" w:eastAsia="Times New Roman" w:hAnsi="Arial" w:cs="Arial"/>
                <w:b/>
                <w:bCs/>
                <w:color w:val="000000"/>
                <w:kern w:val="0"/>
                <w:sz w:val="32"/>
                <w:szCs w:val="32"/>
                <w:lang w:eastAsia="en-GB"/>
                <w14:ligatures w14:val="none"/>
              </w:rPr>
              <w:t>Expected Outcome</w:t>
            </w:r>
          </w:p>
        </w:tc>
      </w:tr>
      <w:tr w:rsidR="000F4B47" w:rsidRPr="000F4B47" w14:paraId="7665D235" w14:textId="77777777" w:rsidTr="000F4B47">
        <w:trPr>
          <w:trHeight w:val="1665"/>
        </w:trPr>
        <w:tc>
          <w:tcPr>
            <w:tcW w:w="2360" w:type="dxa"/>
            <w:tcBorders>
              <w:top w:val="nil"/>
              <w:left w:val="single" w:sz="4" w:space="0" w:color="auto"/>
              <w:bottom w:val="single" w:sz="4" w:space="0" w:color="auto"/>
              <w:right w:val="single" w:sz="4" w:space="0" w:color="auto"/>
            </w:tcBorders>
            <w:vAlign w:val="center"/>
            <w:hideMark/>
          </w:tcPr>
          <w:p w14:paraId="5A4B0E34" w14:textId="77777777" w:rsidR="000F4B47" w:rsidRPr="000F4B47" w:rsidRDefault="000F4B47" w:rsidP="000F4B47">
            <w:pPr>
              <w:spacing w:after="0" w:line="240" w:lineRule="auto"/>
              <w:jc w:val="center"/>
              <w:rPr>
                <w:rFonts w:ascii="Arial" w:eastAsia="Times New Roman" w:hAnsi="Arial" w:cs="Arial"/>
                <w:b/>
                <w:bCs/>
                <w:color w:val="000000"/>
                <w:kern w:val="0"/>
                <w:sz w:val="32"/>
                <w:szCs w:val="32"/>
                <w:lang w:eastAsia="en-GB"/>
                <w14:ligatures w14:val="none"/>
              </w:rPr>
            </w:pPr>
            <w:r w:rsidRPr="000F4B47">
              <w:rPr>
                <w:rFonts w:ascii="Arial" w:eastAsia="Times New Roman" w:hAnsi="Arial" w:cs="Arial"/>
                <w:b/>
                <w:bCs/>
                <w:color w:val="000000"/>
                <w:kern w:val="0"/>
                <w:sz w:val="32"/>
                <w:szCs w:val="32"/>
                <w:lang w:eastAsia="en-GB"/>
                <w14:ligatures w14:val="none"/>
              </w:rPr>
              <w:t>Market Visibility</w:t>
            </w:r>
          </w:p>
        </w:tc>
        <w:tc>
          <w:tcPr>
            <w:tcW w:w="3940" w:type="dxa"/>
            <w:tcBorders>
              <w:top w:val="nil"/>
              <w:left w:val="nil"/>
              <w:bottom w:val="single" w:sz="4" w:space="0" w:color="auto"/>
              <w:right w:val="single" w:sz="4" w:space="0" w:color="auto"/>
            </w:tcBorders>
            <w:vAlign w:val="center"/>
            <w:hideMark/>
          </w:tcPr>
          <w:p w14:paraId="0C6CD51C" w14:textId="77777777" w:rsidR="000F4B47" w:rsidRPr="000F4B47" w:rsidRDefault="000F4B47" w:rsidP="000F4B47">
            <w:pPr>
              <w:spacing w:after="0" w:line="240" w:lineRule="auto"/>
              <w:jc w:val="center"/>
              <w:rPr>
                <w:rFonts w:ascii="Arial" w:eastAsia="Times New Roman" w:hAnsi="Arial" w:cs="Arial"/>
                <w:color w:val="000000"/>
                <w:kern w:val="0"/>
                <w:sz w:val="32"/>
                <w:szCs w:val="32"/>
                <w:lang w:eastAsia="en-GB"/>
                <w14:ligatures w14:val="none"/>
              </w:rPr>
            </w:pPr>
            <w:r w:rsidRPr="000F4B47">
              <w:rPr>
                <w:rFonts w:ascii="Arial" w:eastAsia="Times New Roman" w:hAnsi="Arial" w:cs="Arial"/>
                <w:color w:val="000000"/>
                <w:kern w:val="0"/>
                <w:sz w:val="32"/>
                <w:szCs w:val="32"/>
                <w:lang w:eastAsia="en-GB"/>
                <w14:ligatures w14:val="none"/>
              </w:rPr>
              <w:t>Launch geo-targeted digital campaigns and strengthen SEO presence</w:t>
            </w:r>
          </w:p>
        </w:tc>
        <w:tc>
          <w:tcPr>
            <w:tcW w:w="3520" w:type="dxa"/>
            <w:tcBorders>
              <w:top w:val="nil"/>
              <w:left w:val="nil"/>
              <w:bottom w:val="single" w:sz="4" w:space="0" w:color="auto"/>
              <w:right w:val="single" w:sz="4" w:space="0" w:color="auto"/>
            </w:tcBorders>
            <w:vAlign w:val="center"/>
            <w:hideMark/>
          </w:tcPr>
          <w:p w14:paraId="46383C15" w14:textId="77777777" w:rsidR="000F4B47" w:rsidRPr="000F4B47" w:rsidRDefault="000F4B47" w:rsidP="000F4B47">
            <w:pPr>
              <w:spacing w:after="0" w:line="240" w:lineRule="auto"/>
              <w:jc w:val="center"/>
              <w:rPr>
                <w:rFonts w:ascii="Arial" w:eastAsia="Times New Roman" w:hAnsi="Arial" w:cs="Arial"/>
                <w:color w:val="000000"/>
                <w:kern w:val="0"/>
                <w:sz w:val="32"/>
                <w:szCs w:val="32"/>
                <w:lang w:eastAsia="en-GB"/>
                <w14:ligatures w14:val="none"/>
              </w:rPr>
            </w:pPr>
            <w:r w:rsidRPr="000F4B47">
              <w:rPr>
                <w:rFonts w:ascii="Arial" w:eastAsia="Times New Roman" w:hAnsi="Arial" w:cs="Arial"/>
                <w:color w:val="000000"/>
                <w:kern w:val="0"/>
                <w:sz w:val="32"/>
                <w:szCs w:val="32"/>
                <w:lang w:eastAsia="en-GB"/>
                <w14:ligatures w14:val="none"/>
              </w:rPr>
              <w:t>Higher enquiry volume from regional corporates</w:t>
            </w:r>
          </w:p>
        </w:tc>
      </w:tr>
      <w:tr w:rsidR="000F4B47" w:rsidRPr="000F4B47" w14:paraId="7DD86ADF" w14:textId="77777777" w:rsidTr="000F4B47">
        <w:trPr>
          <w:trHeight w:val="1320"/>
        </w:trPr>
        <w:tc>
          <w:tcPr>
            <w:tcW w:w="2360" w:type="dxa"/>
            <w:tcBorders>
              <w:top w:val="nil"/>
              <w:left w:val="single" w:sz="4" w:space="0" w:color="auto"/>
              <w:bottom w:val="single" w:sz="4" w:space="0" w:color="auto"/>
              <w:right w:val="single" w:sz="4" w:space="0" w:color="auto"/>
            </w:tcBorders>
            <w:vAlign w:val="center"/>
            <w:hideMark/>
          </w:tcPr>
          <w:p w14:paraId="3B3E40A0" w14:textId="77777777" w:rsidR="000F4B47" w:rsidRPr="000F4B47" w:rsidRDefault="000F4B47" w:rsidP="000F4B47">
            <w:pPr>
              <w:spacing w:after="0" w:line="240" w:lineRule="auto"/>
              <w:jc w:val="center"/>
              <w:rPr>
                <w:rFonts w:ascii="Arial" w:eastAsia="Times New Roman" w:hAnsi="Arial" w:cs="Arial"/>
                <w:b/>
                <w:bCs/>
                <w:color w:val="000000"/>
                <w:kern w:val="0"/>
                <w:sz w:val="32"/>
                <w:szCs w:val="32"/>
                <w:lang w:eastAsia="en-GB"/>
                <w14:ligatures w14:val="none"/>
              </w:rPr>
            </w:pPr>
            <w:r w:rsidRPr="000F4B47">
              <w:rPr>
                <w:rFonts w:ascii="Arial" w:eastAsia="Times New Roman" w:hAnsi="Arial" w:cs="Arial"/>
                <w:b/>
                <w:bCs/>
                <w:color w:val="000000"/>
                <w:kern w:val="0"/>
                <w:sz w:val="32"/>
                <w:szCs w:val="32"/>
                <w:lang w:eastAsia="en-GB"/>
                <w14:ligatures w14:val="none"/>
              </w:rPr>
              <w:t>Hybrid Innovation</w:t>
            </w:r>
          </w:p>
        </w:tc>
        <w:tc>
          <w:tcPr>
            <w:tcW w:w="3940" w:type="dxa"/>
            <w:tcBorders>
              <w:top w:val="nil"/>
              <w:left w:val="nil"/>
              <w:bottom w:val="single" w:sz="4" w:space="0" w:color="auto"/>
              <w:right w:val="single" w:sz="4" w:space="0" w:color="auto"/>
            </w:tcBorders>
            <w:vAlign w:val="center"/>
            <w:hideMark/>
          </w:tcPr>
          <w:p w14:paraId="5E422040" w14:textId="77777777" w:rsidR="000F4B47" w:rsidRPr="000F4B47" w:rsidRDefault="000F4B47" w:rsidP="000F4B47">
            <w:pPr>
              <w:spacing w:after="0" w:line="240" w:lineRule="auto"/>
              <w:jc w:val="center"/>
              <w:rPr>
                <w:rFonts w:ascii="Arial" w:eastAsia="Times New Roman" w:hAnsi="Arial" w:cs="Arial"/>
                <w:color w:val="000000"/>
                <w:kern w:val="0"/>
                <w:sz w:val="32"/>
                <w:szCs w:val="32"/>
                <w:lang w:eastAsia="en-GB"/>
                <w14:ligatures w14:val="none"/>
              </w:rPr>
            </w:pPr>
            <w:r w:rsidRPr="000F4B47">
              <w:rPr>
                <w:rFonts w:ascii="Arial" w:eastAsia="Times New Roman" w:hAnsi="Arial" w:cs="Arial"/>
                <w:color w:val="000000"/>
                <w:kern w:val="0"/>
                <w:sz w:val="32"/>
                <w:szCs w:val="32"/>
                <w:lang w:eastAsia="en-GB"/>
                <w14:ligatures w14:val="none"/>
              </w:rPr>
              <w:t>Maintain updated AV tech and staff competence</w:t>
            </w:r>
          </w:p>
        </w:tc>
        <w:tc>
          <w:tcPr>
            <w:tcW w:w="3520" w:type="dxa"/>
            <w:tcBorders>
              <w:top w:val="nil"/>
              <w:left w:val="nil"/>
              <w:bottom w:val="single" w:sz="4" w:space="0" w:color="auto"/>
              <w:right w:val="single" w:sz="4" w:space="0" w:color="auto"/>
            </w:tcBorders>
            <w:vAlign w:val="center"/>
            <w:hideMark/>
          </w:tcPr>
          <w:p w14:paraId="29DC2732" w14:textId="77777777" w:rsidR="000F4B47" w:rsidRPr="000F4B47" w:rsidRDefault="000F4B47" w:rsidP="000F4B47">
            <w:pPr>
              <w:spacing w:after="0" w:line="240" w:lineRule="auto"/>
              <w:jc w:val="center"/>
              <w:rPr>
                <w:rFonts w:ascii="Arial" w:eastAsia="Times New Roman" w:hAnsi="Arial" w:cs="Arial"/>
                <w:color w:val="000000"/>
                <w:kern w:val="0"/>
                <w:sz w:val="32"/>
                <w:szCs w:val="32"/>
                <w:lang w:eastAsia="en-GB"/>
                <w14:ligatures w14:val="none"/>
              </w:rPr>
            </w:pPr>
            <w:r w:rsidRPr="000F4B47">
              <w:rPr>
                <w:rFonts w:ascii="Arial" w:eastAsia="Times New Roman" w:hAnsi="Arial" w:cs="Arial"/>
                <w:color w:val="000000"/>
                <w:kern w:val="0"/>
                <w:sz w:val="32"/>
                <w:szCs w:val="32"/>
                <w:lang w:eastAsia="en-GB"/>
                <w14:ligatures w14:val="none"/>
              </w:rPr>
              <w:t>Increased event flexibility and client satisfaction</w:t>
            </w:r>
          </w:p>
        </w:tc>
      </w:tr>
      <w:tr w:rsidR="000F4B47" w:rsidRPr="000F4B47" w14:paraId="1D20A492" w14:textId="77777777" w:rsidTr="000F4B47">
        <w:trPr>
          <w:trHeight w:val="1245"/>
        </w:trPr>
        <w:tc>
          <w:tcPr>
            <w:tcW w:w="2360" w:type="dxa"/>
            <w:tcBorders>
              <w:top w:val="nil"/>
              <w:left w:val="single" w:sz="4" w:space="0" w:color="auto"/>
              <w:bottom w:val="single" w:sz="4" w:space="0" w:color="auto"/>
              <w:right w:val="single" w:sz="4" w:space="0" w:color="auto"/>
            </w:tcBorders>
            <w:vAlign w:val="center"/>
            <w:hideMark/>
          </w:tcPr>
          <w:p w14:paraId="7288F8AD" w14:textId="77777777" w:rsidR="000F4B47" w:rsidRPr="000F4B47" w:rsidRDefault="000F4B47" w:rsidP="000F4B47">
            <w:pPr>
              <w:spacing w:after="0" w:line="240" w:lineRule="auto"/>
              <w:jc w:val="center"/>
              <w:rPr>
                <w:rFonts w:ascii="Arial" w:eastAsia="Times New Roman" w:hAnsi="Arial" w:cs="Arial"/>
                <w:b/>
                <w:bCs/>
                <w:color w:val="000000"/>
                <w:kern w:val="0"/>
                <w:sz w:val="32"/>
                <w:szCs w:val="32"/>
                <w:lang w:eastAsia="en-GB"/>
                <w14:ligatures w14:val="none"/>
              </w:rPr>
            </w:pPr>
            <w:r w:rsidRPr="000F4B47">
              <w:rPr>
                <w:rFonts w:ascii="Arial" w:eastAsia="Times New Roman" w:hAnsi="Arial" w:cs="Arial"/>
                <w:b/>
                <w:bCs/>
                <w:color w:val="000000"/>
                <w:kern w:val="0"/>
                <w:sz w:val="32"/>
                <w:szCs w:val="32"/>
                <w:lang w:eastAsia="en-GB"/>
                <w14:ligatures w14:val="none"/>
              </w:rPr>
              <w:t>Value Differentiation</w:t>
            </w:r>
          </w:p>
        </w:tc>
        <w:tc>
          <w:tcPr>
            <w:tcW w:w="3940" w:type="dxa"/>
            <w:tcBorders>
              <w:top w:val="nil"/>
              <w:left w:val="nil"/>
              <w:bottom w:val="single" w:sz="4" w:space="0" w:color="auto"/>
              <w:right w:val="single" w:sz="4" w:space="0" w:color="auto"/>
            </w:tcBorders>
            <w:vAlign w:val="center"/>
            <w:hideMark/>
          </w:tcPr>
          <w:p w14:paraId="0BB8F4DE" w14:textId="77777777" w:rsidR="000F4B47" w:rsidRPr="000F4B47" w:rsidRDefault="000F4B47" w:rsidP="000F4B47">
            <w:pPr>
              <w:spacing w:after="0" w:line="240" w:lineRule="auto"/>
              <w:jc w:val="center"/>
              <w:rPr>
                <w:rFonts w:ascii="Arial" w:eastAsia="Times New Roman" w:hAnsi="Arial" w:cs="Arial"/>
                <w:color w:val="000000"/>
                <w:kern w:val="0"/>
                <w:sz w:val="32"/>
                <w:szCs w:val="32"/>
                <w:lang w:eastAsia="en-GB"/>
                <w14:ligatures w14:val="none"/>
              </w:rPr>
            </w:pPr>
            <w:r w:rsidRPr="000F4B47">
              <w:rPr>
                <w:rFonts w:ascii="Arial" w:eastAsia="Times New Roman" w:hAnsi="Arial" w:cs="Arial"/>
                <w:color w:val="000000"/>
                <w:kern w:val="0"/>
                <w:sz w:val="32"/>
                <w:szCs w:val="32"/>
                <w:lang w:eastAsia="en-GB"/>
                <w14:ligatures w14:val="none"/>
              </w:rPr>
              <w:t>Continue dynamic pricing and bespoke packages</w:t>
            </w:r>
          </w:p>
        </w:tc>
        <w:tc>
          <w:tcPr>
            <w:tcW w:w="3520" w:type="dxa"/>
            <w:tcBorders>
              <w:top w:val="nil"/>
              <w:left w:val="nil"/>
              <w:bottom w:val="single" w:sz="4" w:space="0" w:color="auto"/>
              <w:right w:val="single" w:sz="4" w:space="0" w:color="auto"/>
            </w:tcBorders>
            <w:vAlign w:val="center"/>
            <w:hideMark/>
          </w:tcPr>
          <w:p w14:paraId="5196B167" w14:textId="77777777" w:rsidR="000F4B47" w:rsidRPr="000F4B47" w:rsidRDefault="000F4B47" w:rsidP="000F4B47">
            <w:pPr>
              <w:spacing w:after="0" w:line="240" w:lineRule="auto"/>
              <w:jc w:val="center"/>
              <w:rPr>
                <w:rFonts w:ascii="Arial" w:eastAsia="Times New Roman" w:hAnsi="Arial" w:cs="Arial"/>
                <w:color w:val="000000"/>
                <w:kern w:val="0"/>
                <w:sz w:val="32"/>
                <w:szCs w:val="32"/>
                <w:lang w:eastAsia="en-GB"/>
                <w14:ligatures w14:val="none"/>
              </w:rPr>
            </w:pPr>
            <w:r w:rsidRPr="000F4B47">
              <w:rPr>
                <w:rFonts w:ascii="Arial" w:eastAsia="Times New Roman" w:hAnsi="Arial" w:cs="Arial"/>
                <w:color w:val="000000"/>
                <w:kern w:val="0"/>
                <w:sz w:val="32"/>
                <w:szCs w:val="32"/>
                <w:lang w:eastAsia="en-GB"/>
                <w14:ligatures w14:val="none"/>
              </w:rPr>
              <w:t>Enhanced conversion and competitiveness</w:t>
            </w:r>
          </w:p>
        </w:tc>
      </w:tr>
      <w:tr w:rsidR="000F4B47" w:rsidRPr="000F4B47" w14:paraId="0FA43823" w14:textId="77777777" w:rsidTr="000F4B47">
        <w:trPr>
          <w:trHeight w:val="1530"/>
        </w:trPr>
        <w:tc>
          <w:tcPr>
            <w:tcW w:w="2360" w:type="dxa"/>
            <w:tcBorders>
              <w:top w:val="nil"/>
              <w:left w:val="single" w:sz="4" w:space="0" w:color="auto"/>
              <w:bottom w:val="single" w:sz="4" w:space="0" w:color="auto"/>
              <w:right w:val="single" w:sz="4" w:space="0" w:color="auto"/>
            </w:tcBorders>
            <w:vAlign w:val="center"/>
            <w:hideMark/>
          </w:tcPr>
          <w:p w14:paraId="08563AF3" w14:textId="77777777" w:rsidR="000F4B47" w:rsidRPr="000F4B47" w:rsidRDefault="000F4B47" w:rsidP="000F4B47">
            <w:pPr>
              <w:spacing w:after="0" w:line="240" w:lineRule="auto"/>
              <w:jc w:val="center"/>
              <w:rPr>
                <w:rFonts w:ascii="Arial" w:eastAsia="Times New Roman" w:hAnsi="Arial" w:cs="Arial"/>
                <w:b/>
                <w:bCs/>
                <w:color w:val="000000"/>
                <w:kern w:val="0"/>
                <w:sz w:val="32"/>
                <w:szCs w:val="32"/>
                <w:lang w:eastAsia="en-GB"/>
                <w14:ligatures w14:val="none"/>
              </w:rPr>
            </w:pPr>
            <w:r w:rsidRPr="000F4B47">
              <w:rPr>
                <w:rFonts w:ascii="Arial" w:eastAsia="Times New Roman" w:hAnsi="Arial" w:cs="Arial"/>
                <w:b/>
                <w:bCs/>
                <w:color w:val="000000"/>
                <w:kern w:val="0"/>
                <w:sz w:val="32"/>
                <w:szCs w:val="32"/>
                <w:lang w:eastAsia="en-GB"/>
                <w14:ligatures w14:val="none"/>
              </w:rPr>
              <w:t>Sustainability</w:t>
            </w:r>
          </w:p>
        </w:tc>
        <w:tc>
          <w:tcPr>
            <w:tcW w:w="3940" w:type="dxa"/>
            <w:tcBorders>
              <w:top w:val="nil"/>
              <w:left w:val="nil"/>
              <w:bottom w:val="single" w:sz="4" w:space="0" w:color="auto"/>
              <w:right w:val="single" w:sz="4" w:space="0" w:color="auto"/>
            </w:tcBorders>
            <w:vAlign w:val="center"/>
            <w:hideMark/>
          </w:tcPr>
          <w:p w14:paraId="6F2041CF" w14:textId="77777777" w:rsidR="000F4B47" w:rsidRPr="000F4B47" w:rsidRDefault="000F4B47" w:rsidP="000F4B47">
            <w:pPr>
              <w:spacing w:after="0" w:line="240" w:lineRule="auto"/>
              <w:jc w:val="center"/>
              <w:rPr>
                <w:rFonts w:ascii="Arial" w:eastAsia="Times New Roman" w:hAnsi="Arial" w:cs="Arial"/>
                <w:color w:val="000000"/>
                <w:kern w:val="0"/>
                <w:sz w:val="32"/>
                <w:szCs w:val="32"/>
                <w:lang w:eastAsia="en-GB"/>
                <w14:ligatures w14:val="none"/>
              </w:rPr>
            </w:pPr>
            <w:r w:rsidRPr="000F4B47">
              <w:rPr>
                <w:rFonts w:ascii="Arial" w:eastAsia="Times New Roman" w:hAnsi="Arial" w:cs="Arial"/>
                <w:color w:val="000000"/>
                <w:kern w:val="0"/>
                <w:sz w:val="32"/>
                <w:szCs w:val="32"/>
                <w:lang w:eastAsia="en-GB"/>
                <w14:ligatures w14:val="none"/>
              </w:rPr>
              <w:t>Obtain eco-certification and communicate achievements</w:t>
            </w:r>
          </w:p>
        </w:tc>
        <w:tc>
          <w:tcPr>
            <w:tcW w:w="3520" w:type="dxa"/>
            <w:tcBorders>
              <w:top w:val="nil"/>
              <w:left w:val="nil"/>
              <w:bottom w:val="single" w:sz="4" w:space="0" w:color="auto"/>
              <w:right w:val="single" w:sz="4" w:space="0" w:color="auto"/>
            </w:tcBorders>
            <w:vAlign w:val="center"/>
            <w:hideMark/>
          </w:tcPr>
          <w:p w14:paraId="4389919E" w14:textId="77777777" w:rsidR="000F4B47" w:rsidRPr="000F4B47" w:rsidRDefault="000F4B47" w:rsidP="000F4B47">
            <w:pPr>
              <w:spacing w:after="0" w:line="240" w:lineRule="auto"/>
              <w:jc w:val="center"/>
              <w:rPr>
                <w:rFonts w:ascii="Arial" w:eastAsia="Times New Roman" w:hAnsi="Arial" w:cs="Arial"/>
                <w:color w:val="000000"/>
                <w:kern w:val="0"/>
                <w:sz w:val="32"/>
                <w:szCs w:val="32"/>
                <w:lang w:eastAsia="en-GB"/>
                <w14:ligatures w14:val="none"/>
              </w:rPr>
            </w:pPr>
            <w:r w:rsidRPr="000F4B47">
              <w:rPr>
                <w:rFonts w:ascii="Arial" w:eastAsia="Times New Roman" w:hAnsi="Arial" w:cs="Arial"/>
                <w:color w:val="000000"/>
                <w:kern w:val="0"/>
                <w:sz w:val="32"/>
                <w:szCs w:val="32"/>
                <w:lang w:eastAsia="en-GB"/>
                <w14:ligatures w14:val="none"/>
              </w:rPr>
              <w:t>Stronger brand image and CSR alignment</w:t>
            </w:r>
          </w:p>
        </w:tc>
      </w:tr>
      <w:tr w:rsidR="000F4B47" w:rsidRPr="000F4B47" w14:paraId="2D333EB0" w14:textId="77777777" w:rsidTr="000F4B47">
        <w:trPr>
          <w:trHeight w:val="1515"/>
        </w:trPr>
        <w:tc>
          <w:tcPr>
            <w:tcW w:w="2360" w:type="dxa"/>
            <w:tcBorders>
              <w:top w:val="nil"/>
              <w:left w:val="single" w:sz="4" w:space="0" w:color="auto"/>
              <w:bottom w:val="single" w:sz="4" w:space="0" w:color="auto"/>
              <w:right w:val="single" w:sz="4" w:space="0" w:color="auto"/>
            </w:tcBorders>
            <w:vAlign w:val="center"/>
            <w:hideMark/>
          </w:tcPr>
          <w:p w14:paraId="2A0A531C" w14:textId="77777777" w:rsidR="000F4B47" w:rsidRPr="000F4B47" w:rsidRDefault="000F4B47" w:rsidP="000F4B47">
            <w:pPr>
              <w:spacing w:after="0" w:line="240" w:lineRule="auto"/>
              <w:jc w:val="center"/>
              <w:rPr>
                <w:rFonts w:ascii="Arial" w:eastAsia="Times New Roman" w:hAnsi="Arial" w:cs="Arial"/>
                <w:b/>
                <w:bCs/>
                <w:color w:val="000000"/>
                <w:kern w:val="0"/>
                <w:sz w:val="32"/>
                <w:szCs w:val="32"/>
                <w:lang w:eastAsia="en-GB"/>
                <w14:ligatures w14:val="none"/>
              </w:rPr>
            </w:pPr>
            <w:r w:rsidRPr="000F4B47">
              <w:rPr>
                <w:rFonts w:ascii="Arial" w:eastAsia="Times New Roman" w:hAnsi="Arial" w:cs="Arial"/>
                <w:b/>
                <w:bCs/>
                <w:color w:val="000000"/>
                <w:kern w:val="0"/>
                <w:sz w:val="32"/>
                <w:szCs w:val="32"/>
                <w:lang w:eastAsia="en-GB"/>
                <w14:ligatures w14:val="none"/>
              </w:rPr>
              <w:t>Relationship Excellence</w:t>
            </w:r>
          </w:p>
        </w:tc>
        <w:tc>
          <w:tcPr>
            <w:tcW w:w="3940" w:type="dxa"/>
            <w:tcBorders>
              <w:top w:val="nil"/>
              <w:left w:val="nil"/>
              <w:bottom w:val="single" w:sz="4" w:space="0" w:color="auto"/>
              <w:right w:val="single" w:sz="4" w:space="0" w:color="auto"/>
            </w:tcBorders>
            <w:vAlign w:val="center"/>
            <w:hideMark/>
          </w:tcPr>
          <w:p w14:paraId="69231C15" w14:textId="77777777" w:rsidR="000F4B47" w:rsidRPr="000F4B47" w:rsidRDefault="000F4B47" w:rsidP="000F4B47">
            <w:pPr>
              <w:spacing w:after="0" w:line="240" w:lineRule="auto"/>
              <w:jc w:val="center"/>
              <w:rPr>
                <w:rFonts w:ascii="Arial" w:eastAsia="Times New Roman" w:hAnsi="Arial" w:cs="Arial"/>
                <w:color w:val="000000"/>
                <w:kern w:val="0"/>
                <w:sz w:val="32"/>
                <w:szCs w:val="32"/>
                <w:lang w:eastAsia="en-GB"/>
                <w14:ligatures w14:val="none"/>
              </w:rPr>
            </w:pPr>
            <w:r w:rsidRPr="000F4B47">
              <w:rPr>
                <w:rFonts w:ascii="Arial" w:eastAsia="Times New Roman" w:hAnsi="Arial" w:cs="Arial"/>
                <w:color w:val="000000"/>
                <w:kern w:val="0"/>
                <w:sz w:val="32"/>
                <w:szCs w:val="32"/>
                <w:lang w:eastAsia="en-GB"/>
                <w14:ligatures w14:val="none"/>
              </w:rPr>
              <w:t>Use CRM data for personalised offers and follow-ups</w:t>
            </w:r>
          </w:p>
        </w:tc>
        <w:tc>
          <w:tcPr>
            <w:tcW w:w="3520" w:type="dxa"/>
            <w:tcBorders>
              <w:top w:val="nil"/>
              <w:left w:val="nil"/>
              <w:bottom w:val="single" w:sz="4" w:space="0" w:color="auto"/>
              <w:right w:val="single" w:sz="4" w:space="0" w:color="auto"/>
            </w:tcBorders>
            <w:vAlign w:val="center"/>
            <w:hideMark/>
          </w:tcPr>
          <w:p w14:paraId="02F93357" w14:textId="77777777" w:rsidR="000F4B47" w:rsidRPr="000F4B47" w:rsidRDefault="000F4B47" w:rsidP="000F4B47">
            <w:pPr>
              <w:spacing w:after="0" w:line="240" w:lineRule="auto"/>
              <w:jc w:val="center"/>
              <w:rPr>
                <w:rFonts w:ascii="Arial" w:eastAsia="Times New Roman" w:hAnsi="Arial" w:cs="Arial"/>
                <w:color w:val="000000"/>
                <w:kern w:val="0"/>
                <w:sz w:val="32"/>
                <w:szCs w:val="32"/>
                <w:lang w:eastAsia="en-GB"/>
                <w14:ligatures w14:val="none"/>
              </w:rPr>
            </w:pPr>
            <w:r w:rsidRPr="000F4B47">
              <w:rPr>
                <w:rFonts w:ascii="Arial" w:eastAsia="Times New Roman" w:hAnsi="Arial" w:cs="Arial"/>
                <w:color w:val="000000"/>
                <w:kern w:val="0"/>
                <w:sz w:val="32"/>
                <w:szCs w:val="32"/>
                <w:lang w:eastAsia="en-GB"/>
                <w14:ligatures w14:val="none"/>
              </w:rPr>
              <w:t>Higher repeat-booking ratio</w:t>
            </w:r>
          </w:p>
        </w:tc>
      </w:tr>
      <w:tr w:rsidR="000F4B47" w:rsidRPr="000F4B47" w14:paraId="0DE7C0B6" w14:textId="77777777" w:rsidTr="000F4B47">
        <w:trPr>
          <w:trHeight w:val="1245"/>
        </w:trPr>
        <w:tc>
          <w:tcPr>
            <w:tcW w:w="2360" w:type="dxa"/>
            <w:tcBorders>
              <w:top w:val="nil"/>
              <w:left w:val="single" w:sz="4" w:space="0" w:color="auto"/>
              <w:bottom w:val="single" w:sz="4" w:space="0" w:color="auto"/>
              <w:right w:val="single" w:sz="4" w:space="0" w:color="auto"/>
            </w:tcBorders>
            <w:vAlign w:val="center"/>
            <w:hideMark/>
          </w:tcPr>
          <w:p w14:paraId="21F8B49E" w14:textId="77777777" w:rsidR="000F4B47" w:rsidRPr="000F4B47" w:rsidRDefault="000F4B47" w:rsidP="000F4B47">
            <w:pPr>
              <w:spacing w:after="0" w:line="240" w:lineRule="auto"/>
              <w:jc w:val="center"/>
              <w:rPr>
                <w:rFonts w:ascii="Arial" w:eastAsia="Times New Roman" w:hAnsi="Arial" w:cs="Arial"/>
                <w:b/>
                <w:bCs/>
                <w:color w:val="000000"/>
                <w:kern w:val="0"/>
                <w:sz w:val="32"/>
                <w:szCs w:val="32"/>
                <w:lang w:eastAsia="en-GB"/>
                <w14:ligatures w14:val="none"/>
              </w:rPr>
            </w:pPr>
            <w:r w:rsidRPr="000F4B47">
              <w:rPr>
                <w:rFonts w:ascii="Arial" w:eastAsia="Times New Roman" w:hAnsi="Arial" w:cs="Arial"/>
                <w:b/>
                <w:bCs/>
                <w:color w:val="000000"/>
                <w:kern w:val="0"/>
                <w:sz w:val="32"/>
                <w:szCs w:val="32"/>
                <w:lang w:eastAsia="en-GB"/>
                <w14:ligatures w14:val="none"/>
              </w:rPr>
              <w:t>Talent Development</w:t>
            </w:r>
          </w:p>
        </w:tc>
        <w:tc>
          <w:tcPr>
            <w:tcW w:w="3940" w:type="dxa"/>
            <w:tcBorders>
              <w:top w:val="nil"/>
              <w:left w:val="nil"/>
              <w:bottom w:val="single" w:sz="4" w:space="0" w:color="auto"/>
              <w:right w:val="single" w:sz="4" w:space="0" w:color="auto"/>
            </w:tcBorders>
            <w:vAlign w:val="center"/>
            <w:hideMark/>
          </w:tcPr>
          <w:p w14:paraId="5D35D13C" w14:textId="77777777" w:rsidR="000F4B47" w:rsidRPr="000F4B47" w:rsidRDefault="000F4B47" w:rsidP="000F4B47">
            <w:pPr>
              <w:spacing w:after="0" w:line="240" w:lineRule="auto"/>
              <w:jc w:val="center"/>
              <w:rPr>
                <w:rFonts w:ascii="Arial" w:eastAsia="Times New Roman" w:hAnsi="Arial" w:cs="Arial"/>
                <w:color w:val="000000"/>
                <w:kern w:val="0"/>
                <w:sz w:val="32"/>
                <w:szCs w:val="32"/>
                <w:lang w:eastAsia="en-GB"/>
                <w14:ligatures w14:val="none"/>
              </w:rPr>
            </w:pPr>
            <w:r w:rsidRPr="000F4B47">
              <w:rPr>
                <w:rFonts w:ascii="Arial" w:eastAsia="Times New Roman" w:hAnsi="Arial" w:cs="Arial"/>
                <w:color w:val="000000"/>
                <w:kern w:val="0"/>
                <w:sz w:val="32"/>
                <w:szCs w:val="32"/>
                <w:lang w:eastAsia="en-GB"/>
                <w14:ligatures w14:val="none"/>
              </w:rPr>
              <w:t>Implement Hilton training modules for M&amp;E staff</w:t>
            </w:r>
          </w:p>
        </w:tc>
        <w:tc>
          <w:tcPr>
            <w:tcW w:w="3520" w:type="dxa"/>
            <w:tcBorders>
              <w:top w:val="nil"/>
              <w:left w:val="nil"/>
              <w:bottom w:val="single" w:sz="4" w:space="0" w:color="auto"/>
              <w:right w:val="single" w:sz="4" w:space="0" w:color="auto"/>
            </w:tcBorders>
            <w:vAlign w:val="center"/>
            <w:hideMark/>
          </w:tcPr>
          <w:p w14:paraId="74A8E1B5" w14:textId="77777777" w:rsidR="000F4B47" w:rsidRPr="000F4B47" w:rsidRDefault="000F4B47" w:rsidP="000F4B47">
            <w:pPr>
              <w:spacing w:after="0" w:line="240" w:lineRule="auto"/>
              <w:jc w:val="center"/>
              <w:rPr>
                <w:rFonts w:ascii="Arial" w:eastAsia="Times New Roman" w:hAnsi="Arial" w:cs="Arial"/>
                <w:color w:val="000000"/>
                <w:kern w:val="0"/>
                <w:sz w:val="32"/>
                <w:szCs w:val="32"/>
                <w:lang w:eastAsia="en-GB"/>
                <w14:ligatures w14:val="none"/>
              </w:rPr>
            </w:pPr>
            <w:r w:rsidRPr="000F4B47">
              <w:rPr>
                <w:rFonts w:ascii="Arial" w:eastAsia="Times New Roman" w:hAnsi="Arial" w:cs="Arial"/>
                <w:color w:val="000000"/>
                <w:kern w:val="0"/>
                <w:sz w:val="32"/>
                <w:szCs w:val="32"/>
                <w:lang w:eastAsia="en-GB"/>
                <w14:ligatures w14:val="none"/>
              </w:rPr>
              <w:t>Improved morale, retention, and performance</w:t>
            </w:r>
          </w:p>
        </w:tc>
      </w:tr>
    </w:tbl>
    <w:p w14:paraId="51795949" w14:textId="77777777" w:rsidR="00A17B0B" w:rsidRPr="001E0E75" w:rsidRDefault="00A17B0B" w:rsidP="001E0E75">
      <w:pPr>
        <w:spacing w:line="360" w:lineRule="auto"/>
        <w:ind w:left="720"/>
        <w:rPr>
          <w:rFonts w:ascii="Arial" w:hAnsi="Arial" w:cs="Arial"/>
          <w:sz w:val="32"/>
          <w:szCs w:val="32"/>
        </w:rPr>
      </w:pPr>
    </w:p>
    <w:p w14:paraId="6454544A" w14:textId="17F04029" w:rsidR="00B4255E" w:rsidRPr="001E0E75" w:rsidRDefault="00B4255E" w:rsidP="000F4B47">
      <w:pPr>
        <w:spacing w:line="360" w:lineRule="auto"/>
        <w:ind w:left="720"/>
        <w:rPr>
          <w:rFonts w:ascii="Arial" w:hAnsi="Arial" w:cs="Arial"/>
          <w:sz w:val="32"/>
          <w:szCs w:val="32"/>
        </w:rPr>
      </w:pPr>
      <w:r w:rsidRPr="001E0E75">
        <w:rPr>
          <w:rFonts w:ascii="Arial" w:hAnsi="Arial" w:cs="Arial"/>
          <w:sz w:val="32"/>
          <w:szCs w:val="32"/>
        </w:rPr>
        <w:lastRenderedPageBreak/>
        <w:t>This framework integrates internal capability building with external market positioning, ensuring that the hotel’s strategy remains agile and client-centred.</w:t>
      </w:r>
    </w:p>
    <w:p w14:paraId="5A35BF86" w14:textId="77777777" w:rsidR="00B4255E" w:rsidRDefault="00B4255E" w:rsidP="001E0E75">
      <w:pPr>
        <w:spacing w:line="360" w:lineRule="auto"/>
        <w:ind w:left="720"/>
        <w:rPr>
          <w:rFonts w:ascii="Arial" w:hAnsi="Arial" w:cs="Arial"/>
          <w:b/>
          <w:bCs/>
          <w:sz w:val="32"/>
          <w:szCs w:val="32"/>
        </w:rPr>
      </w:pPr>
      <w:r w:rsidRPr="001E0E75">
        <w:rPr>
          <w:rFonts w:ascii="Arial" w:hAnsi="Arial" w:cs="Arial"/>
          <w:b/>
          <w:bCs/>
          <w:sz w:val="32"/>
          <w:szCs w:val="32"/>
        </w:rPr>
        <w:t>5.6 Evaluation of Research Objectives</w:t>
      </w:r>
    </w:p>
    <w:tbl>
      <w:tblPr>
        <w:tblW w:w="9040" w:type="dxa"/>
        <w:tblLook w:val="04A0" w:firstRow="1" w:lastRow="0" w:firstColumn="1" w:lastColumn="0" w:noHBand="0" w:noVBand="1"/>
      </w:tblPr>
      <w:tblGrid>
        <w:gridCol w:w="3520"/>
        <w:gridCol w:w="1840"/>
        <w:gridCol w:w="3680"/>
      </w:tblGrid>
      <w:tr w:rsidR="000F4B47" w:rsidRPr="000F4B47" w14:paraId="69CDD07D" w14:textId="77777777" w:rsidTr="000F4B47">
        <w:trPr>
          <w:trHeight w:val="780"/>
        </w:trPr>
        <w:tc>
          <w:tcPr>
            <w:tcW w:w="3520" w:type="dxa"/>
            <w:tcBorders>
              <w:top w:val="single" w:sz="4" w:space="0" w:color="auto"/>
              <w:left w:val="single" w:sz="4" w:space="0" w:color="auto"/>
              <w:bottom w:val="single" w:sz="4" w:space="0" w:color="auto"/>
              <w:right w:val="single" w:sz="4" w:space="0" w:color="auto"/>
            </w:tcBorders>
            <w:vAlign w:val="center"/>
            <w:hideMark/>
          </w:tcPr>
          <w:p w14:paraId="07D601FD" w14:textId="77777777" w:rsidR="000F4B47" w:rsidRPr="000F4B47" w:rsidRDefault="000F4B47" w:rsidP="000F4B47">
            <w:pPr>
              <w:spacing w:after="0" w:line="240" w:lineRule="auto"/>
              <w:jc w:val="center"/>
              <w:rPr>
                <w:rFonts w:ascii="Arial" w:eastAsia="Times New Roman" w:hAnsi="Arial" w:cs="Arial"/>
                <w:b/>
                <w:bCs/>
                <w:color w:val="000000"/>
                <w:kern w:val="0"/>
                <w:sz w:val="32"/>
                <w:szCs w:val="32"/>
                <w:lang w:eastAsia="en-GB"/>
                <w14:ligatures w14:val="none"/>
              </w:rPr>
            </w:pPr>
            <w:r w:rsidRPr="000F4B47">
              <w:rPr>
                <w:rFonts w:ascii="Arial" w:eastAsia="Times New Roman" w:hAnsi="Arial" w:cs="Arial"/>
                <w:b/>
                <w:bCs/>
                <w:color w:val="000000"/>
                <w:kern w:val="0"/>
                <w:sz w:val="32"/>
                <w:szCs w:val="32"/>
                <w:lang w:eastAsia="en-GB"/>
                <w14:ligatures w14:val="none"/>
              </w:rPr>
              <w:t>Objective</w:t>
            </w:r>
          </w:p>
        </w:tc>
        <w:tc>
          <w:tcPr>
            <w:tcW w:w="1840" w:type="dxa"/>
            <w:tcBorders>
              <w:top w:val="single" w:sz="4" w:space="0" w:color="auto"/>
              <w:left w:val="nil"/>
              <w:bottom w:val="single" w:sz="4" w:space="0" w:color="auto"/>
              <w:right w:val="single" w:sz="4" w:space="0" w:color="auto"/>
            </w:tcBorders>
            <w:vAlign w:val="center"/>
            <w:hideMark/>
          </w:tcPr>
          <w:p w14:paraId="38170CF8" w14:textId="77777777" w:rsidR="000F4B47" w:rsidRPr="000F4B47" w:rsidRDefault="000F4B47" w:rsidP="000F4B47">
            <w:pPr>
              <w:spacing w:after="0" w:line="240" w:lineRule="auto"/>
              <w:jc w:val="center"/>
              <w:rPr>
                <w:rFonts w:ascii="Arial" w:eastAsia="Times New Roman" w:hAnsi="Arial" w:cs="Arial"/>
                <w:b/>
                <w:bCs/>
                <w:color w:val="000000"/>
                <w:kern w:val="0"/>
                <w:sz w:val="32"/>
                <w:szCs w:val="32"/>
                <w:lang w:eastAsia="en-GB"/>
                <w14:ligatures w14:val="none"/>
              </w:rPr>
            </w:pPr>
            <w:r w:rsidRPr="000F4B47">
              <w:rPr>
                <w:rFonts w:ascii="Arial" w:eastAsia="Times New Roman" w:hAnsi="Arial" w:cs="Arial"/>
                <w:b/>
                <w:bCs/>
                <w:color w:val="000000"/>
                <w:kern w:val="0"/>
                <w:sz w:val="32"/>
                <w:szCs w:val="32"/>
                <w:lang w:eastAsia="en-GB"/>
                <w14:ligatures w14:val="none"/>
              </w:rPr>
              <w:t>Outcome</w:t>
            </w:r>
          </w:p>
        </w:tc>
        <w:tc>
          <w:tcPr>
            <w:tcW w:w="3680" w:type="dxa"/>
            <w:tcBorders>
              <w:top w:val="single" w:sz="4" w:space="0" w:color="auto"/>
              <w:left w:val="nil"/>
              <w:bottom w:val="single" w:sz="4" w:space="0" w:color="auto"/>
              <w:right w:val="single" w:sz="4" w:space="0" w:color="auto"/>
            </w:tcBorders>
            <w:vAlign w:val="center"/>
            <w:hideMark/>
          </w:tcPr>
          <w:p w14:paraId="67595990" w14:textId="77777777" w:rsidR="000F4B47" w:rsidRPr="000F4B47" w:rsidRDefault="000F4B47" w:rsidP="000F4B47">
            <w:pPr>
              <w:spacing w:after="0" w:line="240" w:lineRule="auto"/>
              <w:jc w:val="center"/>
              <w:rPr>
                <w:rFonts w:ascii="Arial" w:eastAsia="Times New Roman" w:hAnsi="Arial" w:cs="Arial"/>
                <w:b/>
                <w:bCs/>
                <w:color w:val="000000"/>
                <w:kern w:val="0"/>
                <w:sz w:val="32"/>
                <w:szCs w:val="32"/>
                <w:lang w:eastAsia="en-GB"/>
                <w14:ligatures w14:val="none"/>
              </w:rPr>
            </w:pPr>
            <w:r w:rsidRPr="000F4B47">
              <w:rPr>
                <w:rFonts w:ascii="Arial" w:eastAsia="Times New Roman" w:hAnsi="Arial" w:cs="Arial"/>
                <w:b/>
                <w:bCs/>
                <w:color w:val="000000"/>
                <w:kern w:val="0"/>
                <w:sz w:val="32"/>
                <w:szCs w:val="32"/>
                <w:lang w:eastAsia="en-GB"/>
                <w14:ligatures w14:val="none"/>
              </w:rPr>
              <w:t>Evidence</w:t>
            </w:r>
          </w:p>
        </w:tc>
      </w:tr>
      <w:tr w:rsidR="000F4B47" w:rsidRPr="000F4B47" w14:paraId="070B1239" w14:textId="77777777" w:rsidTr="000F4B47">
        <w:trPr>
          <w:trHeight w:val="1665"/>
        </w:trPr>
        <w:tc>
          <w:tcPr>
            <w:tcW w:w="3520" w:type="dxa"/>
            <w:tcBorders>
              <w:top w:val="nil"/>
              <w:left w:val="single" w:sz="4" w:space="0" w:color="auto"/>
              <w:bottom w:val="single" w:sz="4" w:space="0" w:color="auto"/>
              <w:right w:val="single" w:sz="4" w:space="0" w:color="auto"/>
            </w:tcBorders>
            <w:vAlign w:val="center"/>
            <w:hideMark/>
          </w:tcPr>
          <w:p w14:paraId="17C429D3" w14:textId="77777777" w:rsidR="000F4B47" w:rsidRPr="000F4B47" w:rsidRDefault="000F4B47" w:rsidP="000F4B47">
            <w:pPr>
              <w:spacing w:after="0" w:line="240" w:lineRule="auto"/>
              <w:jc w:val="center"/>
              <w:rPr>
                <w:rFonts w:ascii="Arial" w:eastAsia="Times New Roman" w:hAnsi="Arial" w:cs="Arial"/>
                <w:b/>
                <w:bCs/>
                <w:color w:val="000000"/>
                <w:kern w:val="0"/>
                <w:sz w:val="32"/>
                <w:szCs w:val="32"/>
                <w:lang w:eastAsia="en-GB"/>
                <w14:ligatures w14:val="none"/>
              </w:rPr>
            </w:pPr>
            <w:r w:rsidRPr="000F4B47">
              <w:rPr>
                <w:rFonts w:ascii="Arial" w:eastAsia="Times New Roman" w:hAnsi="Arial" w:cs="Arial"/>
                <w:b/>
                <w:bCs/>
                <w:color w:val="000000"/>
                <w:kern w:val="0"/>
                <w:sz w:val="32"/>
                <w:szCs w:val="32"/>
                <w:lang w:eastAsia="en-GB"/>
                <w14:ligatures w14:val="none"/>
              </w:rPr>
              <w:t>1. Analyse how location influences customer demand and event sales</w:t>
            </w:r>
          </w:p>
        </w:tc>
        <w:tc>
          <w:tcPr>
            <w:tcW w:w="1840" w:type="dxa"/>
            <w:tcBorders>
              <w:top w:val="nil"/>
              <w:left w:val="nil"/>
              <w:bottom w:val="single" w:sz="4" w:space="0" w:color="auto"/>
              <w:right w:val="single" w:sz="4" w:space="0" w:color="auto"/>
            </w:tcBorders>
            <w:vAlign w:val="center"/>
            <w:hideMark/>
          </w:tcPr>
          <w:p w14:paraId="5B853208" w14:textId="77777777" w:rsidR="000F4B47" w:rsidRPr="000F4B47" w:rsidRDefault="000F4B47" w:rsidP="000F4B47">
            <w:pPr>
              <w:spacing w:after="0" w:line="240" w:lineRule="auto"/>
              <w:jc w:val="center"/>
              <w:rPr>
                <w:rFonts w:ascii="Arial" w:eastAsia="Times New Roman" w:hAnsi="Arial" w:cs="Arial"/>
                <w:color w:val="000000"/>
                <w:kern w:val="0"/>
                <w:sz w:val="32"/>
                <w:szCs w:val="32"/>
                <w:lang w:eastAsia="en-GB"/>
                <w14:ligatures w14:val="none"/>
              </w:rPr>
            </w:pPr>
            <w:r w:rsidRPr="000F4B47">
              <w:rPr>
                <w:rFonts w:ascii="Arial" w:eastAsia="Times New Roman" w:hAnsi="Arial" w:cs="Arial"/>
                <w:color w:val="000000"/>
                <w:kern w:val="0"/>
                <w:sz w:val="32"/>
                <w:szCs w:val="32"/>
                <w:lang w:eastAsia="en-GB"/>
                <w14:ligatures w14:val="none"/>
              </w:rPr>
              <w:t>Achieved</w:t>
            </w:r>
          </w:p>
        </w:tc>
        <w:tc>
          <w:tcPr>
            <w:tcW w:w="3680" w:type="dxa"/>
            <w:tcBorders>
              <w:top w:val="nil"/>
              <w:left w:val="nil"/>
              <w:bottom w:val="single" w:sz="4" w:space="0" w:color="auto"/>
              <w:right w:val="single" w:sz="4" w:space="0" w:color="auto"/>
            </w:tcBorders>
            <w:vAlign w:val="center"/>
            <w:hideMark/>
          </w:tcPr>
          <w:p w14:paraId="1FDD4775" w14:textId="77777777" w:rsidR="000F4B47" w:rsidRPr="000F4B47" w:rsidRDefault="000F4B47" w:rsidP="000F4B47">
            <w:pPr>
              <w:spacing w:after="0" w:line="240" w:lineRule="auto"/>
              <w:jc w:val="center"/>
              <w:rPr>
                <w:rFonts w:ascii="Arial" w:eastAsia="Times New Roman" w:hAnsi="Arial" w:cs="Arial"/>
                <w:color w:val="000000"/>
                <w:kern w:val="0"/>
                <w:sz w:val="32"/>
                <w:szCs w:val="32"/>
                <w:lang w:eastAsia="en-GB"/>
                <w14:ligatures w14:val="none"/>
              </w:rPr>
            </w:pPr>
            <w:r w:rsidRPr="000F4B47">
              <w:rPr>
                <w:rFonts w:ascii="Arial" w:eastAsia="Times New Roman" w:hAnsi="Arial" w:cs="Arial"/>
                <w:color w:val="000000"/>
                <w:kern w:val="0"/>
                <w:sz w:val="32"/>
                <w:szCs w:val="32"/>
                <w:lang w:eastAsia="en-GB"/>
                <w14:ligatures w14:val="none"/>
              </w:rPr>
              <w:t>Location defines accessibility, pricing, and prestige, influencing client mix (Theme 1).</w:t>
            </w:r>
          </w:p>
        </w:tc>
      </w:tr>
      <w:tr w:rsidR="000F4B47" w:rsidRPr="000F4B47" w14:paraId="17422FF8" w14:textId="77777777" w:rsidTr="000F4B47">
        <w:trPr>
          <w:trHeight w:val="1800"/>
        </w:trPr>
        <w:tc>
          <w:tcPr>
            <w:tcW w:w="3520" w:type="dxa"/>
            <w:tcBorders>
              <w:top w:val="nil"/>
              <w:left w:val="single" w:sz="4" w:space="0" w:color="auto"/>
              <w:bottom w:val="single" w:sz="4" w:space="0" w:color="auto"/>
              <w:right w:val="single" w:sz="4" w:space="0" w:color="auto"/>
            </w:tcBorders>
            <w:vAlign w:val="center"/>
            <w:hideMark/>
          </w:tcPr>
          <w:p w14:paraId="4EC6C975" w14:textId="77777777" w:rsidR="000F4B47" w:rsidRPr="000F4B47" w:rsidRDefault="000F4B47" w:rsidP="000F4B47">
            <w:pPr>
              <w:spacing w:after="0" w:line="240" w:lineRule="auto"/>
              <w:jc w:val="center"/>
              <w:rPr>
                <w:rFonts w:ascii="Arial" w:eastAsia="Times New Roman" w:hAnsi="Arial" w:cs="Arial"/>
                <w:b/>
                <w:bCs/>
                <w:color w:val="000000"/>
                <w:kern w:val="0"/>
                <w:sz w:val="32"/>
                <w:szCs w:val="32"/>
                <w:lang w:eastAsia="en-GB"/>
                <w14:ligatures w14:val="none"/>
              </w:rPr>
            </w:pPr>
            <w:r w:rsidRPr="000F4B47">
              <w:rPr>
                <w:rFonts w:ascii="Arial" w:eastAsia="Times New Roman" w:hAnsi="Arial" w:cs="Arial"/>
                <w:b/>
                <w:bCs/>
                <w:color w:val="000000"/>
                <w:kern w:val="0"/>
                <w:sz w:val="32"/>
                <w:szCs w:val="32"/>
                <w:lang w:eastAsia="en-GB"/>
                <w14:ligatures w14:val="none"/>
              </w:rPr>
              <w:t>2. Identify challenges and opportunities from geographic position</w:t>
            </w:r>
          </w:p>
        </w:tc>
        <w:tc>
          <w:tcPr>
            <w:tcW w:w="1840" w:type="dxa"/>
            <w:tcBorders>
              <w:top w:val="nil"/>
              <w:left w:val="nil"/>
              <w:bottom w:val="single" w:sz="4" w:space="0" w:color="auto"/>
              <w:right w:val="single" w:sz="4" w:space="0" w:color="auto"/>
            </w:tcBorders>
            <w:vAlign w:val="center"/>
            <w:hideMark/>
          </w:tcPr>
          <w:p w14:paraId="3B2B628C" w14:textId="77777777" w:rsidR="000F4B47" w:rsidRPr="000F4B47" w:rsidRDefault="000F4B47" w:rsidP="000F4B47">
            <w:pPr>
              <w:spacing w:after="0" w:line="240" w:lineRule="auto"/>
              <w:jc w:val="center"/>
              <w:rPr>
                <w:rFonts w:ascii="Arial" w:eastAsia="Times New Roman" w:hAnsi="Arial" w:cs="Arial"/>
                <w:color w:val="000000"/>
                <w:kern w:val="0"/>
                <w:sz w:val="32"/>
                <w:szCs w:val="32"/>
                <w:lang w:eastAsia="en-GB"/>
                <w14:ligatures w14:val="none"/>
              </w:rPr>
            </w:pPr>
            <w:r w:rsidRPr="000F4B47">
              <w:rPr>
                <w:rFonts w:ascii="Arial" w:eastAsia="Times New Roman" w:hAnsi="Arial" w:cs="Arial"/>
                <w:color w:val="000000"/>
                <w:kern w:val="0"/>
                <w:sz w:val="32"/>
                <w:szCs w:val="32"/>
                <w:lang w:eastAsia="en-GB"/>
                <w14:ligatures w14:val="none"/>
              </w:rPr>
              <w:t>Achieved</w:t>
            </w:r>
          </w:p>
        </w:tc>
        <w:tc>
          <w:tcPr>
            <w:tcW w:w="3680" w:type="dxa"/>
            <w:tcBorders>
              <w:top w:val="nil"/>
              <w:left w:val="nil"/>
              <w:bottom w:val="single" w:sz="4" w:space="0" w:color="auto"/>
              <w:right w:val="single" w:sz="4" w:space="0" w:color="auto"/>
            </w:tcBorders>
            <w:vAlign w:val="center"/>
            <w:hideMark/>
          </w:tcPr>
          <w:p w14:paraId="0A7074EC" w14:textId="77777777" w:rsidR="000F4B47" w:rsidRPr="000F4B47" w:rsidRDefault="000F4B47" w:rsidP="000F4B47">
            <w:pPr>
              <w:spacing w:after="0" w:line="240" w:lineRule="auto"/>
              <w:jc w:val="center"/>
              <w:rPr>
                <w:rFonts w:ascii="Arial" w:eastAsia="Times New Roman" w:hAnsi="Arial" w:cs="Arial"/>
                <w:color w:val="000000"/>
                <w:kern w:val="0"/>
                <w:sz w:val="32"/>
                <w:szCs w:val="32"/>
                <w:lang w:eastAsia="en-GB"/>
                <w14:ligatures w14:val="none"/>
              </w:rPr>
            </w:pPr>
            <w:r w:rsidRPr="000F4B47">
              <w:rPr>
                <w:rFonts w:ascii="Arial" w:eastAsia="Times New Roman" w:hAnsi="Arial" w:cs="Arial"/>
                <w:color w:val="000000"/>
                <w:kern w:val="0"/>
                <w:sz w:val="32"/>
                <w:szCs w:val="32"/>
                <w:lang w:eastAsia="en-GB"/>
                <w14:ligatures w14:val="none"/>
              </w:rPr>
              <w:t>Accessibility benefits offset by limited transport and visibility (Themes 1 &amp; 2).</w:t>
            </w:r>
          </w:p>
        </w:tc>
      </w:tr>
      <w:tr w:rsidR="000F4B47" w:rsidRPr="000F4B47" w14:paraId="428F95F4" w14:textId="77777777" w:rsidTr="000F4B47">
        <w:trPr>
          <w:trHeight w:val="1695"/>
        </w:trPr>
        <w:tc>
          <w:tcPr>
            <w:tcW w:w="3520" w:type="dxa"/>
            <w:tcBorders>
              <w:top w:val="nil"/>
              <w:left w:val="single" w:sz="4" w:space="0" w:color="auto"/>
              <w:bottom w:val="single" w:sz="4" w:space="0" w:color="auto"/>
              <w:right w:val="single" w:sz="4" w:space="0" w:color="auto"/>
            </w:tcBorders>
            <w:vAlign w:val="center"/>
            <w:hideMark/>
          </w:tcPr>
          <w:p w14:paraId="6136F357" w14:textId="77777777" w:rsidR="000F4B47" w:rsidRPr="000F4B47" w:rsidRDefault="000F4B47" w:rsidP="000F4B47">
            <w:pPr>
              <w:spacing w:after="0" w:line="240" w:lineRule="auto"/>
              <w:jc w:val="center"/>
              <w:rPr>
                <w:rFonts w:ascii="Arial" w:eastAsia="Times New Roman" w:hAnsi="Arial" w:cs="Arial"/>
                <w:b/>
                <w:bCs/>
                <w:color w:val="000000"/>
                <w:kern w:val="0"/>
                <w:sz w:val="32"/>
                <w:szCs w:val="32"/>
                <w:lang w:eastAsia="en-GB"/>
                <w14:ligatures w14:val="none"/>
              </w:rPr>
            </w:pPr>
            <w:r w:rsidRPr="000F4B47">
              <w:rPr>
                <w:rFonts w:ascii="Arial" w:eastAsia="Times New Roman" w:hAnsi="Arial" w:cs="Arial"/>
                <w:b/>
                <w:bCs/>
                <w:color w:val="000000"/>
                <w:kern w:val="0"/>
                <w:sz w:val="32"/>
                <w:szCs w:val="32"/>
                <w:lang w:eastAsia="en-GB"/>
                <w14:ligatures w14:val="none"/>
              </w:rPr>
              <w:t>3. Examine how management adapts sales and marketing strategies</w:t>
            </w:r>
          </w:p>
        </w:tc>
        <w:tc>
          <w:tcPr>
            <w:tcW w:w="1840" w:type="dxa"/>
            <w:tcBorders>
              <w:top w:val="nil"/>
              <w:left w:val="nil"/>
              <w:bottom w:val="single" w:sz="4" w:space="0" w:color="auto"/>
              <w:right w:val="single" w:sz="4" w:space="0" w:color="auto"/>
            </w:tcBorders>
            <w:vAlign w:val="center"/>
            <w:hideMark/>
          </w:tcPr>
          <w:p w14:paraId="14223DEE" w14:textId="77777777" w:rsidR="000F4B47" w:rsidRPr="000F4B47" w:rsidRDefault="000F4B47" w:rsidP="000F4B47">
            <w:pPr>
              <w:spacing w:after="0" w:line="240" w:lineRule="auto"/>
              <w:jc w:val="center"/>
              <w:rPr>
                <w:rFonts w:ascii="Arial" w:eastAsia="Times New Roman" w:hAnsi="Arial" w:cs="Arial"/>
                <w:color w:val="000000"/>
                <w:kern w:val="0"/>
                <w:sz w:val="32"/>
                <w:szCs w:val="32"/>
                <w:lang w:eastAsia="en-GB"/>
                <w14:ligatures w14:val="none"/>
              </w:rPr>
            </w:pPr>
            <w:r w:rsidRPr="000F4B47">
              <w:rPr>
                <w:rFonts w:ascii="Arial" w:eastAsia="Times New Roman" w:hAnsi="Arial" w:cs="Arial"/>
                <w:color w:val="000000"/>
                <w:kern w:val="0"/>
                <w:sz w:val="32"/>
                <w:szCs w:val="32"/>
                <w:lang w:eastAsia="en-GB"/>
                <w14:ligatures w14:val="none"/>
              </w:rPr>
              <w:t>Achieved</w:t>
            </w:r>
          </w:p>
        </w:tc>
        <w:tc>
          <w:tcPr>
            <w:tcW w:w="3680" w:type="dxa"/>
            <w:tcBorders>
              <w:top w:val="nil"/>
              <w:left w:val="nil"/>
              <w:bottom w:val="single" w:sz="4" w:space="0" w:color="auto"/>
              <w:right w:val="single" w:sz="4" w:space="0" w:color="auto"/>
            </w:tcBorders>
            <w:vAlign w:val="center"/>
            <w:hideMark/>
          </w:tcPr>
          <w:p w14:paraId="00AE8777" w14:textId="77777777" w:rsidR="000F4B47" w:rsidRPr="000F4B47" w:rsidRDefault="000F4B47" w:rsidP="000F4B47">
            <w:pPr>
              <w:spacing w:after="0" w:line="240" w:lineRule="auto"/>
              <w:jc w:val="center"/>
              <w:rPr>
                <w:rFonts w:ascii="Arial" w:eastAsia="Times New Roman" w:hAnsi="Arial" w:cs="Arial"/>
                <w:color w:val="000000"/>
                <w:kern w:val="0"/>
                <w:sz w:val="32"/>
                <w:szCs w:val="32"/>
                <w:lang w:eastAsia="en-GB"/>
                <w14:ligatures w14:val="none"/>
              </w:rPr>
            </w:pPr>
            <w:r w:rsidRPr="000F4B47">
              <w:rPr>
                <w:rFonts w:ascii="Arial" w:eastAsia="Times New Roman" w:hAnsi="Arial" w:cs="Arial"/>
                <w:color w:val="000000"/>
                <w:kern w:val="0"/>
                <w:sz w:val="32"/>
                <w:szCs w:val="32"/>
                <w:lang w:eastAsia="en-GB"/>
                <w14:ligatures w14:val="none"/>
              </w:rPr>
              <w:t>Adoption of hybrid technology, CRM, and value bundling (Themes 2 &amp; 3).</w:t>
            </w:r>
          </w:p>
        </w:tc>
      </w:tr>
      <w:tr w:rsidR="000F4B47" w:rsidRPr="000F4B47" w14:paraId="34083ECF" w14:textId="77777777" w:rsidTr="000F4B47">
        <w:trPr>
          <w:trHeight w:val="1980"/>
        </w:trPr>
        <w:tc>
          <w:tcPr>
            <w:tcW w:w="3520" w:type="dxa"/>
            <w:tcBorders>
              <w:top w:val="nil"/>
              <w:left w:val="single" w:sz="4" w:space="0" w:color="auto"/>
              <w:bottom w:val="single" w:sz="4" w:space="0" w:color="auto"/>
              <w:right w:val="single" w:sz="4" w:space="0" w:color="auto"/>
            </w:tcBorders>
            <w:vAlign w:val="center"/>
            <w:hideMark/>
          </w:tcPr>
          <w:p w14:paraId="1978948D" w14:textId="77777777" w:rsidR="000F4B47" w:rsidRPr="000F4B47" w:rsidRDefault="000F4B47" w:rsidP="000F4B47">
            <w:pPr>
              <w:spacing w:after="0" w:line="240" w:lineRule="auto"/>
              <w:jc w:val="center"/>
              <w:rPr>
                <w:rFonts w:ascii="Arial" w:eastAsia="Times New Roman" w:hAnsi="Arial" w:cs="Arial"/>
                <w:b/>
                <w:bCs/>
                <w:color w:val="000000"/>
                <w:kern w:val="0"/>
                <w:sz w:val="32"/>
                <w:szCs w:val="32"/>
                <w:lang w:eastAsia="en-GB"/>
                <w14:ligatures w14:val="none"/>
              </w:rPr>
            </w:pPr>
            <w:r w:rsidRPr="000F4B47">
              <w:rPr>
                <w:rFonts w:ascii="Arial" w:eastAsia="Times New Roman" w:hAnsi="Arial" w:cs="Arial"/>
                <w:b/>
                <w:bCs/>
                <w:color w:val="000000"/>
                <w:kern w:val="0"/>
                <w:sz w:val="32"/>
                <w:szCs w:val="32"/>
                <w:lang w:eastAsia="en-GB"/>
                <w14:ligatures w14:val="none"/>
              </w:rPr>
              <w:t>4. Propose recommendations for enhancing competitiveness</w:t>
            </w:r>
          </w:p>
        </w:tc>
        <w:tc>
          <w:tcPr>
            <w:tcW w:w="1840" w:type="dxa"/>
            <w:tcBorders>
              <w:top w:val="nil"/>
              <w:left w:val="nil"/>
              <w:bottom w:val="single" w:sz="4" w:space="0" w:color="auto"/>
              <w:right w:val="single" w:sz="4" w:space="0" w:color="auto"/>
            </w:tcBorders>
            <w:vAlign w:val="center"/>
            <w:hideMark/>
          </w:tcPr>
          <w:p w14:paraId="41E79B2C" w14:textId="77777777" w:rsidR="000F4B47" w:rsidRPr="000F4B47" w:rsidRDefault="000F4B47" w:rsidP="000F4B47">
            <w:pPr>
              <w:spacing w:after="0" w:line="240" w:lineRule="auto"/>
              <w:jc w:val="center"/>
              <w:rPr>
                <w:rFonts w:ascii="Arial" w:eastAsia="Times New Roman" w:hAnsi="Arial" w:cs="Arial"/>
                <w:color w:val="000000"/>
                <w:kern w:val="0"/>
                <w:sz w:val="32"/>
                <w:szCs w:val="32"/>
                <w:lang w:eastAsia="en-GB"/>
                <w14:ligatures w14:val="none"/>
              </w:rPr>
            </w:pPr>
            <w:r w:rsidRPr="000F4B47">
              <w:rPr>
                <w:rFonts w:ascii="Arial" w:eastAsia="Times New Roman" w:hAnsi="Arial" w:cs="Arial"/>
                <w:color w:val="000000"/>
                <w:kern w:val="0"/>
                <w:sz w:val="32"/>
                <w:szCs w:val="32"/>
                <w:lang w:eastAsia="en-GB"/>
                <w14:ligatures w14:val="none"/>
              </w:rPr>
              <w:t>Achieved</w:t>
            </w:r>
          </w:p>
        </w:tc>
        <w:tc>
          <w:tcPr>
            <w:tcW w:w="3680" w:type="dxa"/>
            <w:tcBorders>
              <w:top w:val="nil"/>
              <w:left w:val="nil"/>
              <w:bottom w:val="single" w:sz="4" w:space="0" w:color="auto"/>
              <w:right w:val="single" w:sz="4" w:space="0" w:color="auto"/>
            </w:tcBorders>
            <w:vAlign w:val="center"/>
            <w:hideMark/>
          </w:tcPr>
          <w:p w14:paraId="6D38B86E" w14:textId="77777777" w:rsidR="000F4B47" w:rsidRPr="000F4B47" w:rsidRDefault="000F4B47" w:rsidP="000F4B47">
            <w:pPr>
              <w:spacing w:after="0" w:line="240" w:lineRule="auto"/>
              <w:jc w:val="center"/>
              <w:rPr>
                <w:rFonts w:ascii="Arial" w:eastAsia="Times New Roman" w:hAnsi="Arial" w:cs="Arial"/>
                <w:color w:val="000000"/>
                <w:kern w:val="0"/>
                <w:sz w:val="32"/>
                <w:szCs w:val="32"/>
                <w:lang w:eastAsia="en-GB"/>
                <w14:ligatures w14:val="none"/>
              </w:rPr>
            </w:pPr>
            <w:r w:rsidRPr="000F4B47">
              <w:rPr>
                <w:rFonts w:ascii="Arial" w:eastAsia="Times New Roman" w:hAnsi="Arial" w:cs="Arial"/>
                <w:color w:val="000000"/>
                <w:kern w:val="0"/>
                <w:sz w:val="32"/>
                <w:szCs w:val="32"/>
                <w:lang w:eastAsia="en-GB"/>
                <w14:ligatures w14:val="none"/>
              </w:rPr>
              <w:t>Action plan above; aligns with Hilton sustainability and marketing frameworks.</w:t>
            </w:r>
          </w:p>
        </w:tc>
      </w:tr>
    </w:tbl>
    <w:p w14:paraId="0B8DF973" w14:textId="77777777" w:rsidR="000F4B47" w:rsidRPr="001E0E75" w:rsidRDefault="000F4B47" w:rsidP="001E0E75">
      <w:pPr>
        <w:spacing w:line="360" w:lineRule="auto"/>
        <w:ind w:left="720"/>
        <w:rPr>
          <w:rFonts w:ascii="Arial" w:hAnsi="Arial" w:cs="Arial"/>
          <w:b/>
          <w:bCs/>
          <w:sz w:val="32"/>
          <w:szCs w:val="32"/>
        </w:rPr>
      </w:pPr>
    </w:p>
    <w:p w14:paraId="0CD3F619" w14:textId="77777777" w:rsidR="00B4255E" w:rsidRPr="001E0E75" w:rsidRDefault="00B4255E" w:rsidP="001E0E75">
      <w:pPr>
        <w:spacing w:line="360" w:lineRule="auto"/>
        <w:ind w:left="720"/>
        <w:rPr>
          <w:rFonts w:ascii="Arial" w:hAnsi="Arial" w:cs="Arial"/>
          <w:sz w:val="32"/>
          <w:szCs w:val="32"/>
        </w:rPr>
      </w:pPr>
      <w:r w:rsidRPr="001E0E75">
        <w:rPr>
          <w:rFonts w:ascii="Arial" w:hAnsi="Arial" w:cs="Arial"/>
          <w:sz w:val="32"/>
          <w:szCs w:val="32"/>
        </w:rPr>
        <w:t>All objectives were successfully met, demonstrating internal coherence between aims, methodology, and outcomes.</w:t>
      </w:r>
    </w:p>
    <w:p w14:paraId="13C8C419" w14:textId="77777777" w:rsidR="00B4255E" w:rsidRPr="001E0E75" w:rsidRDefault="00B4255E" w:rsidP="000F4B47">
      <w:pPr>
        <w:spacing w:line="360" w:lineRule="auto"/>
        <w:rPr>
          <w:rFonts w:ascii="Arial" w:hAnsi="Arial" w:cs="Arial"/>
          <w:sz w:val="32"/>
          <w:szCs w:val="32"/>
        </w:rPr>
      </w:pPr>
    </w:p>
    <w:p w14:paraId="2AD8A9C1" w14:textId="77777777" w:rsidR="00B4255E" w:rsidRPr="001E0E75" w:rsidRDefault="00B4255E" w:rsidP="001E0E75">
      <w:pPr>
        <w:spacing w:line="360" w:lineRule="auto"/>
        <w:ind w:left="720"/>
        <w:rPr>
          <w:rFonts w:ascii="Arial" w:hAnsi="Arial" w:cs="Arial"/>
          <w:b/>
          <w:bCs/>
          <w:sz w:val="32"/>
          <w:szCs w:val="32"/>
        </w:rPr>
      </w:pPr>
      <w:r w:rsidRPr="001E0E75">
        <w:rPr>
          <w:rFonts w:ascii="Arial" w:hAnsi="Arial" w:cs="Arial"/>
          <w:b/>
          <w:bCs/>
          <w:sz w:val="32"/>
          <w:szCs w:val="32"/>
        </w:rPr>
        <w:lastRenderedPageBreak/>
        <w:t>5.7 Limitations of the Study</w:t>
      </w:r>
    </w:p>
    <w:p w14:paraId="54F52C26" w14:textId="77777777" w:rsidR="00B4255E" w:rsidRPr="001E0E75" w:rsidRDefault="00B4255E" w:rsidP="001E0E75">
      <w:pPr>
        <w:spacing w:line="360" w:lineRule="auto"/>
        <w:ind w:left="720"/>
        <w:rPr>
          <w:rFonts w:ascii="Arial" w:hAnsi="Arial" w:cs="Arial"/>
          <w:sz w:val="32"/>
          <w:szCs w:val="32"/>
        </w:rPr>
      </w:pPr>
      <w:r w:rsidRPr="001E0E75">
        <w:rPr>
          <w:rFonts w:ascii="Arial" w:hAnsi="Arial" w:cs="Arial"/>
          <w:sz w:val="32"/>
          <w:szCs w:val="32"/>
        </w:rPr>
        <w:t>Despite its valuable insights, the study faces several limitations:</w:t>
      </w:r>
    </w:p>
    <w:p w14:paraId="5CABA23E" w14:textId="77777777" w:rsidR="00B4255E" w:rsidRPr="001E0E75" w:rsidRDefault="00B4255E" w:rsidP="001E0E75">
      <w:pPr>
        <w:numPr>
          <w:ilvl w:val="0"/>
          <w:numId w:val="20"/>
        </w:numPr>
        <w:spacing w:line="360" w:lineRule="auto"/>
        <w:rPr>
          <w:rFonts w:ascii="Arial" w:hAnsi="Arial" w:cs="Arial"/>
          <w:sz w:val="32"/>
          <w:szCs w:val="32"/>
        </w:rPr>
      </w:pPr>
      <w:r w:rsidRPr="001E0E75">
        <w:rPr>
          <w:rFonts w:ascii="Arial" w:hAnsi="Arial" w:cs="Arial"/>
          <w:b/>
          <w:bCs/>
          <w:sz w:val="32"/>
          <w:szCs w:val="32"/>
        </w:rPr>
        <w:t>Sample size</w:t>
      </w:r>
      <w:r w:rsidRPr="001E0E75">
        <w:rPr>
          <w:rFonts w:ascii="Arial" w:hAnsi="Arial" w:cs="Arial"/>
          <w:sz w:val="32"/>
          <w:szCs w:val="32"/>
        </w:rPr>
        <w:t xml:space="preserve"> – Only three interviewees were included; broader staff perspectives could enhance validity (Creswell and Poth, 2021).</w:t>
      </w:r>
    </w:p>
    <w:p w14:paraId="3F7C08B4" w14:textId="77777777" w:rsidR="00B4255E" w:rsidRPr="001E0E75" w:rsidRDefault="00B4255E" w:rsidP="001E0E75">
      <w:pPr>
        <w:numPr>
          <w:ilvl w:val="0"/>
          <w:numId w:val="20"/>
        </w:numPr>
        <w:spacing w:line="360" w:lineRule="auto"/>
        <w:rPr>
          <w:rFonts w:ascii="Arial" w:hAnsi="Arial" w:cs="Arial"/>
          <w:sz w:val="32"/>
          <w:szCs w:val="32"/>
        </w:rPr>
      </w:pPr>
      <w:r w:rsidRPr="001E0E75">
        <w:rPr>
          <w:rFonts w:ascii="Arial" w:hAnsi="Arial" w:cs="Arial"/>
          <w:b/>
          <w:bCs/>
          <w:sz w:val="32"/>
          <w:szCs w:val="32"/>
        </w:rPr>
        <w:t>Single-case scope</w:t>
      </w:r>
      <w:r w:rsidRPr="001E0E75">
        <w:rPr>
          <w:rFonts w:ascii="Arial" w:hAnsi="Arial" w:cs="Arial"/>
          <w:sz w:val="32"/>
          <w:szCs w:val="32"/>
        </w:rPr>
        <w:t xml:space="preserve"> – Findings are specific to DoubleTree Dartford Bridge and may not generalise to other regions or brands.</w:t>
      </w:r>
    </w:p>
    <w:p w14:paraId="1466B59D" w14:textId="77777777" w:rsidR="00B4255E" w:rsidRPr="001E0E75" w:rsidRDefault="00B4255E" w:rsidP="001E0E75">
      <w:pPr>
        <w:numPr>
          <w:ilvl w:val="0"/>
          <w:numId w:val="20"/>
        </w:numPr>
        <w:spacing w:line="360" w:lineRule="auto"/>
        <w:rPr>
          <w:rFonts w:ascii="Arial" w:hAnsi="Arial" w:cs="Arial"/>
          <w:sz w:val="32"/>
          <w:szCs w:val="32"/>
        </w:rPr>
      </w:pPr>
      <w:r w:rsidRPr="001E0E75">
        <w:rPr>
          <w:rFonts w:ascii="Arial" w:hAnsi="Arial" w:cs="Arial"/>
          <w:b/>
          <w:bCs/>
          <w:sz w:val="32"/>
          <w:szCs w:val="32"/>
        </w:rPr>
        <w:t>Time constraint</w:t>
      </w:r>
      <w:r w:rsidRPr="001E0E75">
        <w:rPr>
          <w:rFonts w:ascii="Arial" w:hAnsi="Arial" w:cs="Arial"/>
          <w:sz w:val="32"/>
          <w:szCs w:val="32"/>
        </w:rPr>
        <w:t xml:space="preserve"> – The placement-based data collection limited longitudinal observation of seasonal demand variations.</w:t>
      </w:r>
    </w:p>
    <w:p w14:paraId="435201CE" w14:textId="77777777" w:rsidR="00B4255E" w:rsidRPr="001E0E75" w:rsidRDefault="00B4255E" w:rsidP="001E0E75">
      <w:pPr>
        <w:numPr>
          <w:ilvl w:val="0"/>
          <w:numId w:val="20"/>
        </w:numPr>
        <w:spacing w:line="360" w:lineRule="auto"/>
        <w:rPr>
          <w:rFonts w:ascii="Arial" w:hAnsi="Arial" w:cs="Arial"/>
          <w:sz w:val="32"/>
          <w:szCs w:val="32"/>
        </w:rPr>
      </w:pPr>
      <w:r w:rsidRPr="001E0E75">
        <w:rPr>
          <w:rFonts w:ascii="Arial" w:hAnsi="Arial" w:cs="Arial"/>
          <w:b/>
          <w:bCs/>
          <w:sz w:val="32"/>
          <w:szCs w:val="32"/>
        </w:rPr>
        <w:t>Subjectivity</w:t>
      </w:r>
      <w:r w:rsidRPr="001E0E75">
        <w:rPr>
          <w:rFonts w:ascii="Arial" w:hAnsi="Arial" w:cs="Arial"/>
          <w:sz w:val="32"/>
          <w:szCs w:val="32"/>
        </w:rPr>
        <w:t xml:space="preserve"> – Interpretivist analysis relies on researcher interpretation, though triangulation reduced bias (Lincoln and Guba, 1985).</w:t>
      </w:r>
    </w:p>
    <w:p w14:paraId="3C1C1766" w14:textId="77777777" w:rsidR="00B4255E" w:rsidRPr="001E0E75" w:rsidRDefault="00B4255E" w:rsidP="001E0E75">
      <w:pPr>
        <w:spacing w:line="360" w:lineRule="auto"/>
        <w:ind w:left="720"/>
        <w:rPr>
          <w:rFonts w:ascii="Arial" w:hAnsi="Arial" w:cs="Arial"/>
          <w:sz w:val="32"/>
          <w:szCs w:val="32"/>
        </w:rPr>
      </w:pPr>
      <w:r w:rsidRPr="001E0E75">
        <w:rPr>
          <w:rFonts w:ascii="Arial" w:hAnsi="Arial" w:cs="Arial"/>
          <w:sz w:val="32"/>
          <w:szCs w:val="32"/>
        </w:rPr>
        <w:t>Future research could adopt a multi-case comparative approach across Hilton properties or integrate quantitative performance metrics such as RevPAR and event conversion rates.</w:t>
      </w:r>
    </w:p>
    <w:p w14:paraId="5DFBD204" w14:textId="77777777" w:rsidR="00B4255E" w:rsidRDefault="00B4255E" w:rsidP="001E0E75">
      <w:pPr>
        <w:spacing w:line="360" w:lineRule="auto"/>
        <w:ind w:left="720"/>
        <w:rPr>
          <w:rFonts w:ascii="Arial" w:hAnsi="Arial" w:cs="Arial"/>
          <w:sz w:val="32"/>
          <w:szCs w:val="32"/>
        </w:rPr>
      </w:pPr>
    </w:p>
    <w:p w14:paraId="5BD16676" w14:textId="77777777" w:rsidR="000F4B47" w:rsidRDefault="000F4B47" w:rsidP="001E0E75">
      <w:pPr>
        <w:spacing w:line="360" w:lineRule="auto"/>
        <w:ind w:left="720"/>
        <w:rPr>
          <w:rFonts w:ascii="Arial" w:hAnsi="Arial" w:cs="Arial"/>
          <w:sz w:val="32"/>
          <w:szCs w:val="32"/>
        </w:rPr>
      </w:pPr>
    </w:p>
    <w:p w14:paraId="47854B28" w14:textId="77777777" w:rsidR="000F4B47" w:rsidRPr="001E0E75" w:rsidRDefault="000F4B47" w:rsidP="001E0E75">
      <w:pPr>
        <w:spacing w:line="360" w:lineRule="auto"/>
        <w:ind w:left="720"/>
        <w:rPr>
          <w:rFonts w:ascii="Arial" w:hAnsi="Arial" w:cs="Arial"/>
          <w:sz w:val="32"/>
          <w:szCs w:val="32"/>
        </w:rPr>
      </w:pPr>
    </w:p>
    <w:p w14:paraId="05C7CDCF" w14:textId="77777777" w:rsidR="00B4255E" w:rsidRPr="001E0E75" w:rsidRDefault="00B4255E" w:rsidP="001E0E75">
      <w:pPr>
        <w:spacing w:line="360" w:lineRule="auto"/>
        <w:ind w:left="720"/>
        <w:rPr>
          <w:rFonts w:ascii="Arial" w:hAnsi="Arial" w:cs="Arial"/>
          <w:b/>
          <w:bCs/>
          <w:sz w:val="32"/>
          <w:szCs w:val="32"/>
        </w:rPr>
      </w:pPr>
      <w:r w:rsidRPr="001E0E75">
        <w:rPr>
          <w:rFonts w:ascii="Arial" w:hAnsi="Arial" w:cs="Arial"/>
          <w:b/>
          <w:bCs/>
          <w:sz w:val="32"/>
          <w:szCs w:val="32"/>
        </w:rPr>
        <w:lastRenderedPageBreak/>
        <w:t>5.8 Future Research Directions</w:t>
      </w:r>
    </w:p>
    <w:p w14:paraId="5D2F3B44" w14:textId="77777777" w:rsidR="00B4255E" w:rsidRPr="001E0E75" w:rsidRDefault="00B4255E" w:rsidP="001E0E75">
      <w:pPr>
        <w:numPr>
          <w:ilvl w:val="0"/>
          <w:numId w:val="21"/>
        </w:numPr>
        <w:spacing w:line="360" w:lineRule="auto"/>
        <w:rPr>
          <w:rFonts w:ascii="Arial" w:hAnsi="Arial" w:cs="Arial"/>
          <w:sz w:val="32"/>
          <w:szCs w:val="32"/>
        </w:rPr>
      </w:pPr>
      <w:r w:rsidRPr="001E0E75">
        <w:rPr>
          <w:rFonts w:ascii="Arial" w:hAnsi="Arial" w:cs="Arial"/>
          <w:b/>
          <w:bCs/>
          <w:sz w:val="32"/>
          <w:szCs w:val="32"/>
        </w:rPr>
        <w:t>Comparative Studies</w:t>
      </w:r>
      <w:r w:rsidRPr="001E0E75">
        <w:rPr>
          <w:rFonts w:ascii="Arial" w:hAnsi="Arial" w:cs="Arial"/>
          <w:sz w:val="32"/>
          <w:szCs w:val="32"/>
        </w:rPr>
        <w:t xml:space="preserve"> – Investigate how hotel location impacts M&amp;E performance across different UK regions or international contexts.</w:t>
      </w:r>
    </w:p>
    <w:p w14:paraId="78017AF6" w14:textId="77777777" w:rsidR="00B4255E" w:rsidRPr="001E0E75" w:rsidRDefault="00B4255E" w:rsidP="001E0E75">
      <w:pPr>
        <w:numPr>
          <w:ilvl w:val="0"/>
          <w:numId w:val="21"/>
        </w:numPr>
        <w:spacing w:line="360" w:lineRule="auto"/>
        <w:rPr>
          <w:rFonts w:ascii="Arial" w:hAnsi="Arial" w:cs="Arial"/>
          <w:sz w:val="32"/>
          <w:szCs w:val="32"/>
        </w:rPr>
      </w:pPr>
      <w:r w:rsidRPr="001E0E75">
        <w:rPr>
          <w:rFonts w:ascii="Arial" w:hAnsi="Arial" w:cs="Arial"/>
          <w:b/>
          <w:bCs/>
          <w:sz w:val="32"/>
          <w:szCs w:val="32"/>
        </w:rPr>
        <w:t>Longitudinal Analysis</w:t>
      </w:r>
      <w:r w:rsidRPr="001E0E75">
        <w:rPr>
          <w:rFonts w:ascii="Arial" w:hAnsi="Arial" w:cs="Arial"/>
          <w:sz w:val="32"/>
          <w:szCs w:val="32"/>
        </w:rPr>
        <w:t xml:space="preserve"> – Track the long-term effects of hybrid technology adoption on revenue and customer loyalty.</w:t>
      </w:r>
    </w:p>
    <w:p w14:paraId="6BD738B5" w14:textId="77777777" w:rsidR="00B4255E" w:rsidRPr="001E0E75" w:rsidRDefault="00B4255E" w:rsidP="001E0E75">
      <w:pPr>
        <w:numPr>
          <w:ilvl w:val="0"/>
          <w:numId w:val="21"/>
        </w:numPr>
        <w:spacing w:line="360" w:lineRule="auto"/>
        <w:rPr>
          <w:rFonts w:ascii="Arial" w:hAnsi="Arial" w:cs="Arial"/>
          <w:sz w:val="32"/>
          <w:szCs w:val="32"/>
        </w:rPr>
      </w:pPr>
      <w:r w:rsidRPr="001E0E75">
        <w:rPr>
          <w:rFonts w:ascii="Arial" w:hAnsi="Arial" w:cs="Arial"/>
          <w:b/>
          <w:bCs/>
          <w:sz w:val="32"/>
          <w:szCs w:val="32"/>
        </w:rPr>
        <w:t>Sustainability and Client Perception</w:t>
      </w:r>
      <w:r w:rsidRPr="001E0E75">
        <w:rPr>
          <w:rFonts w:ascii="Arial" w:hAnsi="Arial" w:cs="Arial"/>
          <w:sz w:val="32"/>
          <w:szCs w:val="32"/>
        </w:rPr>
        <w:t xml:space="preserve"> – Assess how environmental certifications influence corporate buyer decisions in the MICE sector.</w:t>
      </w:r>
    </w:p>
    <w:p w14:paraId="3AA77602" w14:textId="77777777" w:rsidR="00B4255E" w:rsidRPr="001E0E75" w:rsidRDefault="00B4255E" w:rsidP="001E0E75">
      <w:pPr>
        <w:numPr>
          <w:ilvl w:val="0"/>
          <w:numId w:val="21"/>
        </w:numPr>
        <w:spacing w:line="360" w:lineRule="auto"/>
        <w:rPr>
          <w:rFonts w:ascii="Arial" w:hAnsi="Arial" w:cs="Arial"/>
          <w:sz w:val="32"/>
          <w:szCs w:val="32"/>
        </w:rPr>
      </w:pPr>
      <w:r w:rsidRPr="001E0E75">
        <w:rPr>
          <w:rFonts w:ascii="Arial" w:hAnsi="Arial" w:cs="Arial"/>
          <w:b/>
          <w:bCs/>
          <w:sz w:val="32"/>
          <w:szCs w:val="32"/>
        </w:rPr>
        <w:t>Technology Integration</w:t>
      </w:r>
      <w:r w:rsidRPr="001E0E75">
        <w:rPr>
          <w:rFonts w:ascii="Arial" w:hAnsi="Arial" w:cs="Arial"/>
          <w:sz w:val="32"/>
          <w:szCs w:val="32"/>
        </w:rPr>
        <w:t xml:space="preserve"> – Explore artificial-intelligence-driven sales forecasting and personalisation within regional hotels.</w:t>
      </w:r>
    </w:p>
    <w:p w14:paraId="4567071D" w14:textId="77777777" w:rsidR="00B4255E" w:rsidRPr="001E0E75" w:rsidRDefault="00B4255E" w:rsidP="001E0E75">
      <w:pPr>
        <w:spacing w:line="360" w:lineRule="auto"/>
        <w:ind w:left="720"/>
        <w:rPr>
          <w:rFonts w:ascii="Arial" w:hAnsi="Arial" w:cs="Arial"/>
          <w:sz w:val="32"/>
          <w:szCs w:val="32"/>
        </w:rPr>
      </w:pPr>
      <w:r w:rsidRPr="001E0E75">
        <w:rPr>
          <w:rFonts w:ascii="Arial" w:hAnsi="Arial" w:cs="Arial"/>
          <w:sz w:val="32"/>
          <w:szCs w:val="32"/>
        </w:rPr>
        <w:t>Such studies would further develop the theoretical linkage between spatial economics, marketing innovation, and hospitality performance.</w:t>
      </w:r>
    </w:p>
    <w:p w14:paraId="0E6204DF" w14:textId="77777777" w:rsidR="00B4255E" w:rsidRPr="001E0E75" w:rsidRDefault="00B4255E" w:rsidP="001E0E75">
      <w:pPr>
        <w:spacing w:line="360" w:lineRule="auto"/>
        <w:ind w:left="720"/>
        <w:rPr>
          <w:rFonts w:ascii="Arial" w:hAnsi="Arial" w:cs="Arial"/>
          <w:sz w:val="32"/>
          <w:szCs w:val="32"/>
        </w:rPr>
      </w:pPr>
    </w:p>
    <w:p w14:paraId="391F90D6" w14:textId="433306AD" w:rsidR="00BD0A34" w:rsidRPr="001E0E75" w:rsidRDefault="00BD0A34" w:rsidP="001E0E75">
      <w:pPr>
        <w:spacing w:line="360" w:lineRule="auto"/>
        <w:ind w:left="720"/>
        <w:rPr>
          <w:rFonts w:ascii="Arial" w:hAnsi="Arial" w:cs="Arial"/>
          <w:sz w:val="32"/>
          <w:szCs w:val="32"/>
        </w:rPr>
      </w:pPr>
      <w:r w:rsidRPr="001E0E75">
        <w:rPr>
          <w:rFonts w:ascii="Arial" w:hAnsi="Arial" w:cs="Arial"/>
          <w:sz w:val="32"/>
          <w:szCs w:val="32"/>
        </w:rPr>
        <w:t>The results therefore echo national recovery insights by PwC (2023) and VisitBritain (2023), confirming that adaptive, technology-driven, and sustainability-oriented sales models are the most effective pathways for regional hotels in post-pandemic Britain.</w:t>
      </w:r>
    </w:p>
    <w:p w14:paraId="2C0F7CC8" w14:textId="77777777" w:rsidR="00B4255E" w:rsidRPr="001E0E75" w:rsidRDefault="00B4255E" w:rsidP="001E0E75">
      <w:pPr>
        <w:spacing w:line="360" w:lineRule="auto"/>
        <w:ind w:left="720"/>
        <w:rPr>
          <w:rFonts w:ascii="Arial" w:hAnsi="Arial" w:cs="Arial"/>
          <w:sz w:val="32"/>
          <w:szCs w:val="32"/>
        </w:rPr>
      </w:pPr>
    </w:p>
    <w:p w14:paraId="602A8ED1" w14:textId="77777777" w:rsidR="00B4255E" w:rsidRPr="001E0E75" w:rsidRDefault="00B4255E" w:rsidP="001E0E75">
      <w:pPr>
        <w:spacing w:line="360" w:lineRule="auto"/>
        <w:ind w:left="720"/>
        <w:rPr>
          <w:rFonts w:ascii="Arial" w:hAnsi="Arial" w:cs="Arial"/>
          <w:b/>
          <w:bCs/>
          <w:sz w:val="32"/>
          <w:szCs w:val="32"/>
        </w:rPr>
      </w:pPr>
      <w:r w:rsidRPr="001E0E75">
        <w:rPr>
          <w:rFonts w:ascii="Arial" w:hAnsi="Arial" w:cs="Arial"/>
          <w:b/>
          <w:bCs/>
          <w:sz w:val="32"/>
          <w:szCs w:val="32"/>
        </w:rPr>
        <w:lastRenderedPageBreak/>
        <w:t>5.9 Overall Conclusion</w:t>
      </w:r>
    </w:p>
    <w:p w14:paraId="5BB5C6DC" w14:textId="77777777" w:rsidR="00B4255E" w:rsidRPr="001E0E75" w:rsidRDefault="00B4255E" w:rsidP="001E0E75">
      <w:pPr>
        <w:spacing w:line="360" w:lineRule="auto"/>
        <w:ind w:left="720"/>
        <w:rPr>
          <w:rFonts w:ascii="Arial" w:hAnsi="Arial" w:cs="Arial"/>
          <w:sz w:val="32"/>
          <w:szCs w:val="32"/>
        </w:rPr>
      </w:pPr>
      <w:r w:rsidRPr="001E0E75">
        <w:rPr>
          <w:rFonts w:ascii="Arial" w:hAnsi="Arial" w:cs="Arial"/>
          <w:sz w:val="32"/>
          <w:szCs w:val="32"/>
        </w:rPr>
        <w:t xml:space="preserve">This dissertation concludes that </w:t>
      </w:r>
      <w:r w:rsidRPr="001E0E75">
        <w:rPr>
          <w:rFonts w:ascii="Arial" w:hAnsi="Arial" w:cs="Arial"/>
          <w:b/>
          <w:bCs/>
          <w:sz w:val="32"/>
          <w:szCs w:val="32"/>
        </w:rPr>
        <w:t>hotel location exerts a decisive yet manageable influence on sales strategies and M&amp;E performance</w:t>
      </w:r>
      <w:r w:rsidRPr="001E0E75">
        <w:rPr>
          <w:rFonts w:ascii="Arial" w:hAnsi="Arial" w:cs="Arial"/>
          <w:sz w:val="32"/>
          <w:szCs w:val="32"/>
        </w:rPr>
        <w:t>. While geographic factors shape accessibility and perception, managerial creativity determines competitive outcomes. DoubleTree by Hilton Dartford Bridge demonstrates that peripheral hotels can achieve sustained success by combining digital innovation, value-driven sales, and relational excellence.</w:t>
      </w:r>
    </w:p>
    <w:p w14:paraId="679AC514" w14:textId="77777777" w:rsidR="00B4255E" w:rsidRPr="001E0E75" w:rsidRDefault="00B4255E" w:rsidP="001E0E75">
      <w:pPr>
        <w:spacing w:line="360" w:lineRule="auto"/>
        <w:ind w:left="720"/>
        <w:rPr>
          <w:rFonts w:ascii="Arial" w:hAnsi="Arial" w:cs="Arial"/>
          <w:sz w:val="32"/>
          <w:szCs w:val="32"/>
        </w:rPr>
      </w:pPr>
      <w:r w:rsidRPr="001E0E75">
        <w:rPr>
          <w:rFonts w:ascii="Arial" w:hAnsi="Arial" w:cs="Arial"/>
          <w:sz w:val="32"/>
          <w:szCs w:val="32"/>
        </w:rPr>
        <w:t>The case reinforces that location should not be viewed as a fixed constraint but as a strategic context demanding continuous adaptation. The study thus contributes both theoretically—to the understanding of location competitiveness and service-dominant logic—and practically, by offering a replicable framework for regional hospitality management.</w:t>
      </w:r>
    </w:p>
    <w:p w14:paraId="37878455" w14:textId="77777777" w:rsidR="00B4255E" w:rsidRPr="001E0E75" w:rsidRDefault="00B4255E" w:rsidP="001E0E75">
      <w:pPr>
        <w:spacing w:line="360" w:lineRule="auto"/>
        <w:ind w:left="720"/>
        <w:rPr>
          <w:rFonts w:ascii="Arial" w:hAnsi="Arial" w:cs="Arial"/>
          <w:sz w:val="32"/>
          <w:szCs w:val="32"/>
        </w:rPr>
      </w:pPr>
      <w:r w:rsidRPr="001E0E75">
        <w:rPr>
          <w:rFonts w:ascii="Arial" w:hAnsi="Arial" w:cs="Arial"/>
          <w:sz w:val="32"/>
          <w:szCs w:val="32"/>
        </w:rPr>
        <w:t>Through adaptive leadership, data-informed marketing, and a culture of service innovation, DoubleTree by Hilton Dartford Bridge can continue to thrive as a benchmark for regional M&amp;E excellence within the Hilton portfolio.</w:t>
      </w:r>
    </w:p>
    <w:p w14:paraId="5A951919" w14:textId="77777777" w:rsidR="00B4255E" w:rsidRDefault="00B4255E" w:rsidP="001E0E75">
      <w:pPr>
        <w:spacing w:line="360" w:lineRule="auto"/>
        <w:ind w:left="720"/>
        <w:rPr>
          <w:rFonts w:ascii="Arial" w:hAnsi="Arial" w:cs="Arial"/>
          <w:sz w:val="32"/>
          <w:szCs w:val="32"/>
        </w:rPr>
      </w:pPr>
    </w:p>
    <w:p w14:paraId="4496EBD4" w14:textId="77777777" w:rsidR="000F4B47" w:rsidRDefault="000F4B47" w:rsidP="001E0E75">
      <w:pPr>
        <w:spacing w:line="360" w:lineRule="auto"/>
        <w:ind w:left="720"/>
        <w:rPr>
          <w:rFonts w:ascii="Arial" w:hAnsi="Arial" w:cs="Arial"/>
          <w:sz w:val="32"/>
          <w:szCs w:val="32"/>
        </w:rPr>
      </w:pPr>
    </w:p>
    <w:p w14:paraId="328D067C" w14:textId="77777777" w:rsidR="000F4B47" w:rsidRPr="001E0E75" w:rsidRDefault="000F4B47" w:rsidP="001E0E75">
      <w:pPr>
        <w:spacing w:line="360" w:lineRule="auto"/>
        <w:ind w:left="720"/>
        <w:rPr>
          <w:rFonts w:ascii="Arial" w:hAnsi="Arial" w:cs="Arial"/>
          <w:sz w:val="32"/>
          <w:szCs w:val="32"/>
        </w:rPr>
      </w:pPr>
    </w:p>
    <w:p w14:paraId="567909C1" w14:textId="714B4B41" w:rsidR="00B4255E" w:rsidRPr="001E0E75" w:rsidRDefault="00D3277C" w:rsidP="001E0E75">
      <w:pPr>
        <w:spacing w:line="360" w:lineRule="auto"/>
        <w:ind w:left="720"/>
        <w:rPr>
          <w:rFonts w:ascii="Arial" w:hAnsi="Arial" w:cs="Arial"/>
          <w:b/>
          <w:bCs/>
          <w:sz w:val="32"/>
          <w:szCs w:val="32"/>
        </w:rPr>
      </w:pPr>
      <w:r w:rsidRPr="001E0E75">
        <w:rPr>
          <w:rFonts w:ascii="Arial" w:hAnsi="Arial" w:cs="Arial"/>
          <w:b/>
          <w:bCs/>
          <w:sz w:val="32"/>
          <w:szCs w:val="32"/>
        </w:rPr>
        <w:lastRenderedPageBreak/>
        <w:t>References</w:t>
      </w:r>
    </w:p>
    <w:p w14:paraId="34603423"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Baum, T.</w:t>
      </w:r>
      <w:r w:rsidRPr="001E0E75">
        <w:rPr>
          <w:rFonts w:ascii="Arial" w:hAnsi="Arial" w:cs="Arial"/>
          <w:sz w:val="32"/>
          <w:szCs w:val="32"/>
        </w:rPr>
        <w:t xml:space="preserve"> (2017) </w:t>
      </w:r>
      <w:r w:rsidRPr="001E0E75">
        <w:rPr>
          <w:rFonts w:ascii="Arial" w:hAnsi="Arial" w:cs="Arial"/>
          <w:i/>
          <w:iCs/>
          <w:sz w:val="32"/>
          <w:szCs w:val="32"/>
        </w:rPr>
        <w:t>Human Resource Issues in International Hospitality, Tourism and Leisure: A Strategic Approach.</w:t>
      </w:r>
      <w:r w:rsidRPr="001E0E75">
        <w:rPr>
          <w:rFonts w:ascii="Arial" w:hAnsi="Arial" w:cs="Arial"/>
          <w:sz w:val="32"/>
          <w:szCs w:val="32"/>
        </w:rPr>
        <w:t xml:space="preserve"> Oxford: Butterworth-Heinemann.</w:t>
      </w:r>
    </w:p>
    <w:p w14:paraId="69BCEB9E"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Baum, T.</w:t>
      </w:r>
      <w:r w:rsidRPr="001E0E75">
        <w:rPr>
          <w:rFonts w:ascii="Arial" w:hAnsi="Arial" w:cs="Arial"/>
          <w:sz w:val="32"/>
          <w:szCs w:val="32"/>
        </w:rPr>
        <w:t xml:space="preserve"> and </w:t>
      </w:r>
      <w:r w:rsidRPr="001E0E75">
        <w:rPr>
          <w:rFonts w:ascii="Arial" w:hAnsi="Arial" w:cs="Arial"/>
          <w:b/>
          <w:bCs/>
          <w:sz w:val="32"/>
          <w:szCs w:val="32"/>
        </w:rPr>
        <w:t>Hai, N.T.T.</w:t>
      </w:r>
      <w:r w:rsidRPr="001E0E75">
        <w:rPr>
          <w:rFonts w:ascii="Arial" w:hAnsi="Arial" w:cs="Arial"/>
          <w:sz w:val="32"/>
          <w:szCs w:val="32"/>
        </w:rPr>
        <w:t xml:space="preserve"> (2020) ‘Hospitality, tourism, human rights and the impact of COVID-19’, </w:t>
      </w:r>
      <w:r w:rsidRPr="001E0E75">
        <w:rPr>
          <w:rFonts w:ascii="Arial" w:hAnsi="Arial" w:cs="Arial"/>
          <w:i/>
          <w:iCs/>
          <w:sz w:val="32"/>
          <w:szCs w:val="32"/>
        </w:rPr>
        <w:t>International Journal of Contemporary Hospitality Management</w:t>
      </w:r>
      <w:r w:rsidRPr="001E0E75">
        <w:rPr>
          <w:rFonts w:ascii="Arial" w:hAnsi="Arial" w:cs="Arial"/>
          <w:sz w:val="32"/>
          <w:szCs w:val="32"/>
        </w:rPr>
        <w:t>, 32(7), pp. 2397–2407.</w:t>
      </w:r>
    </w:p>
    <w:p w14:paraId="0FA8027D"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Baum, T.</w:t>
      </w:r>
      <w:r w:rsidRPr="001E0E75">
        <w:rPr>
          <w:rFonts w:ascii="Arial" w:hAnsi="Arial" w:cs="Arial"/>
          <w:sz w:val="32"/>
          <w:szCs w:val="32"/>
        </w:rPr>
        <w:t xml:space="preserve"> and </w:t>
      </w:r>
      <w:r w:rsidRPr="001E0E75">
        <w:rPr>
          <w:rFonts w:ascii="Arial" w:hAnsi="Arial" w:cs="Arial"/>
          <w:b/>
          <w:bCs/>
          <w:sz w:val="32"/>
          <w:szCs w:val="32"/>
        </w:rPr>
        <w:t>Mehmetoglu, M.</w:t>
      </w:r>
      <w:r w:rsidRPr="001E0E75">
        <w:rPr>
          <w:rFonts w:ascii="Arial" w:hAnsi="Arial" w:cs="Arial"/>
          <w:sz w:val="32"/>
          <w:szCs w:val="32"/>
        </w:rPr>
        <w:t xml:space="preserve"> (2022) ‘Changing work patterns in hospitality post-COVID-19’, </w:t>
      </w:r>
      <w:r w:rsidRPr="001E0E75">
        <w:rPr>
          <w:rFonts w:ascii="Arial" w:hAnsi="Arial" w:cs="Arial"/>
          <w:i/>
          <w:iCs/>
          <w:sz w:val="32"/>
          <w:szCs w:val="32"/>
        </w:rPr>
        <w:t>International Journal of Hospitality Management</w:t>
      </w:r>
      <w:r w:rsidRPr="001E0E75">
        <w:rPr>
          <w:rFonts w:ascii="Arial" w:hAnsi="Arial" w:cs="Arial"/>
          <w:sz w:val="32"/>
          <w:szCs w:val="32"/>
        </w:rPr>
        <w:t>, 105, 103117.</w:t>
      </w:r>
    </w:p>
    <w:p w14:paraId="3B743314"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Becerra, M., Santaló, J.</w:t>
      </w:r>
      <w:r w:rsidRPr="001E0E75">
        <w:rPr>
          <w:rFonts w:ascii="Arial" w:hAnsi="Arial" w:cs="Arial"/>
          <w:sz w:val="32"/>
          <w:szCs w:val="32"/>
        </w:rPr>
        <w:t xml:space="preserve"> and </w:t>
      </w:r>
      <w:r w:rsidRPr="001E0E75">
        <w:rPr>
          <w:rFonts w:ascii="Arial" w:hAnsi="Arial" w:cs="Arial"/>
          <w:b/>
          <w:bCs/>
          <w:sz w:val="32"/>
          <w:szCs w:val="32"/>
        </w:rPr>
        <w:t>Silva, R.</w:t>
      </w:r>
      <w:r w:rsidRPr="001E0E75">
        <w:rPr>
          <w:rFonts w:ascii="Arial" w:hAnsi="Arial" w:cs="Arial"/>
          <w:sz w:val="32"/>
          <w:szCs w:val="32"/>
        </w:rPr>
        <w:t xml:space="preserve"> (2013) ‘Being better vs. being different: Differentiation, competition, and pricing in the hospitality industry’, </w:t>
      </w:r>
      <w:r w:rsidRPr="001E0E75">
        <w:rPr>
          <w:rFonts w:ascii="Arial" w:hAnsi="Arial" w:cs="Arial"/>
          <w:i/>
          <w:iCs/>
          <w:sz w:val="32"/>
          <w:szCs w:val="32"/>
        </w:rPr>
        <w:t>Tourism Management</w:t>
      </w:r>
      <w:r w:rsidRPr="001E0E75">
        <w:rPr>
          <w:rFonts w:ascii="Arial" w:hAnsi="Arial" w:cs="Arial"/>
          <w:sz w:val="32"/>
          <w:szCs w:val="32"/>
        </w:rPr>
        <w:t>, 34, pp. 71–79.</w:t>
      </w:r>
    </w:p>
    <w:p w14:paraId="73D84C8C"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Berezina, K.</w:t>
      </w:r>
      <w:r w:rsidRPr="001E0E75">
        <w:rPr>
          <w:rFonts w:ascii="Arial" w:hAnsi="Arial" w:cs="Arial"/>
          <w:sz w:val="32"/>
          <w:szCs w:val="32"/>
        </w:rPr>
        <w:t xml:space="preserve"> and </w:t>
      </w:r>
      <w:r w:rsidRPr="001E0E75">
        <w:rPr>
          <w:rFonts w:ascii="Arial" w:hAnsi="Arial" w:cs="Arial"/>
          <w:b/>
          <w:bCs/>
          <w:sz w:val="32"/>
          <w:szCs w:val="32"/>
        </w:rPr>
        <w:t>Cobos, L.</w:t>
      </w:r>
      <w:r w:rsidRPr="001E0E75">
        <w:rPr>
          <w:rFonts w:ascii="Arial" w:hAnsi="Arial" w:cs="Arial"/>
          <w:sz w:val="32"/>
          <w:szCs w:val="32"/>
        </w:rPr>
        <w:t xml:space="preserve"> (2021) ‘Revenue management and profitability analysis in regional hotels’, </w:t>
      </w:r>
      <w:r w:rsidRPr="001E0E75">
        <w:rPr>
          <w:rFonts w:ascii="Arial" w:hAnsi="Arial" w:cs="Arial"/>
          <w:i/>
          <w:iCs/>
          <w:sz w:val="32"/>
          <w:szCs w:val="32"/>
        </w:rPr>
        <w:t>Tourism Management Perspectives</w:t>
      </w:r>
      <w:r w:rsidRPr="001E0E75">
        <w:rPr>
          <w:rFonts w:ascii="Arial" w:hAnsi="Arial" w:cs="Arial"/>
          <w:sz w:val="32"/>
          <w:szCs w:val="32"/>
        </w:rPr>
        <w:t>, 40, 100905.</w:t>
      </w:r>
    </w:p>
    <w:p w14:paraId="4BFD7F3C"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Braun, V.</w:t>
      </w:r>
      <w:r w:rsidRPr="001E0E75">
        <w:rPr>
          <w:rFonts w:ascii="Arial" w:hAnsi="Arial" w:cs="Arial"/>
          <w:sz w:val="32"/>
          <w:szCs w:val="32"/>
        </w:rPr>
        <w:t xml:space="preserve"> and </w:t>
      </w:r>
      <w:r w:rsidRPr="001E0E75">
        <w:rPr>
          <w:rFonts w:ascii="Arial" w:hAnsi="Arial" w:cs="Arial"/>
          <w:b/>
          <w:bCs/>
          <w:sz w:val="32"/>
          <w:szCs w:val="32"/>
        </w:rPr>
        <w:t>Clarke, V.</w:t>
      </w:r>
      <w:r w:rsidRPr="001E0E75">
        <w:rPr>
          <w:rFonts w:ascii="Arial" w:hAnsi="Arial" w:cs="Arial"/>
          <w:sz w:val="32"/>
          <w:szCs w:val="32"/>
        </w:rPr>
        <w:t xml:space="preserve"> (2006) ‘Using thematic analysis in psychology’, </w:t>
      </w:r>
      <w:r w:rsidRPr="001E0E75">
        <w:rPr>
          <w:rFonts w:ascii="Arial" w:hAnsi="Arial" w:cs="Arial"/>
          <w:i/>
          <w:iCs/>
          <w:sz w:val="32"/>
          <w:szCs w:val="32"/>
        </w:rPr>
        <w:t>Qualitative Research in Psychology</w:t>
      </w:r>
      <w:r w:rsidRPr="001E0E75">
        <w:rPr>
          <w:rFonts w:ascii="Arial" w:hAnsi="Arial" w:cs="Arial"/>
          <w:sz w:val="32"/>
          <w:szCs w:val="32"/>
        </w:rPr>
        <w:t>, 3(2), pp. 77–101.</w:t>
      </w:r>
    </w:p>
    <w:p w14:paraId="5706FBAF"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Bryman, A.</w:t>
      </w:r>
      <w:r w:rsidRPr="001E0E75">
        <w:rPr>
          <w:rFonts w:ascii="Arial" w:hAnsi="Arial" w:cs="Arial"/>
          <w:sz w:val="32"/>
          <w:szCs w:val="32"/>
        </w:rPr>
        <w:t xml:space="preserve"> and </w:t>
      </w:r>
      <w:r w:rsidRPr="001E0E75">
        <w:rPr>
          <w:rFonts w:ascii="Arial" w:hAnsi="Arial" w:cs="Arial"/>
          <w:b/>
          <w:bCs/>
          <w:sz w:val="32"/>
          <w:szCs w:val="32"/>
        </w:rPr>
        <w:t>Bell, E.</w:t>
      </w:r>
      <w:r w:rsidRPr="001E0E75">
        <w:rPr>
          <w:rFonts w:ascii="Arial" w:hAnsi="Arial" w:cs="Arial"/>
          <w:sz w:val="32"/>
          <w:szCs w:val="32"/>
        </w:rPr>
        <w:t xml:space="preserve"> (2021) </w:t>
      </w:r>
      <w:r w:rsidRPr="001E0E75">
        <w:rPr>
          <w:rFonts w:ascii="Arial" w:hAnsi="Arial" w:cs="Arial"/>
          <w:i/>
          <w:iCs/>
          <w:sz w:val="32"/>
          <w:szCs w:val="32"/>
        </w:rPr>
        <w:t>Business Research Methods.</w:t>
      </w:r>
      <w:r w:rsidRPr="001E0E75">
        <w:rPr>
          <w:rFonts w:ascii="Arial" w:hAnsi="Arial" w:cs="Arial"/>
          <w:sz w:val="32"/>
          <w:szCs w:val="32"/>
        </w:rPr>
        <w:t xml:space="preserve"> 6th edn. Oxford: Oxford University Press.</w:t>
      </w:r>
    </w:p>
    <w:p w14:paraId="41F24F14"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lastRenderedPageBreak/>
        <w:t>Buhalis, D.</w:t>
      </w:r>
      <w:r w:rsidRPr="001E0E75">
        <w:rPr>
          <w:rFonts w:ascii="Arial" w:hAnsi="Arial" w:cs="Arial"/>
          <w:sz w:val="32"/>
          <w:szCs w:val="32"/>
        </w:rPr>
        <w:t xml:space="preserve"> and </w:t>
      </w:r>
      <w:r w:rsidRPr="001E0E75">
        <w:rPr>
          <w:rFonts w:ascii="Arial" w:hAnsi="Arial" w:cs="Arial"/>
          <w:b/>
          <w:bCs/>
          <w:sz w:val="32"/>
          <w:szCs w:val="32"/>
        </w:rPr>
        <w:t>Sinarta, Y.</w:t>
      </w:r>
      <w:r w:rsidRPr="001E0E75">
        <w:rPr>
          <w:rFonts w:ascii="Arial" w:hAnsi="Arial" w:cs="Arial"/>
          <w:sz w:val="32"/>
          <w:szCs w:val="32"/>
        </w:rPr>
        <w:t xml:space="preserve"> (2019) ‘Real-time co-creation and engagement in smart tourism’, </w:t>
      </w:r>
      <w:r w:rsidRPr="001E0E75">
        <w:rPr>
          <w:rFonts w:ascii="Arial" w:hAnsi="Arial" w:cs="Arial"/>
          <w:i/>
          <w:iCs/>
          <w:sz w:val="32"/>
          <w:szCs w:val="32"/>
        </w:rPr>
        <w:t>Tourism Recreation Research</w:t>
      </w:r>
      <w:r w:rsidRPr="001E0E75">
        <w:rPr>
          <w:rFonts w:ascii="Arial" w:hAnsi="Arial" w:cs="Arial"/>
          <w:sz w:val="32"/>
          <w:szCs w:val="32"/>
        </w:rPr>
        <w:t>, 44(3), pp. 327–340.</w:t>
      </w:r>
    </w:p>
    <w:p w14:paraId="07D07854"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Camilleri, M.</w:t>
      </w:r>
      <w:r w:rsidRPr="001E0E75">
        <w:rPr>
          <w:rFonts w:ascii="Arial" w:hAnsi="Arial" w:cs="Arial"/>
          <w:sz w:val="32"/>
          <w:szCs w:val="32"/>
        </w:rPr>
        <w:t xml:space="preserve"> (2023) ‘Digital transformation in the hospitality industry: Marketing innovation and competitiveness’, </w:t>
      </w:r>
      <w:r w:rsidRPr="001E0E75">
        <w:rPr>
          <w:rFonts w:ascii="Arial" w:hAnsi="Arial" w:cs="Arial"/>
          <w:i/>
          <w:iCs/>
          <w:sz w:val="32"/>
          <w:szCs w:val="32"/>
        </w:rPr>
        <w:t>Journal of Hospitality and Tourism Technology</w:t>
      </w:r>
      <w:r w:rsidRPr="001E0E75">
        <w:rPr>
          <w:rFonts w:ascii="Arial" w:hAnsi="Arial" w:cs="Arial"/>
          <w:sz w:val="32"/>
          <w:szCs w:val="32"/>
        </w:rPr>
        <w:t>, 14(1), pp. 45–59.</w:t>
      </w:r>
    </w:p>
    <w:p w14:paraId="63A4DB9F"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Chung, J.</w:t>
      </w:r>
      <w:r w:rsidRPr="001E0E75">
        <w:rPr>
          <w:rFonts w:ascii="Arial" w:hAnsi="Arial" w:cs="Arial"/>
          <w:sz w:val="32"/>
          <w:szCs w:val="32"/>
        </w:rPr>
        <w:t xml:space="preserve"> (2021) ‘Hotel location competitiveness: Revisiting spatial models’, </w:t>
      </w:r>
      <w:r w:rsidRPr="001E0E75">
        <w:rPr>
          <w:rFonts w:ascii="Arial" w:hAnsi="Arial" w:cs="Arial"/>
          <w:i/>
          <w:iCs/>
          <w:sz w:val="32"/>
          <w:szCs w:val="32"/>
        </w:rPr>
        <w:t>Annals of Tourism Research</w:t>
      </w:r>
      <w:r w:rsidRPr="001E0E75">
        <w:rPr>
          <w:rFonts w:ascii="Arial" w:hAnsi="Arial" w:cs="Arial"/>
          <w:sz w:val="32"/>
          <w:szCs w:val="32"/>
        </w:rPr>
        <w:t>, 89, 103257.</w:t>
      </w:r>
    </w:p>
    <w:p w14:paraId="468A49F0"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Clarke, V.</w:t>
      </w:r>
      <w:r w:rsidRPr="001E0E75">
        <w:rPr>
          <w:rFonts w:ascii="Arial" w:hAnsi="Arial" w:cs="Arial"/>
          <w:sz w:val="32"/>
          <w:szCs w:val="32"/>
        </w:rPr>
        <w:t xml:space="preserve"> and </w:t>
      </w:r>
      <w:r w:rsidRPr="001E0E75">
        <w:rPr>
          <w:rFonts w:ascii="Arial" w:hAnsi="Arial" w:cs="Arial"/>
          <w:b/>
          <w:bCs/>
          <w:sz w:val="32"/>
          <w:szCs w:val="32"/>
        </w:rPr>
        <w:t>Braun, V.</w:t>
      </w:r>
      <w:r w:rsidRPr="001E0E75">
        <w:rPr>
          <w:rFonts w:ascii="Arial" w:hAnsi="Arial" w:cs="Arial"/>
          <w:sz w:val="32"/>
          <w:szCs w:val="32"/>
        </w:rPr>
        <w:t xml:space="preserve"> (2021) ‘Thematic analysis: A practical guide’, </w:t>
      </w:r>
      <w:r w:rsidRPr="001E0E75">
        <w:rPr>
          <w:rFonts w:ascii="Arial" w:hAnsi="Arial" w:cs="Arial"/>
          <w:i/>
          <w:iCs/>
          <w:sz w:val="32"/>
          <w:szCs w:val="32"/>
        </w:rPr>
        <w:t>Journal of Positive Psychology</w:t>
      </w:r>
      <w:r w:rsidRPr="001E0E75">
        <w:rPr>
          <w:rFonts w:ascii="Arial" w:hAnsi="Arial" w:cs="Arial"/>
          <w:sz w:val="32"/>
          <w:szCs w:val="32"/>
        </w:rPr>
        <w:t>, 12(3), pp. 297–312.</w:t>
      </w:r>
    </w:p>
    <w:p w14:paraId="42435A99"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Creswell, J.</w:t>
      </w:r>
      <w:r w:rsidRPr="001E0E75">
        <w:rPr>
          <w:rFonts w:ascii="Arial" w:hAnsi="Arial" w:cs="Arial"/>
          <w:sz w:val="32"/>
          <w:szCs w:val="32"/>
        </w:rPr>
        <w:t xml:space="preserve"> and </w:t>
      </w:r>
      <w:r w:rsidRPr="001E0E75">
        <w:rPr>
          <w:rFonts w:ascii="Arial" w:hAnsi="Arial" w:cs="Arial"/>
          <w:b/>
          <w:bCs/>
          <w:sz w:val="32"/>
          <w:szCs w:val="32"/>
        </w:rPr>
        <w:t>Poth, C.</w:t>
      </w:r>
      <w:r w:rsidRPr="001E0E75">
        <w:rPr>
          <w:rFonts w:ascii="Arial" w:hAnsi="Arial" w:cs="Arial"/>
          <w:sz w:val="32"/>
          <w:szCs w:val="32"/>
        </w:rPr>
        <w:t xml:space="preserve"> (2021) </w:t>
      </w:r>
      <w:r w:rsidRPr="001E0E75">
        <w:rPr>
          <w:rFonts w:ascii="Arial" w:hAnsi="Arial" w:cs="Arial"/>
          <w:i/>
          <w:iCs/>
          <w:sz w:val="32"/>
          <w:szCs w:val="32"/>
        </w:rPr>
        <w:t>Qualitative Inquiry and Research Design: Choosing Among Five Approaches.</w:t>
      </w:r>
      <w:r w:rsidRPr="001E0E75">
        <w:rPr>
          <w:rFonts w:ascii="Arial" w:hAnsi="Arial" w:cs="Arial"/>
          <w:sz w:val="32"/>
          <w:szCs w:val="32"/>
        </w:rPr>
        <w:t xml:space="preserve"> 5th edn. London: Sage.</w:t>
      </w:r>
    </w:p>
    <w:p w14:paraId="2CF77454"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Cross, R.G., Higbie, J.A.</w:t>
      </w:r>
      <w:r w:rsidRPr="001E0E75">
        <w:rPr>
          <w:rFonts w:ascii="Arial" w:hAnsi="Arial" w:cs="Arial"/>
          <w:sz w:val="32"/>
          <w:szCs w:val="32"/>
        </w:rPr>
        <w:t xml:space="preserve"> and </w:t>
      </w:r>
      <w:r w:rsidRPr="001E0E75">
        <w:rPr>
          <w:rFonts w:ascii="Arial" w:hAnsi="Arial" w:cs="Arial"/>
          <w:b/>
          <w:bCs/>
          <w:sz w:val="32"/>
          <w:szCs w:val="32"/>
        </w:rPr>
        <w:t>Cross, D.Q.</w:t>
      </w:r>
      <w:r w:rsidRPr="001E0E75">
        <w:rPr>
          <w:rFonts w:ascii="Arial" w:hAnsi="Arial" w:cs="Arial"/>
          <w:sz w:val="32"/>
          <w:szCs w:val="32"/>
        </w:rPr>
        <w:t xml:space="preserve"> (2011) ‘Revenue management’s renaissance’, </w:t>
      </w:r>
      <w:r w:rsidRPr="001E0E75">
        <w:rPr>
          <w:rFonts w:ascii="Arial" w:hAnsi="Arial" w:cs="Arial"/>
          <w:i/>
          <w:iCs/>
          <w:sz w:val="32"/>
          <w:szCs w:val="32"/>
        </w:rPr>
        <w:t>Cornell Hospitality Quarterly</w:t>
      </w:r>
      <w:r w:rsidRPr="001E0E75">
        <w:rPr>
          <w:rFonts w:ascii="Arial" w:hAnsi="Arial" w:cs="Arial"/>
          <w:sz w:val="32"/>
          <w:szCs w:val="32"/>
        </w:rPr>
        <w:t>, 52(1), pp. 56–62.</w:t>
      </w:r>
    </w:p>
    <w:p w14:paraId="2C367EB4"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Cvent</w:t>
      </w:r>
      <w:r w:rsidRPr="001E0E75">
        <w:rPr>
          <w:rFonts w:ascii="Arial" w:hAnsi="Arial" w:cs="Arial"/>
          <w:sz w:val="32"/>
          <w:szCs w:val="32"/>
        </w:rPr>
        <w:t xml:space="preserve"> (2022) </w:t>
      </w:r>
      <w:r w:rsidRPr="001E0E75">
        <w:rPr>
          <w:rFonts w:ascii="Arial" w:hAnsi="Arial" w:cs="Arial"/>
          <w:i/>
          <w:iCs/>
          <w:sz w:val="32"/>
          <w:szCs w:val="32"/>
        </w:rPr>
        <w:t>Event Industry Report 2022: Global Trends in Meetings and Events.</w:t>
      </w:r>
      <w:r w:rsidRPr="001E0E75">
        <w:rPr>
          <w:rFonts w:ascii="Arial" w:hAnsi="Arial" w:cs="Arial"/>
          <w:sz w:val="32"/>
          <w:szCs w:val="32"/>
        </w:rPr>
        <w:t xml:space="preserve"> Available at: </w:t>
      </w:r>
      <w:hyperlink r:id="rId6" w:tgtFrame="_new" w:history="1">
        <w:r w:rsidRPr="001E0E75">
          <w:rPr>
            <w:rStyle w:val="Hyperlink"/>
            <w:rFonts w:ascii="Arial" w:hAnsi="Arial" w:cs="Arial"/>
            <w:sz w:val="32"/>
            <w:szCs w:val="32"/>
          </w:rPr>
          <w:t>https://www.cvent.com</w:t>
        </w:r>
      </w:hyperlink>
      <w:r w:rsidRPr="001E0E75">
        <w:rPr>
          <w:rFonts w:ascii="Arial" w:hAnsi="Arial" w:cs="Arial"/>
          <w:sz w:val="32"/>
          <w:szCs w:val="32"/>
        </w:rPr>
        <w:t xml:space="preserve"> (Accessed: 6 November 2025).</w:t>
      </w:r>
    </w:p>
    <w:p w14:paraId="41A77E1B"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lastRenderedPageBreak/>
        <w:t>Davidson, R.</w:t>
      </w:r>
      <w:r w:rsidRPr="001E0E75">
        <w:rPr>
          <w:rFonts w:ascii="Arial" w:hAnsi="Arial" w:cs="Arial"/>
          <w:sz w:val="32"/>
          <w:szCs w:val="32"/>
        </w:rPr>
        <w:t xml:space="preserve"> and </w:t>
      </w:r>
      <w:r w:rsidRPr="001E0E75">
        <w:rPr>
          <w:rFonts w:ascii="Arial" w:hAnsi="Arial" w:cs="Arial"/>
          <w:b/>
          <w:bCs/>
          <w:sz w:val="32"/>
          <w:szCs w:val="32"/>
        </w:rPr>
        <w:t>Rogers, T.</w:t>
      </w:r>
      <w:r w:rsidRPr="001E0E75">
        <w:rPr>
          <w:rFonts w:ascii="Arial" w:hAnsi="Arial" w:cs="Arial"/>
          <w:sz w:val="32"/>
          <w:szCs w:val="32"/>
        </w:rPr>
        <w:t xml:space="preserve"> (2022) </w:t>
      </w:r>
      <w:r w:rsidRPr="001E0E75">
        <w:rPr>
          <w:rFonts w:ascii="Arial" w:hAnsi="Arial" w:cs="Arial"/>
          <w:i/>
          <w:iCs/>
          <w:sz w:val="32"/>
          <w:szCs w:val="32"/>
        </w:rPr>
        <w:t>Marketing Destinations and Venues for Conferences, Conventions and Business Events.</w:t>
      </w:r>
      <w:r w:rsidRPr="001E0E75">
        <w:rPr>
          <w:rFonts w:ascii="Arial" w:hAnsi="Arial" w:cs="Arial"/>
          <w:sz w:val="32"/>
          <w:szCs w:val="32"/>
        </w:rPr>
        <w:t xml:space="preserve"> 3rd edn. London: Routledge.</w:t>
      </w:r>
    </w:p>
    <w:p w14:paraId="519DACEC"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DCMS</w:t>
      </w:r>
      <w:r w:rsidRPr="001E0E75">
        <w:rPr>
          <w:rFonts w:ascii="Arial" w:hAnsi="Arial" w:cs="Arial"/>
          <w:sz w:val="32"/>
          <w:szCs w:val="32"/>
        </w:rPr>
        <w:t xml:space="preserve"> (2022) </w:t>
      </w:r>
      <w:r w:rsidRPr="001E0E75">
        <w:rPr>
          <w:rFonts w:ascii="Arial" w:hAnsi="Arial" w:cs="Arial"/>
          <w:i/>
          <w:iCs/>
          <w:sz w:val="32"/>
          <w:szCs w:val="32"/>
        </w:rPr>
        <w:t>Tourism Recovery Plan.</w:t>
      </w:r>
      <w:r w:rsidRPr="001E0E75">
        <w:rPr>
          <w:rFonts w:ascii="Arial" w:hAnsi="Arial" w:cs="Arial"/>
          <w:sz w:val="32"/>
          <w:szCs w:val="32"/>
        </w:rPr>
        <w:t xml:space="preserve"> London: Department for Digital, Culture, Media &amp; Sport.</w:t>
      </w:r>
    </w:p>
    <w:p w14:paraId="28FFAEC8"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Enz, C.</w:t>
      </w:r>
      <w:r w:rsidRPr="001E0E75">
        <w:rPr>
          <w:rFonts w:ascii="Arial" w:hAnsi="Arial" w:cs="Arial"/>
          <w:sz w:val="32"/>
          <w:szCs w:val="32"/>
        </w:rPr>
        <w:t xml:space="preserve"> (2010) ‘The role of strategic location in hospitality competitiveness’, </w:t>
      </w:r>
      <w:r w:rsidRPr="001E0E75">
        <w:rPr>
          <w:rFonts w:ascii="Arial" w:hAnsi="Arial" w:cs="Arial"/>
          <w:i/>
          <w:iCs/>
          <w:sz w:val="32"/>
          <w:szCs w:val="32"/>
        </w:rPr>
        <w:t>Cornell Hospitality Quarterly</w:t>
      </w:r>
      <w:r w:rsidRPr="001E0E75">
        <w:rPr>
          <w:rFonts w:ascii="Arial" w:hAnsi="Arial" w:cs="Arial"/>
          <w:sz w:val="32"/>
          <w:szCs w:val="32"/>
        </w:rPr>
        <w:t>, 51(3), pp. 354–369.</w:t>
      </w:r>
    </w:p>
    <w:p w14:paraId="73E0E859"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Etikan, I.</w:t>
      </w:r>
      <w:r w:rsidRPr="001E0E75">
        <w:rPr>
          <w:rFonts w:ascii="Arial" w:hAnsi="Arial" w:cs="Arial"/>
          <w:sz w:val="32"/>
          <w:szCs w:val="32"/>
        </w:rPr>
        <w:t xml:space="preserve"> and </w:t>
      </w:r>
      <w:r w:rsidRPr="001E0E75">
        <w:rPr>
          <w:rFonts w:ascii="Arial" w:hAnsi="Arial" w:cs="Arial"/>
          <w:b/>
          <w:bCs/>
          <w:sz w:val="32"/>
          <w:szCs w:val="32"/>
        </w:rPr>
        <w:t>Bala, K.</w:t>
      </w:r>
      <w:r w:rsidRPr="001E0E75">
        <w:rPr>
          <w:rFonts w:ascii="Arial" w:hAnsi="Arial" w:cs="Arial"/>
          <w:sz w:val="32"/>
          <w:szCs w:val="32"/>
        </w:rPr>
        <w:t xml:space="preserve"> (2017) ‘Sampling and sampling methods’, </w:t>
      </w:r>
      <w:r w:rsidRPr="001E0E75">
        <w:rPr>
          <w:rFonts w:ascii="Arial" w:hAnsi="Arial" w:cs="Arial"/>
          <w:i/>
          <w:iCs/>
          <w:sz w:val="32"/>
          <w:szCs w:val="32"/>
        </w:rPr>
        <w:t>Biometrics &amp; Biostatistics International Journal</w:t>
      </w:r>
      <w:r w:rsidRPr="001E0E75">
        <w:rPr>
          <w:rFonts w:ascii="Arial" w:hAnsi="Arial" w:cs="Arial"/>
          <w:sz w:val="32"/>
          <w:szCs w:val="32"/>
        </w:rPr>
        <w:t>, 5(6), pp. 215–217.</w:t>
      </w:r>
    </w:p>
    <w:p w14:paraId="163E994B"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Fenich, G.</w:t>
      </w:r>
      <w:r w:rsidRPr="001E0E75">
        <w:rPr>
          <w:rFonts w:ascii="Arial" w:hAnsi="Arial" w:cs="Arial"/>
          <w:sz w:val="32"/>
          <w:szCs w:val="32"/>
        </w:rPr>
        <w:t xml:space="preserve"> (2020) </w:t>
      </w:r>
      <w:r w:rsidRPr="001E0E75">
        <w:rPr>
          <w:rFonts w:ascii="Arial" w:hAnsi="Arial" w:cs="Arial"/>
          <w:i/>
          <w:iCs/>
          <w:sz w:val="32"/>
          <w:szCs w:val="32"/>
        </w:rPr>
        <w:t>Meetings, Expositions, Events, and Conventions: An Introduction to the MICE Industry.</w:t>
      </w:r>
      <w:r w:rsidRPr="001E0E75">
        <w:rPr>
          <w:rFonts w:ascii="Arial" w:hAnsi="Arial" w:cs="Arial"/>
          <w:sz w:val="32"/>
          <w:szCs w:val="32"/>
        </w:rPr>
        <w:t xml:space="preserve"> 6th edn. Harlow: Pearson.</w:t>
      </w:r>
    </w:p>
    <w:p w14:paraId="7A8B8891"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Green Tourism</w:t>
      </w:r>
      <w:r w:rsidRPr="001E0E75">
        <w:rPr>
          <w:rFonts w:ascii="Arial" w:hAnsi="Arial" w:cs="Arial"/>
          <w:sz w:val="32"/>
          <w:szCs w:val="32"/>
        </w:rPr>
        <w:t xml:space="preserve"> (2024) </w:t>
      </w:r>
      <w:r w:rsidRPr="001E0E75">
        <w:rPr>
          <w:rFonts w:ascii="Arial" w:hAnsi="Arial" w:cs="Arial"/>
          <w:i/>
          <w:iCs/>
          <w:sz w:val="32"/>
          <w:szCs w:val="32"/>
        </w:rPr>
        <w:t>Green Tourism Accreditation Standards.</w:t>
      </w:r>
      <w:r w:rsidRPr="001E0E75">
        <w:rPr>
          <w:rFonts w:ascii="Arial" w:hAnsi="Arial" w:cs="Arial"/>
          <w:sz w:val="32"/>
          <w:szCs w:val="32"/>
        </w:rPr>
        <w:t xml:space="preserve"> Edinburgh: Green Business UK.</w:t>
      </w:r>
    </w:p>
    <w:p w14:paraId="560316F7"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Guillet, B.D.</w:t>
      </w:r>
      <w:r w:rsidRPr="001E0E75">
        <w:rPr>
          <w:rFonts w:ascii="Arial" w:hAnsi="Arial" w:cs="Arial"/>
          <w:sz w:val="32"/>
          <w:szCs w:val="32"/>
        </w:rPr>
        <w:t xml:space="preserve"> and </w:t>
      </w:r>
      <w:r w:rsidRPr="001E0E75">
        <w:rPr>
          <w:rFonts w:ascii="Arial" w:hAnsi="Arial" w:cs="Arial"/>
          <w:b/>
          <w:bCs/>
          <w:sz w:val="32"/>
          <w:szCs w:val="32"/>
        </w:rPr>
        <w:t>Mohammed, I.</w:t>
      </w:r>
      <w:r w:rsidRPr="001E0E75">
        <w:rPr>
          <w:rFonts w:ascii="Arial" w:hAnsi="Arial" w:cs="Arial"/>
          <w:sz w:val="32"/>
          <w:szCs w:val="32"/>
        </w:rPr>
        <w:t xml:space="preserve"> (2015) ‘Revenue management for service excellence’, </w:t>
      </w:r>
      <w:r w:rsidRPr="001E0E75">
        <w:rPr>
          <w:rFonts w:ascii="Arial" w:hAnsi="Arial" w:cs="Arial"/>
          <w:i/>
          <w:iCs/>
          <w:sz w:val="32"/>
          <w:szCs w:val="32"/>
        </w:rPr>
        <w:t>International Journal of Contemporary Hospitality Management</w:t>
      </w:r>
      <w:r w:rsidRPr="001E0E75">
        <w:rPr>
          <w:rFonts w:ascii="Arial" w:hAnsi="Arial" w:cs="Arial"/>
          <w:sz w:val="32"/>
          <w:szCs w:val="32"/>
        </w:rPr>
        <w:t>, 27(8), pp. 1593–1612.</w:t>
      </w:r>
    </w:p>
    <w:p w14:paraId="4F94D7F9"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Hilton</w:t>
      </w:r>
      <w:r w:rsidRPr="001E0E75">
        <w:rPr>
          <w:rFonts w:ascii="Arial" w:hAnsi="Arial" w:cs="Arial"/>
          <w:sz w:val="32"/>
          <w:szCs w:val="32"/>
        </w:rPr>
        <w:t xml:space="preserve"> (2025) </w:t>
      </w:r>
      <w:r w:rsidRPr="001E0E75">
        <w:rPr>
          <w:rFonts w:ascii="Arial" w:hAnsi="Arial" w:cs="Arial"/>
          <w:i/>
          <w:iCs/>
          <w:sz w:val="32"/>
          <w:szCs w:val="32"/>
        </w:rPr>
        <w:t>DoubleTree by Hilton Dartford Bridge: Meetings &amp; Events Brochure.</w:t>
      </w:r>
      <w:r w:rsidRPr="001E0E75">
        <w:rPr>
          <w:rFonts w:ascii="Arial" w:hAnsi="Arial" w:cs="Arial"/>
          <w:sz w:val="32"/>
          <w:szCs w:val="32"/>
        </w:rPr>
        <w:t xml:space="preserve"> Hilton UK Corporate Site.</w:t>
      </w:r>
    </w:p>
    <w:p w14:paraId="1C2E47EC"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lastRenderedPageBreak/>
        <w:t>Hotelling, H.</w:t>
      </w:r>
      <w:r w:rsidRPr="001E0E75">
        <w:rPr>
          <w:rFonts w:ascii="Arial" w:hAnsi="Arial" w:cs="Arial"/>
          <w:sz w:val="32"/>
          <w:szCs w:val="32"/>
        </w:rPr>
        <w:t xml:space="preserve"> (1929) ‘Stability in competition’, </w:t>
      </w:r>
      <w:r w:rsidRPr="001E0E75">
        <w:rPr>
          <w:rFonts w:ascii="Arial" w:hAnsi="Arial" w:cs="Arial"/>
          <w:i/>
          <w:iCs/>
          <w:sz w:val="32"/>
          <w:szCs w:val="32"/>
        </w:rPr>
        <w:t>Economic Journal</w:t>
      </w:r>
      <w:r w:rsidRPr="001E0E75">
        <w:rPr>
          <w:rFonts w:ascii="Arial" w:hAnsi="Arial" w:cs="Arial"/>
          <w:sz w:val="32"/>
          <w:szCs w:val="32"/>
        </w:rPr>
        <w:t>, 39(153), pp. 41–57.</w:t>
      </w:r>
    </w:p>
    <w:p w14:paraId="3689E1C1"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Ivanov, S.</w:t>
      </w:r>
      <w:r w:rsidRPr="001E0E75">
        <w:rPr>
          <w:rFonts w:ascii="Arial" w:hAnsi="Arial" w:cs="Arial"/>
          <w:sz w:val="32"/>
          <w:szCs w:val="32"/>
        </w:rPr>
        <w:t xml:space="preserve"> and </w:t>
      </w:r>
      <w:r w:rsidRPr="001E0E75">
        <w:rPr>
          <w:rFonts w:ascii="Arial" w:hAnsi="Arial" w:cs="Arial"/>
          <w:b/>
          <w:bCs/>
          <w:sz w:val="32"/>
          <w:szCs w:val="32"/>
        </w:rPr>
        <w:t>Webster, C.</w:t>
      </w:r>
      <w:r w:rsidRPr="001E0E75">
        <w:rPr>
          <w:rFonts w:ascii="Arial" w:hAnsi="Arial" w:cs="Arial"/>
          <w:sz w:val="32"/>
          <w:szCs w:val="32"/>
        </w:rPr>
        <w:t xml:space="preserve"> (2021) ‘Hotel automation technologies and service delivery’, </w:t>
      </w:r>
      <w:r w:rsidRPr="001E0E75">
        <w:rPr>
          <w:rFonts w:ascii="Arial" w:hAnsi="Arial" w:cs="Arial"/>
          <w:i/>
          <w:iCs/>
          <w:sz w:val="32"/>
          <w:szCs w:val="32"/>
        </w:rPr>
        <w:t>Tourism Economics</w:t>
      </w:r>
      <w:r w:rsidRPr="001E0E75">
        <w:rPr>
          <w:rFonts w:ascii="Arial" w:hAnsi="Arial" w:cs="Arial"/>
          <w:sz w:val="32"/>
          <w:szCs w:val="32"/>
        </w:rPr>
        <w:t>, 27(4), pp. 714–729.</w:t>
      </w:r>
    </w:p>
    <w:p w14:paraId="62A68BB8"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Ji, S., Shin, Y.</w:t>
      </w:r>
      <w:r w:rsidRPr="001E0E75">
        <w:rPr>
          <w:rFonts w:ascii="Arial" w:hAnsi="Arial" w:cs="Arial"/>
          <w:sz w:val="32"/>
          <w:szCs w:val="32"/>
        </w:rPr>
        <w:t xml:space="preserve"> and </w:t>
      </w:r>
      <w:r w:rsidRPr="001E0E75">
        <w:rPr>
          <w:rFonts w:ascii="Arial" w:hAnsi="Arial" w:cs="Arial"/>
          <w:b/>
          <w:bCs/>
          <w:sz w:val="32"/>
          <w:szCs w:val="32"/>
        </w:rPr>
        <w:t>Lee, J.</w:t>
      </w:r>
      <w:r w:rsidRPr="001E0E75">
        <w:rPr>
          <w:rFonts w:ascii="Arial" w:hAnsi="Arial" w:cs="Arial"/>
          <w:sz w:val="32"/>
          <w:szCs w:val="32"/>
        </w:rPr>
        <w:t xml:space="preserve"> (2024) ‘Customer relationship continuity in post-pandemic hospitality’, </w:t>
      </w:r>
      <w:r w:rsidRPr="001E0E75">
        <w:rPr>
          <w:rFonts w:ascii="Arial" w:hAnsi="Arial" w:cs="Arial"/>
          <w:i/>
          <w:iCs/>
          <w:sz w:val="32"/>
          <w:szCs w:val="32"/>
        </w:rPr>
        <w:t>Journal of Services Marketing</w:t>
      </w:r>
      <w:r w:rsidRPr="001E0E75">
        <w:rPr>
          <w:rFonts w:ascii="Arial" w:hAnsi="Arial" w:cs="Arial"/>
          <w:sz w:val="32"/>
          <w:szCs w:val="32"/>
        </w:rPr>
        <w:t>, 38(2), pp. 133–148.</w:t>
      </w:r>
    </w:p>
    <w:p w14:paraId="2A4AED2F"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Jones, P.</w:t>
      </w:r>
      <w:r w:rsidRPr="001E0E75">
        <w:rPr>
          <w:rFonts w:ascii="Arial" w:hAnsi="Arial" w:cs="Arial"/>
          <w:sz w:val="32"/>
          <w:szCs w:val="32"/>
        </w:rPr>
        <w:t xml:space="preserve"> (2022) ‘Rebuilding tourism in a sustainable way’, </w:t>
      </w:r>
      <w:r w:rsidRPr="001E0E75">
        <w:rPr>
          <w:rFonts w:ascii="Arial" w:hAnsi="Arial" w:cs="Arial"/>
          <w:i/>
          <w:iCs/>
          <w:sz w:val="32"/>
          <w:szCs w:val="32"/>
        </w:rPr>
        <w:t>Worldwide Hospitality and Tourism Themes</w:t>
      </w:r>
      <w:r w:rsidRPr="001E0E75">
        <w:rPr>
          <w:rFonts w:ascii="Arial" w:hAnsi="Arial" w:cs="Arial"/>
          <w:sz w:val="32"/>
          <w:szCs w:val="32"/>
        </w:rPr>
        <w:t>, 14(3), pp. 245–258.</w:t>
      </w:r>
    </w:p>
    <w:p w14:paraId="1779E7AA"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Jones, P., Hillier, D.</w:t>
      </w:r>
      <w:r w:rsidRPr="001E0E75">
        <w:rPr>
          <w:rFonts w:ascii="Arial" w:hAnsi="Arial" w:cs="Arial"/>
          <w:sz w:val="32"/>
          <w:szCs w:val="32"/>
        </w:rPr>
        <w:t xml:space="preserve"> and </w:t>
      </w:r>
      <w:r w:rsidRPr="001E0E75">
        <w:rPr>
          <w:rFonts w:ascii="Arial" w:hAnsi="Arial" w:cs="Arial"/>
          <w:b/>
          <w:bCs/>
          <w:sz w:val="32"/>
          <w:szCs w:val="32"/>
        </w:rPr>
        <w:t>Comfort, D.</w:t>
      </w:r>
      <w:r w:rsidRPr="001E0E75">
        <w:rPr>
          <w:rFonts w:ascii="Arial" w:hAnsi="Arial" w:cs="Arial"/>
          <w:sz w:val="32"/>
          <w:szCs w:val="32"/>
        </w:rPr>
        <w:t xml:space="preserve"> (2023) ‘Hybrid meetings and the evolving MICE landscape’, </w:t>
      </w:r>
      <w:r w:rsidRPr="001E0E75">
        <w:rPr>
          <w:rFonts w:ascii="Arial" w:hAnsi="Arial" w:cs="Arial"/>
          <w:i/>
          <w:iCs/>
          <w:sz w:val="32"/>
          <w:szCs w:val="32"/>
        </w:rPr>
        <w:t>Tourism and Hospitality Research</w:t>
      </w:r>
      <w:r w:rsidRPr="001E0E75">
        <w:rPr>
          <w:rFonts w:ascii="Arial" w:hAnsi="Arial" w:cs="Arial"/>
          <w:sz w:val="32"/>
          <w:szCs w:val="32"/>
        </w:rPr>
        <w:t>, 23(2), pp. 158–171.</w:t>
      </w:r>
    </w:p>
    <w:p w14:paraId="3AB91217"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Kenesei, Z.</w:t>
      </w:r>
      <w:r w:rsidRPr="001E0E75">
        <w:rPr>
          <w:rFonts w:ascii="Arial" w:hAnsi="Arial" w:cs="Arial"/>
          <w:sz w:val="32"/>
          <w:szCs w:val="32"/>
        </w:rPr>
        <w:t xml:space="preserve"> and </w:t>
      </w:r>
      <w:r w:rsidRPr="001E0E75">
        <w:rPr>
          <w:rFonts w:ascii="Arial" w:hAnsi="Arial" w:cs="Arial"/>
          <w:b/>
          <w:bCs/>
          <w:sz w:val="32"/>
          <w:szCs w:val="32"/>
        </w:rPr>
        <w:t>Stier, G.</w:t>
      </w:r>
      <w:r w:rsidRPr="001E0E75">
        <w:rPr>
          <w:rFonts w:ascii="Arial" w:hAnsi="Arial" w:cs="Arial"/>
          <w:sz w:val="32"/>
          <w:szCs w:val="32"/>
        </w:rPr>
        <w:t xml:space="preserve"> (2017) ‘Interpersonal service quality and trust in hotel client relationships’, </w:t>
      </w:r>
      <w:r w:rsidRPr="001E0E75">
        <w:rPr>
          <w:rFonts w:ascii="Arial" w:hAnsi="Arial" w:cs="Arial"/>
          <w:i/>
          <w:iCs/>
          <w:sz w:val="32"/>
          <w:szCs w:val="32"/>
        </w:rPr>
        <w:t>Service Business</w:t>
      </w:r>
      <w:r w:rsidRPr="001E0E75">
        <w:rPr>
          <w:rFonts w:ascii="Arial" w:hAnsi="Arial" w:cs="Arial"/>
          <w:sz w:val="32"/>
          <w:szCs w:val="32"/>
        </w:rPr>
        <w:t>, 11(1), pp. 45–66.</w:t>
      </w:r>
    </w:p>
    <w:p w14:paraId="68F7D212"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Kimes, S.E.</w:t>
      </w:r>
      <w:r w:rsidRPr="001E0E75">
        <w:rPr>
          <w:rFonts w:ascii="Arial" w:hAnsi="Arial" w:cs="Arial"/>
          <w:sz w:val="32"/>
          <w:szCs w:val="32"/>
        </w:rPr>
        <w:t xml:space="preserve"> (2016) ‘The evolution of hotel revenue management’, </w:t>
      </w:r>
      <w:r w:rsidRPr="001E0E75">
        <w:rPr>
          <w:rFonts w:ascii="Arial" w:hAnsi="Arial" w:cs="Arial"/>
          <w:i/>
          <w:iCs/>
          <w:sz w:val="32"/>
          <w:szCs w:val="32"/>
        </w:rPr>
        <w:t>Journal of Revenue and Pricing Management</w:t>
      </w:r>
      <w:r w:rsidRPr="001E0E75">
        <w:rPr>
          <w:rFonts w:ascii="Arial" w:hAnsi="Arial" w:cs="Arial"/>
          <w:sz w:val="32"/>
          <w:szCs w:val="32"/>
        </w:rPr>
        <w:t>, 15(3), pp. 247–251.</w:t>
      </w:r>
    </w:p>
    <w:p w14:paraId="0642F4F4"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Kong, W.</w:t>
      </w:r>
      <w:r w:rsidRPr="001E0E75">
        <w:rPr>
          <w:rFonts w:ascii="Arial" w:hAnsi="Arial" w:cs="Arial"/>
          <w:sz w:val="32"/>
          <w:szCs w:val="32"/>
        </w:rPr>
        <w:t xml:space="preserve"> and </w:t>
      </w:r>
      <w:r w:rsidRPr="001E0E75">
        <w:rPr>
          <w:rFonts w:ascii="Arial" w:hAnsi="Arial" w:cs="Arial"/>
          <w:b/>
          <w:bCs/>
          <w:sz w:val="32"/>
          <w:szCs w:val="32"/>
        </w:rPr>
        <w:t>Law, R.</w:t>
      </w:r>
      <w:r w:rsidRPr="001E0E75">
        <w:rPr>
          <w:rFonts w:ascii="Arial" w:hAnsi="Arial" w:cs="Arial"/>
          <w:sz w:val="32"/>
          <w:szCs w:val="32"/>
        </w:rPr>
        <w:t xml:space="preserve"> (2020) ‘The role of location in hotel performance: Empirical evidence from Asia-Pacific’, </w:t>
      </w:r>
      <w:r w:rsidRPr="001E0E75">
        <w:rPr>
          <w:rFonts w:ascii="Arial" w:hAnsi="Arial" w:cs="Arial"/>
          <w:i/>
          <w:iCs/>
          <w:sz w:val="32"/>
          <w:szCs w:val="32"/>
        </w:rPr>
        <w:t>Tourism Management</w:t>
      </w:r>
      <w:r w:rsidRPr="001E0E75">
        <w:rPr>
          <w:rFonts w:ascii="Arial" w:hAnsi="Arial" w:cs="Arial"/>
          <w:sz w:val="32"/>
          <w:szCs w:val="32"/>
        </w:rPr>
        <w:t>, 76, 103955.</w:t>
      </w:r>
    </w:p>
    <w:p w14:paraId="51BBE425"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lastRenderedPageBreak/>
        <w:t>Kotler, P., Bowen, J., Makens, J.</w:t>
      </w:r>
      <w:r w:rsidRPr="001E0E75">
        <w:rPr>
          <w:rFonts w:ascii="Arial" w:hAnsi="Arial" w:cs="Arial"/>
          <w:sz w:val="32"/>
          <w:szCs w:val="32"/>
        </w:rPr>
        <w:t xml:space="preserve"> and </w:t>
      </w:r>
      <w:r w:rsidRPr="001E0E75">
        <w:rPr>
          <w:rFonts w:ascii="Arial" w:hAnsi="Arial" w:cs="Arial"/>
          <w:b/>
          <w:bCs/>
          <w:sz w:val="32"/>
          <w:szCs w:val="32"/>
        </w:rPr>
        <w:t>Baloglu, S.</w:t>
      </w:r>
      <w:r w:rsidRPr="001E0E75">
        <w:rPr>
          <w:rFonts w:ascii="Arial" w:hAnsi="Arial" w:cs="Arial"/>
          <w:sz w:val="32"/>
          <w:szCs w:val="32"/>
        </w:rPr>
        <w:t xml:space="preserve"> (2019) </w:t>
      </w:r>
      <w:r w:rsidRPr="001E0E75">
        <w:rPr>
          <w:rFonts w:ascii="Arial" w:hAnsi="Arial" w:cs="Arial"/>
          <w:i/>
          <w:iCs/>
          <w:sz w:val="32"/>
          <w:szCs w:val="32"/>
        </w:rPr>
        <w:t>Marketing for Hospitality and Tourism.</w:t>
      </w:r>
      <w:r w:rsidRPr="001E0E75">
        <w:rPr>
          <w:rFonts w:ascii="Arial" w:hAnsi="Arial" w:cs="Arial"/>
          <w:sz w:val="32"/>
          <w:szCs w:val="32"/>
        </w:rPr>
        <w:t xml:space="preserve"> 8th edn. Harlow: Pearson.</w:t>
      </w:r>
    </w:p>
    <w:p w14:paraId="302C3F6D"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Law, R., Li, G.</w:t>
      </w:r>
      <w:r w:rsidRPr="001E0E75">
        <w:rPr>
          <w:rFonts w:ascii="Arial" w:hAnsi="Arial" w:cs="Arial"/>
          <w:sz w:val="32"/>
          <w:szCs w:val="32"/>
        </w:rPr>
        <w:t xml:space="preserve"> and </w:t>
      </w:r>
      <w:r w:rsidRPr="001E0E75">
        <w:rPr>
          <w:rFonts w:ascii="Arial" w:hAnsi="Arial" w:cs="Arial"/>
          <w:b/>
          <w:bCs/>
          <w:sz w:val="32"/>
          <w:szCs w:val="32"/>
        </w:rPr>
        <w:t>Fong, L.</w:t>
      </w:r>
      <w:r w:rsidRPr="001E0E75">
        <w:rPr>
          <w:rFonts w:ascii="Arial" w:hAnsi="Arial" w:cs="Arial"/>
          <w:sz w:val="32"/>
          <w:szCs w:val="32"/>
        </w:rPr>
        <w:t xml:space="preserve"> (2021) ‘Hotel location and performance: A global meta-analysis’, </w:t>
      </w:r>
      <w:r w:rsidRPr="001E0E75">
        <w:rPr>
          <w:rFonts w:ascii="Arial" w:hAnsi="Arial" w:cs="Arial"/>
          <w:i/>
          <w:iCs/>
          <w:sz w:val="32"/>
          <w:szCs w:val="32"/>
        </w:rPr>
        <w:t>International Journal of Hospitality Management</w:t>
      </w:r>
      <w:r w:rsidRPr="001E0E75">
        <w:rPr>
          <w:rFonts w:ascii="Arial" w:hAnsi="Arial" w:cs="Arial"/>
          <w:sz w:val="32"/>
          <w:szCs w:val="32"/>
        </w:rPr>
        <w:t>, 94, 102823.</w:t>
      </w:r>
    </w:p>
    <w:p w14:paraId="2C8A063A"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Lee, M.J.</w:t>
      </w:r>
      <w:r w:rsidRPr="001E0E75">
        <w:rPr>
          <w:rFonts w:ascii="Arial" w:hAnsi="Arial" w:cs="Arial"/>
          <w:sz w:val="32"/>
          <w:szCs w:val="32"/>
        </w:rPr>
        <w:t xml:space="preserve"> and </w:t>
      </w:r>
      <w:r w:rsidRPr="001E0E75">
        <w:rPr>
          <w:rFonts w:ascii="Arial" w:hAnsi="Arial" w:cs="Arial"/>
          <w:b/>
          <w:bCs/>
          <w:sz w:val="32"/>
          <w:szCs w:val="32"/>
        </w:rPr>
        <w:t>Back, K.J.</w:t>
      </w:r>
      <w:r w:rsidRPr="001E0E75">
        <w:rPr>
          <w:rFonts w:ascii="Arial" w:hAnsi="Arial" w:cs="Arial"/>
          <w:sz w:val="32"/>
          <w:szCs w:val="32"/>
        </w:rPr>
        <w:t xml:space="preserve"> (2020) ‘The role of trust in convention destination choice’, </w:t>
      </w:r>
      <w:r w:rsidRPr="001E0E75">
        <w:rPr>
          <w:rFonts w:ascii="Arial" w:hAnsi="Arial" w:cs="Arial"/>
          <w:i/>
          <w:iCs/>
          <w:sz w:val="32"/>
          <w:szCs w:val="32"/>
        </w:rPr>
        <w:t>Event Management</w:t>
      </w:r>
      <w:r w:rsidRPr="001E0E75">
        <w:rPr>
          <w:rFonts w:ascii="Arial" w:hAnsi="Arial" w:cs="Arial"/>
          <w:sz w:val="32"/>
          <w:szCs w:val="32"/>
        </w:rPr>
        <w:t>, 24(2), pp. 157–172.</w:t>
      </w:r>
    </w:p>
    <w:p w14:paraId="461D9970"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Li, X.</w:t>
      </w:r>
      <w:r w:rsidRPr="001E0E75">
        <w:rPr>
          <w:rFonts w:ascii="Arial" w:hAnsi="Arial" w:cs="Arial"/>
          <w:sz w:val="32"/>
          <w:szCs w:val="32"/>
        </w:rPr>
        <w:t xml:space="preserve"> and </w:t>
      </w:r>
      <w:r w:rsidRPr="001E0E75">
        <w:rPr>
          <w:rFonts w:ascii="Arial" w:hAnsi="Arial" w:cs="Arial"/>
          <w:b/>
          <w:bCs/>
          <w:sz w:val="32"/>
          <w:szCs w:val="32"/>
        </w:rPr>
        <w:t>Huang, J.</w:t>
      </w:r>
      <w:r w:rsidRPr="001E0E75">
        <w:rPr>
          <w:rFonts w:ascii="Arial" w:hAnsi="Arial" w:cs="Arial"/>
          <w:sz w:val="32"/>
          <w:szCs w:val="32"/>
        </w:rPr>
        <w:t xml:space="preserve"> (2021) ‘Perception of location and consumer choice in regional hotels’, </w:t>
      </w:r>
      <w:r w:rsidRPr="001E0E75">
        <w:rPr>
          <w:rFonts w:ascii="Arial" w:hAnsi="Arial" w:cs="Arial"/>
          <w:i/>
          <w:iCs/>
          <w:sz w:val="32"/>
          <w:szCs w:val="32"/>
        </w:rPr>
        <w:t>Journal of Travel Research</w:t>
      </w:r>
      <w:r w:rsidRPr="001E0E75">
        <w:rPr>
          <w:rFonts w:ascii="Arial" w:hAnsi="Arial" w:cs="Arial"/>
          <w:sz w:val="32"/>
          <w:szCs w:val="32"/>
        </w:rPr>
        <w:t>, 60(7), pp. 1565–1579.</w:t>
      </w:r>
    </w:p>
    <w:p w14:paraId="78944AA1"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Li, X.</w:t>
      </w:r>
      <w:r w:rsidRPr="001E0E75">
        <w:rPr>
          <w:rFonts w:ascii="Arial" w:hAnsi="Arial" w:cs="Arial"/>
          <w:sz w:val="32"/>
          <w:szCs w:val="32"/>
        </w:rPr>
        <w:t xml:space="preserve"> and </w:t>
      </w:r>
      <w:r w:rsidRPr="001E0E75">
        <w:rPr>
          <w:rFonts w:ascii="Arial" w:hAnsi="Arial" w:cs="Arial"/>
          <w:b/>
          <w:bCs/>
          <w:sz w:val="32"/>
          <w:szCs w:val="32"/>
        </w:rPr>
        <w:t>Law, R.</w:t>
      </w:r>
      <w:r w:rsidRPr="001E0E75">
        <w:rPr>
          <w:rFonts w:ascii="Arial" w:hAnsi="Arial" w:cs="Arial"/>
          <w:sz w:val="32"/>
          <w:szCs w:val="32"/>
        </w:rPr>
        <w:t xml:space="preserve"> (2022) ‘Hospitality technology and digital strategy development’, </w:t>
      </w:r>
      <w:r w:rsidRPr="001E0E75">
        <w:rPr>
          <w:rFonts w:ascii="Arial" w:hAnsi="Arial" w:cs="Arial"/>
          <w:i/>
          <w:iCs/>
          <w:sz w:val="32"/>
          <w:szCs w:val="32"/>
        </w:rPr>
        <w:t>Journal of Hospitality and Tourism Technology</w:t>
      </w:r>
      <w:r w:rsidRPr="001E0E75">
        <w:rPr>
          <w:rFonts w:ascii="Arial" w:hAnsi="Arial" w:cs="Arial"/>
          <w:sz w:val="32"/>
          <w:szCs w:val="32"/>
        </w:rPr>
        <w:t>, 13(2), pp. 241–258.</w:t>
      </w:r>
    </w:p>
    <w:p w14:paraId="6C0006BC"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Lincoln, Y.</w:t>
      </w:r>
      <w:r w:rsidRPr="001E0E75">
        <w:rPr>
          <w:rFonts w:ascii="Arial" w:hAnsi="Arial" w:cs="Arial"/>
          <w:sz w:val="32"/>
          <w:szCs w:val="32"/>
        </w:rPr>
        <w:t xml:space="preserve"> and </w:t>
      </w:r>
      <w:r w:rsidRPr="001E0E75">
        <w:rPr>
          <w:rFonts w:ascii="Arial" w:hAnsi="Arial" w:cs="Arial"/>
          <w:b/>
          <w:bCs/>
          <w:sz w:val="32"/>
          <w:szCs w:val="32"/>
        </w:rPr>
        <w:t>Guba, E.</w:t>
      </w:r>
      <w:r w:rsidRPr="001E0E75">
        <w:rPr>
          <w:rFonts w:ascii="Arial" w:hAnsi="Arial" w:cs="Arial"/>
          <w:sz w:val="32"/>
          <w:szCs w:val="32"/>
        </w:rPr>
        <w:t xml:space="preserve"> (1985) </w:t>
      </w:r>
      <w:r w:rsidRPr="001E0E75">
        <w:rPr>
          <w:rFonts w:ascii="Arial" w:hAnsi="Arial" w:cs="Arial"/>
          <w:i/>
          <w:iCs/>
          <w:sz w:val="32"/>
          <w:szCs w:val="32"/>
        </w:rPr>
        <w:t>Naturalistic Inquiry.</w:t>
      </w:r>
      <w:r w:rsidRPr="001E0E75">
        <w:rPr>
          <w:rFonts w:ascii="Arial" w:hAnsi="Arial" w:cs="Arial"/>
          <w:sz w:val="32"/>
          <w:szCs w:val="32"/>
        </w:rPr>
        <w:t xml:space="preserve"> Beverly Hills, CA: Sage.</w:t>
      </w:r>
    </w:p>
    <w:p w14:paraId="580F4B10"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Mair, J.</w:t>
      </w:r>
      <w:r w:rsidRPr="001E0E75">
        <w:rPr>
          <w:rFonts w:ascii="Arial" w:hAnsi="Arial" w:cs="Arial"/>
          <w:sz w:val="32"/>
          <w:szCs w:val="32"/>
        </w:rPr>
        <w:t xml:space="preserve"> and </w:t>
      </w:r>
      <w:r w:rsidRPr="001E0E75">
        <w:rPr>
          <w:rFonts w:ascii="Arial" w:hAnsi="Arial" w:cs="Arial"/>
          <w:b/>
          <w:bCs/>
          <w:sz w:val="32"/>
          <w:szCs w:val="32"/>
        </w:rPr>
        <w:t>Jago, L.</w:t>
      </w:r>
      <w:r w:rsidRPr="001E0E75">
        <w:rPr>
          <w:rFonts w:ascii="Arial" w:hAnsi="Arial" w:cs="Arial"/>
          <w:sz w:val="32"/>
          <w:szCs w:val="32"/>
        </w:rPr>
        <w:t xml:space="preserve"> (2010) ‘Business event tourism: The past, present and future’, </w:t>
      </w:r>
      <w:r w:rsidRPr="001E0E75">
        <w:rPr>
          <w:rFonts w:ascii="Arial" w:hAnsi="Arial" w:cs="Arial"/>
          <w:i/>
          <w:iCs/>
          <w:sz w:val="32"/>
          <w:szCs w:val="32"/>
        </w:rPr>
        <w:t>International Journal of Tourism Research</w:t>
      </w:r>
      <w:r w:rsidRPr="001E0E75">
        <w:rPr>
          <w:rFonts w:ascii="Arial" w:hAnsi="Arial" w:cs="Arial"/>
          <w:sz w:val="32"/>
          <w:szCs w:val="32"/>
        </w:rPr>
        <w:t>, 12(6), pp. 531–541.</w:t>
      </w:r>
    </w:p>
    <w:p w14:paraId="5DBF8CE3"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Marques, C.</w:t>
      </w:r>
      <w:r w:rsidRPr="001E0E75">
        <w:rPr>
          <w:rFonts w:ascii="Arial" w:hAnsi="Arial" w:cs="Arial"/>
          <w:sz w:val="32"/>
          <w:szCs w:val="32"/>
        </w:rPr>
        <w:t xml:space="preserve"> and </w:t>
      </w:r>
      <w:r w:rsidRPr="001E0E75">
        <w:rPr>
          <w:rFonts w:ascii="Arial" w:hAnsi="Arial" w:cs="Arial"/>
          <w:b/>
          <w:bCs/>
          <w:sz w:val="32"/>
          <w:szCs w:val="32"/>
        </w:rPr>
        <w:t>Pinho, M.</w:t>
      </w:r>
      <w:r w:rsidRPr="001E0E75">
        <w:rPr>
          <w:rFonts w:ascii="Arial" w:hAnsi="Arial" w:cs="Arial"/>
          <w:sz w:val="32"/>
          <w:szCs w:val="32"/>
        </w:rPr>
        <w:t xml:space="preserve"> (2022) ‘Hybrid events and the future of the MICE industry’, </w:t>
      </w:r>
      <w:r w:rsidRPr="001E0E75">
        <w:rPr>
          <w:rFonts w:ascii="Arial" w:hAnsi="Arial" w:cs="Arial"/>
          <w:i/>
          <w:iCs/>
          <w:sz w:val="32"/>
          <w:szCs w:val="32"/>
        </w:rPr>
        <w:t>Tourism Management Perspectives</w:t>
      </w:r>
      <w:r w:rsidRPr="001E0E75">
        <w:rPr>
          <w:rFonts w:ascii="Arial" w:hAnsi="Arial" w:cs="Arial"/>
          <w:sz w:val="32"/>
          <w:szCs w:val="32"/>
        </w:rPr>
        <w:t>, 43, 100986.</w:t>
      </w:r>
    </w:p>
    <w:p w14:paraId="188CC5C5"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lastRenderedPageBreak/>
        <w:t>Noone, B.M.</w:t>
      </w:r>
      <w:r w:rsidRPr="001E0E75">
        <w:rPr>
          <w:rFonts w:ascii="Arial" w:hAnsi="Arial" w:cs="Arial"/>
          <w:sz w:val="32"/>
          <w:szCs w:val="32"/>
        </w:rPr>
        <w:t xml:space="preserve"> and </w:t>
      </w:r>
      <w:r w:rsidRPr="001E0E75">
        <w:rPr>
          <w:rFonts w:ascii="Arial" w:hAnsi="Arial" w:cs="Arial"/>
          <w:b/>
          <w:bCs/>
          <w:sz w:val="32"/>
          <w:szCs w:val="32"/>
        </w:rPr>
        <w:t>Mattila, A.S.</w:t>
      </w:r>
      <w:r w:rsidRPr="001E0E75">
        <w:rPr>
          <w:rFonts w:ascii="Arial" w:hAnsi="Arial" w:cs="Arial"/>
          <w:sz w:val="32"/>
          <w:szCs w:val="32"/>
        </w:rPr>
        <w:t xml:space="preserve"> (2021) ‘Hotel revenue management and consumer perception post-pandemic’, </w:t>
      </w:r>
      <w:r w:rsidRPr="001E0E75">
        <w:rPr>
          <w:rFonts w:ascii="Arial" w:hAnsi="Arial" w:cs="Arial"/>
          <w:i/>
          <w:iCs/>
          <w:sz w:val="32"/>
          <w:szCs w:val="32"/>
        </w:rPr>
        <w:t>Service Science</w:t>
      </w:r>
      <w:r w:rsidRPr="001E0E75">
        <w:rPr>
          <w:rFonts w:ascii="Arial" w:hAnsi="Arial" w:cs="Arial"/>
          <w:sz w:val="32"/>
          <w:szCs w:val="32"/>
        </w:rPr>
        <w:t>, 13(4), pp. 235–247.</w:t>
      </w:r>
    </w:p>
    <w:p w14:paraId="6B8BE038"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Ottenbacher, M., Gnoth, J.</w:t>
      </w:r>
      <w:r w:rsidRPr="001E0E75">
        <w:rPr>
          <w:rFonts w:ascii="Arial" w:hAnsi="Arial" w:cs="Arial"/>
          <w:sz w:val="32"/>
          <w:szCs w:val="32"/>
        </w:rPr>
        <w:t xml:space="preserve"> and </w:t>
      </w:r>
      <w:r w:rsidRPr="001E0E75">
        <w:rPr>
          <w:rFonts w:ascii="Arial" w:hAnsi="Arial" w:cs="Arial"/>
          <w:b/>
          <w:bCs/>
          <w:sz w:val="32"/>
          <w:szCs w:val="32"/>
        </w:rPr>
        <w:t>Jones, P.</w:t>
      </w:r>
      <w:r w:rsidRPr="001E0E75">
        <w:rPr>
          <w:rFonts w:ascii="Arial" w:hAnsi="Arial" w:cs="Arial"/>
          <w:sz w:val="32"/>
          <w:szCs w:val="32"/>
        </w:rPr>
        <w:t xml:space="preserve"> (2018) ‘Innovation management in the hospitality industry’, </w:t>
      </w:r>
      <w:r w:rsidRPr="001E0E75">
        <w:rPr>
          <w:rFonts w:ascii="Arial" w:hAnsi="Arial" w:cs="Arial"/>
          <w:i/>
          <w:iCs/>
          <w:sz w:val="32"/>
          <w:szCs w:val="32"/>
        </w:rPr>
        <w:t>International Journal of Contemporary Hospitality Management</w:t>
      </w:r>
      <w:r w:rsidRPr="001E0E75">
        <w:rPr>
          <w:rFonts w:ascii="Arial" w:hAnsi="Arial" w:cs="Arial"/>
          <w:sz w:val="32"/>
          <w:szCs w:val="32"/>
        </w:rPr>
        <w:t>, 30(6), pp. 2253–2275.</w:t>
      </w:r>
    </w:p>
    <w:p w14:paraId="7025B363"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Patiar, A.</w:t>
      </w:r>
      <w:r w:rsidRPr="001E0E75">
        <w:rPr>
          <w:rFonts w:ascii="Arial" w:hAnsi="Arial" w:cs="Arial"/>
          <w:sz w:val="32"/>
          <w:szCs w:val="32"/>
        </w:rPr>
        <w:t xml:space="preserve"> and </w:t>
      </w:r>
      <w:r w:rsidRPr="001E0E75">
        <w:rPr>
          <w:rFonts w:ascii="Arial" w:hAnsi="Arial" w:cs="Arial"/>
          <w:b/>
          <w:bCs/>
          <w:sz w:val="32"/>
          <w:szCs w:val="32"/>
        </w:rPr>
        <w:t>Wang, Y.</w:t>
      </w:r>
      <w:r w:rsidRPr="001E0E75">
        <w:rPr>
          <w:rFonts w:ascii="Arial" w:hAnsi="Arial" w:cs="Arial"/>
          <w:sz w:val="32"/>
          <w:szCs w:val="32"/>
        </w:rPr>
        <w:t xml:space="preserve"> (2021) ‘Location, pricing strategy and hotel competitiveness’, </w:t>
      </w:r>
      <w:r w:rsidRPr="001E0E75">
        <w:rPr>
          <w:rFonts w:ascii="Arial" w:hAnsi="Arial" w:cs="Arial"/>
          <w:i/>
          <w:iCs/>
          <w:sz w:val="32"/>
          <w:szCs w:val="32"/>
        </w:rPr>
        <w:t>Journal of Hospitality and Tourism Management</w:t>
      </w:r>
      <w:r w:rsidRPr="001E0E75">
        <w:rPr>
          <w:rFonts w:ascii="Arial" w:hAnsi="Arial" w:cs="Arial"/>
          <w:sz w:val="32"/>
          <w:szCs w:val="32"/>
        </w:rPr>
        <w:t>, 47, pp. 89–98.</w:t>
      </w:r>
    </w:p>
    <w:p w14:paraId="715FBE4B"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Pike, S.</w:t>
      </w:r>
      <w:r w:rsidRPr="001E0E75">
        <w:rPr>
          <w:rFonts w:ascii="Arial" w:hAnsi="Arial" w:cs="Arial"/>
          <w:sz w:val="32"/>
          <w:szCs w:val="32"/>
        </w:rPr>
        <w:t xml:space="preserve"> and </w:t>
      </w:r>
      <w:r w:rsidRPr="001E0E75">
        <w:rPr>
          <w:rFonts w:ascii="Arial" w:hAnsi="Arial" w:cs="Arial"/>
          <w:b/>
          <w:bCs/>
          <w:sz w:val="32"/>
          <w:szCs w:val="32"/>
        </w:rPr>
        <w:t>Page, S.</w:t>
      </w:r>
      <w:r w:rsidRPr="001E0E75">
        <w:rPr>
          <w:rFonts w:ascii="Arial" w:hAnsi="Arial" w:cs="Arial"/>
          <w:sz w:val="32"/>
          <w:szCs w:val="32"/>
        </w:rPr>
        <w:t xml:space="preserve"> (2020) ‘Destination marketing organizations and digital engagement’, </w:t>
      </w:r>
      <w:r w:rsidRPr="001E0E75">
        <w:rPr>
          <w:rFonts w:ascii="Arial" w:hAnsi="Arial" w:cs="Arial"/>
          <w:i/>
          <w:iCs/>
          <w:sz w:val="32"/>
          <w:szCs w:val="32"/>
        </w:rPr>
        <w:t>Tourism Management</w:t>
      </w:r>
      <w:r w:rsidRPr="001E0E75">
        <w:rPr>
          <w:rFonts w:ascii="Arial" w:hAnsi="Arial" w:cs="Arial"/>
          <w:sz w:val="32"/>
          <w:szCs w:val="32"/>
        </w:rPr>
        <w:t>, 78, 104074.</w:t>
      </w:r>
    </w:p>
    <w:p w14:paraId="011441A7"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PwC</w:t>
      </w:r>
      <w:r w:rsidRPr="001E0E75">
        <w:rPr>
          <w:rFonts w:ascii="Arial" w:hAnsi="Arial" w:cs="Arial"/>
          <w:sz w:val="32"/>
          <w:szCs w:val="32"/>
        </w:rPr>
        <w:t xml:space="preserve"> (2023) </w:t>
      </w:r>
      <w:r w:rsidRPr="001E0E75">
        <w:rPr>
          <w:rFonts w:ascii="Arial" w:hAnsi="Arial" w:cs="Arial"/>
          <w:i/>
          <w:iCs/>
          <w:sz w:val="32"/>
          <w:szCs w:val="32"/>
        </w:rPr>
        <w:t>UK Hotels Forecast 2023–2024.</w:t>
      </w:r>
      <w:r w:rsidRPr="001E0E75">
        <w:rPr>
          <w:rFonts w:ascii="Arial" w:hAnsi="Arial" w:cs="Arial"/>
          <w:sz w:val="32"/>
          <w:szCs w:val="32"/>
        </w:rPr>
        <w:t xml:space="preserve"> London: PricewaterhouseCoopers.</w:t>
      </w:r>
    </w:p>
    <w:p w14:paraId="012767A2"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Quinlan, C., Babin, B., Carr, J., Griffin, M.</w:t>
      </w:r>
      <w:r w:rsidRPr="001E0E75">
        <w:rPr>
          <w:rFonts w:ascii="Arial" w:hAnsi="Arial" w:cs="Arial"/>
          <w:sz w:val="32"/>
          <w:szCs w:val="32"/>
        </w:rPr>
        <w:t xml:space="preserve"> and </w:t>
      </w:r>
      <w:r w:rsidRPr="001E0E75">
        <w:rPr>
          <w:rFonts w:ascii="Arial" w:hAnsi="Arial" w:cs="Arial"/>
          <w:b/>
          <w:bCs/>
          <w:sz w:val="32"/>
          <w:szCs w:val="32"/>
        </w:rPr>
        <w:t>Zikmund, W.</w:t>
      </w:r>
      <w:r w:rsidRPr="001E0E75">
        <w:rPr>
          <w:rFonts w:ascii="Arial" w:hAnsi="Arial" w:cs="Arial"/>
          <w:sz w:val="32"/>
          <w:szCs w:val="32"/>
        </w:rPr>
        <w:t xml:space="preserve"> (2019) </w:t>
      </w:r>
      <w:r w:rsidRPr="001E0E75">
        <w:rPr>
          <w:rFonts w:ascii="Arial" w:hAnsi="Arial" w:cs="Arial"/>
          <w:i/>
          <w:iCs/>
          <w:sz w:val="32"/>
          <w:szCs w:val="32"/>
        </w:rPr>
        <w:t>Business Research Methods.</w:t>
      </w:r>
      <w:r w:rsidRPr="001E0E75">
        <w:rPr>
          <w:rFonts w:ascii="Arial" w:hAnsi="Arial" w:cs="Arial"/>
          <w:sz w:val="32"/>
          <w:szCs w:val="32"/>
        </w:rPr>
        <w:t xml:space="preserve"> 3rd edn. Andover: Cengage Learning.</w:t>
      </w:r>
    </w:p>
    <w:p w14:paraId="5FBF5BA9"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Rahimi, R.</w:t>
      </w:r>
      <w:r w:rsidRPr="001E0E75">
        <w:rPr>
          <w:rFonts w:ascii="Arial" w:hAnsi="Arial" w:cs="Arial"/>
          <w:sz w:val="32"/>
          <w:szCs w:val="32"/>
        </w:rPr>
        <w:t xml:space="preserve"> and </w:t>
      </w:r>
      <w:r w:rsidRPr="001E0E75">
        <w:rPr>
          <w:rFonts w:ascii="Arial" w:hAnsi="Arial" w:cs="Arial"/>
          <w:b/>
          <w:bCs/>
          <w:sz w:val="32"/>
          <w:szCs w:val="32"/>
        </w:rPr>
        <w:t>Kozak, M.</w:t>
      </w:r>
      <w:r w:rsidRPr="001E0E75">
        <w:rPr>
          <w:rFonts w:ascii="Arial" w:hAnsi="Arial" w:cs="Arial"/>
          <w:sz w:val="32"/>
          <w:szCs w:val="32"/>
        </w:rPr>
        <w:t xml:space="preserve"> (2017) </w:t>
      </w:r>
      <w:r w:rsidRPr="001E0E75">
        <w:rPr>
          <w:rFonts w:ascii="Arial" w:hAnsi="Arial" w:cs="Arial"/>
          <w:i/>
          <w:iCs/>
          <w:sz w:val="32"/>
          <w:szCs w:val="32"/>
        </w:rPr>
        <w:t>Customer Relationship Management and the Hotel Industry.</w:t>
      </w:r>
      <w:r w:rsidRPr="001E0E75">
        <w:rPr>
          <w:rFonts w:ascii="Arial" w:hAnsi="Arial" w:cs="Arial"/>
          <w:sz w:val="32"/>
          <w:szCs w:val="32"/>
        </w:rPr>
        <w:t xml:space="preserve"> London: Routledge.</w:t>
      </w:r>
    </w:p>
    <w:p w14:paraId="4B2C555F"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Rogerson, C.</w:t>
      </w:r>
      <w:r w:rsidRPr="001E0E75">
        <w:rPr>
          <w:rFonts w:ascii="Arial" w:hAnsi="Arial" w:cs="Arial"/>
          <w:sz w:val="32"/>
          <w:szCs w:val="32"/>
        </w:rPr>
        <w:t xml:space="preserve"> and </w:t>
      </w:r>
      <w:r w:rsidRPr="001E0E75">
        <w:rPr>
          <w:rFonts w:ascii="Arial" w:hAnsi="Arial" w:cs="Arial"/>
          <w:b/>
          <w:bCs/>
          <w:sz w:val="32"/>
          <w:szCs w:val="32"/>
        </w:rPr>
        <w:t>Lisa, Z.</w:t>
      </w:r>
      <w:r w:rsidRPr="001E0E75">
        <w:rPr>
          <w:rFonts w:ascii="Arial" w:hAnsi="Arial" w:cs="Arial"/>
          <w:sz w:val="32"/>
          <w:szCs w:val="32"/>
        </w:rPr>
        <w:t xml:space="preserve"> (2020) ‘Peripheral hotels and urban business travel: Case studies from the UK’, </w:t>
      </w:r>
      <w:r w:rsidRPr="001E0E75">
        <w:rPr>
          <w:rFonts w:ascii="Arial" w:hAnsi="Arial" w:cs="Arial"/>
          <w:i/>
          <w:iCs/>
          <w:sz w:val="32"/>
          <w:szCs w:val="32"/>
        </w:rPr>
        <w:t>Current Issues in Tourism</w:t>
      </w:r>
      <w:r w:rsidRPr="001E0E75">
        <w:rPr>
          <w:rFonts w:ascii="Arial" w:hAnsi="Arial" w:cs="Arial"/>
          <w:sz w:val="32"/>
          <w:szCs w:val="32"/>
        </w:rPr>
        <w:t>, 23(15), pp. 1882–1897.</w:t>
      </w:r>
    </w:p>
    <w:p w14:paraId="7ED3E91C"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lastRenderedPageBreak/>
        <w:t>Saunders, M., Lewis, P.</w:t>
      </w:r>
      <w:r w:rsidRPr="001E0E75">
        <w:rPr>
          <w:rFonts w:ascii="Arial" w:hAnsi="Arial" w:cs="Arial"/>
          <w:sz w:val="32"/>
          <w:szCs w:val="32"/>
        </w:rPr>
        <w:t xml:space="preserve"> and </w:t>
      </w:r>
      <w:r w:rsidRPr="001E0E75">
        <w:rPr>
          <w:rFonts w:ascii="Arial" w:hAnsi="Arial" w:cs="Arial"/>
          <w:b/>
          <w:bCs/>
          <w:sz w:val="32"/>
          <w:szCs w:val="32"/>
        </w:rPr>
        <w:t>Thornhill, A.</w:t>
      </w:r>
      <w:r w:rsidRPr="001E0E75">
        <w:rPr>
          <w:rFonts w:ascii="Arial" w:hAnsi="Arial" w:cs="Arial"/>
          <w:sz w:val="32"/>
          <w:szCs w:val="32"/>
        </w:rPr>
        <w:t xml:space="preserve"> (2019) </w:t>
      </w:r>
      <w:r w:rsidRPr="001E0E75">
        <w:rPr>
          <w:rFonts w:ascii="Arial" w:hAnsi="Arial" w:cs="Arial"/>
          <w:i/>
          <w:iCs/>
          <w:sz w:val="32"/>
          <w:szCs w:val="32"/>
        </w:rPr>
        <w:t>Research Methods for Business Students.</w:t>
      </w:r>
      <w:r w:rsidRPr="001E0E75">
        <w:rPr>
          <w:rFonts w:ascii="Arial" w:hAnsi="Arial" w:cs="Arial"/>
          <w:sz w:val="32"/>
          <w:szCs w:val="32"/>
        </w:rPr>
        <w:t xml:space="preserve"> 8th edn. Harlow: Pearson Education.</w:t>
      </w:r>
    </w:p>
    <w:p w14:paraId="22A2E1F1"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Smith, S.</w:t>
      </w:r>
      <w:r w:rsidRPr="001E0E75">
        <w:rPr>
          <w:rFonts w:ascii="Arial" w:hAnsi="Arial" w:cs="Arial"/>
          <w:sz w:val="32"/>
          <w:szCs w:val="32"/>
        </w:rPr>
        <w:t xml:space="preserve"> and </w:t>
      </w:r>
      <w:r w:rsidRPr="001E0E75">
        <w:rPr>
          <w:rFonts w:ascii="Arial" w:hAnsi="Arial" w:cs="Arial"/>
          <w:b/>
          <w:bCs/>
          <w:sz w:val="32"/>
          <w:szCs w:val="32"/>
        </w:rPr>
        <w:t>Puczkó, L.</w:t>
      </w:r>
      <w:r w:rsidRPr="001E0E75">
        <w:rPr>
          <w:rFonts w:ascii="Arial" w:hAnsi="Arial" w:cs="Arial"/>
          <w:sz w:val="32"/>
          <w:szCs w:val="32"/>
        </w:rPr>
        <w:t xml:space="preserve"> (2023) </w:t>
      </w:r>
      <w:r w:rsidRPr="001E0E75">
        <w:rPr>
          <w:rFonts w:ascii="Arial" w:hAnsi="Arial" w:cs="Arial"/>
          <w:i/>
          <w:iCs/>
          <w:sz w:val="32"/>
          <w:szCs w:val="32"/>
        </w:rPr>
        <w:t>Health, Wellness and Hospitality: Re-imagining Tourism in a Post-COVID World.</w:t>
      </w:r>
      <w:r w:rsidRPr="001E0E75">
        <w:rPr>
          <w:rFonts w:ascii="Arial" w:hAnsi="Arial" w:cs="Arial"/>
          <w:sz w:val="32"/>
          <w:szCs w:val="32"/>
        </w:rPr>
        <w:t xml:space="preserve"> London: Routledge.</w:t>
      </w:r>
    </w:p>
    <w:p w14:paraId="5DC29D4F"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Stipanović, C.</w:t>
      </w:r>
      <w:r w:rsidRPr="001E0E75">
        <w:rPr>
          <w:rFonts w:ascii="Arial" w:hAnsi="Arial" w:cs="Arial"/>
          <w:sz w:val="32"/>
          <w:szCs w:val="32"/>
        </w:rPr>
        <w:t xml:space="preserve"> and </w:t>
      </w:r>
      <w:r w:rsidRPr="001E0E75">
        <w:rPr>
          <w:rFonts w:ascii="Arial" w:hAnsi="Arial" w:cs="Arial"/>
          <w:b/>
          <w:bCs/>
          <w:sz w:val="32"/>
          <w:szCs w:val="32"/>
        </w:rPr>
        <w:t>Rudan, E.</w:t>
      </w:r>
      <w:r w:rsidRPr="001E0E75">
        <w:rPr>
          <w:rFonts w:ascii="Arial" w:hAnsi="Arial" w:cs="Arial"/>
          <w:sz w:val="32"/>
          <w:szCs w:val="32"/>
        </w:rPr>
        <w:t xml:space="preserve"> (2014) ‘Strategic adaptability in tourism destinations’, </w:t>
      </w:r>
      <w:r w:rsidRPr="001E0E75">
        <w:rPr>
          <w:rFonts w:ascii="Arial" w:hAnsi="Arial" w:cs="Arial"/>
          <w:i/>
          <w:iCs/>
          <w:sz w:val="32"/>
          <w:szCs w:val="32"/>
        </w:rPr>
        <w:t>Tourism and Hospitality Management</w:t>
      </w:r>
      <w:r w:rsidRPr="001E0E75">
        <w:rPr>
          <w:rFonts w:ascii="Arial" w:hAnsi="Arial" w:cs="Arial"/>
          <w:sz w:val="32"/>
          <w:szCs w:val="32"/>
        </w:rPr>
        <w:t>, 20(2), pp. 145–158.</w:t>
      </w:r>
    </w:p>
    <w:p w14:paraId="0E19D9D6"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Talluri, K.T.</w:t>
      </w:r>
      <w:r w:rsidRPr="001E0E75">
        <w:rPr>
          <w:rFonts w:ascii="Arial" w:hAnsi="Arial" w:cs="Arial"/>
          <w:sz w:val="32"/>
          <w:szCs w:val="32"/>
        </w:rPr>
        <w:t xml:space="preserve"> and </w:t>
      </w:r>
      <w:r w:rsidRPr="001E0E75">
        <w:rPr>
          <w:rFonts w:ascii="Arial" w:hAnsi="Arial" w:cs="Arial"/>
          <w:b/>
          <w:bCs/>
          <w:sz w:val="32"/>
          <w:szCs w:val="32"/>
        </w:rPr>
        <w:t>Van Ryzin, G.</w:t>
      </w:r>
      <w:r w:rsidRPr="001E0E75">
        <w:rPr>
          <w:rFonts w:ascii="Arial" w:hAnsi="Arial" w:cs="Arial"/>
          <w:sz w:val="32"/>
          <w:szCs w:val="32"/>
        </w:rPr>
        <w:t xml:space="preserve"> (2004) </w:t>
      </w:r>
      <w:r w:rsidRPr="001E0E75">
        <w:rPr>
          <w:rFonts w:ascii="Arial" w:hAnsi="Arial" w:cs="Arial"/>
          <w:i/>
          <w:iCs/>
          <w:sz w:val="32"/>
          <w:szCs w:val="32"/>
        </w:rPr>
        <w:t>The Theory and Practice of Revenue Management.</w:t>
      </w:r>
      <w:r w:rsidRPr="001E0E75">
        <w:rPr>
          <w:rFonts w:ascii="Arial" w:hAnsi="Arial" w:cs="Arial"/>
          <w:sz w:val="32"/>
          <w:szCs w:val="32"/>
        </w:rPr>
        <w:t xml:space="preserve"> New York: Springer.</w:t>
      </w:r>
    </w:p>
    <w:p w14:paraId="10C69D12"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Tonidandel, S., King, E.</w:t>
      </w:r>
      <w:r w:rsidRPr="001E0E75">
        <w:rPr>
          <w:rFonts w:ascii="Arial" w:hAnsi="Arial" w:cs="Arial"/>
          <w:sz w:val="32"/>
          <w:szCs w:val="32"/>
        </w:rPr>
        <w:t xml:space="preserve"> and </w:t>
      </w:r>
      <w:r w:rsidRPr="001E0E75">
        <w:rPr>
          <w:rFonts w:ascii="Arial" w:hAnsi="Arial" w:cs="Arial"/>
          <w:b/>
          <w:bCs/>
          <w:sz w:val="32"/>
          <w:szCs w:val="32"/>
        </w:rPr>
        <w:t>Cortina, J.</w:t>
      </w:r>
      <w:r w:rsidRPr="001E0E75">
        <w:rPr>
          <w:rFonts w:ascii="Arial" w:hAnsi="Arial" w:cs="Arial"/>
          <w:sz w:val="32"/>
          <w:szCs w:val="32"/>
        </w:rPr>
        <w:t xml:space="preserve"> (2018) ‘Big data in management and hospitality research’, </w:t>
      </w:r>
      <w:r w:rsidRPr="001E0E75">
        <w:rPr>
          <w:rFonts w:ascii="Arial" w:hAnsi="Arial" w:cs="Arial"/>
          <w:i/>
          <w:iCs/>
          <w:sz w:val="32"/>
          <w:szCs w:val="32"/>
        </w:rPr>
        <w:t>Journal of Management</w:t>
      </w:r>
      <w:r w:rsidRPr="001E0E75">
        <w:rPr>
          <w:rFonts w:ascii="Arial" w:hAnsi="Arial" w:cs="Arial"/>
          <w:sz w:val="32"/>
          <w:szCs w:val="32"/>
        </w:rPr>
        <w:t>, 44(7), pp. 2577–2603.</w:t>
      </w:r>
    </w:p>
    <w:p w14:paraId="2E84631A"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Tussyadiah, I.</w:t>
      </w:r>
      <w:r w:rsidRPr="001E0E75">
        <w:rPr>
          <w:rFonts w:ascii="Arial" w:hAnsi="Arial" w:cs="Arial"/>
          <w:sz w:val="32"/>
          <w:szCs w:val="32"/>
        </w:rPr>
        <w:t xml:space="preserve"> (2020) ‘A review of technology acceptance in tourism and hospitality’, </w:t>
      </w:r>
      <w:r w:rsidRPr="001E0E75">
        <w:rPr>
          <w:rFonts w:ascii="Arial" w:hAnsi="Arial" w:cs="Arial"/>
          <w:i/>
          <w:iCs/>
          <w:sz w:val="32"/>
          <w:szCs w:val="32"/>
        </w:rPr>
        <w:t>Annals of Tourism Research</w:t>
      </w:r>
      <w:r w:rsidRPr="001E0E75">
        <w:rPr>
          <w:rFonts w:ascii="Arial" w:hAnsi="Arial" w:cs="Arial"/>
          <w:sz w:val="32"/>
          <w:szCs w:val="32"/>
        </w:rPr>
        <w:t>, 83, 102988.</w:t>
      </w:r>
    </w:p>
    <w:p w14:paraId="27DAB2B1"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UKHospitality</w:t>
      </w:r>
      <w:r w:rsidRPr="001E0E75">
        <w:rPr>
          <w:rFonts w:ascii="Arial" w:hAnsi="Arial" w:cs="Arial"/>
          <w:sz w:val="32"/>
          <w:szCs w:val="32"/>
        </w:rPr>
        <w:t xml:space="preserve"> (2023) </w:t>
      </w:r>
      <w:r w:rsidRPr="001E0E75">
        <w:rPr>
          <w:rFonts w:ascii="Arial" w:hAnsi="Arial" w:cs="Arial"/>
          <w:i/>
          <w:iCs/>
          <w:sz w:val="32"/>
          <w:szCs w:val="32"/>
        </w:rPr>
        <w:t>Workforce Strategy Report.</w:t>
      </w:r>
      <w:r w:rsidRPr="001E0E75">
        <w:rPr>
          <w:rFonts w:ascii="Arial" w:hAnsi="Arial" w:cs="Arial"/>
          <w:sz w:val="32"/>
          <w:szCs w:val="32"/>
        </w:rPr>
        <w:t xml:space="preserve"> London: UKHospitality.</w:t>
      </w:r>
    </w:p>
    <w:p w14:paraId="0C05E667"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UNWTO</w:t>
      </w:r>
      <w:r w:rsidRPr="001E0E75">
        <w:rPr>
          <w:rFonts w:ascii="Arial" w:hAnsi="Arial" w:cs="Arial"/>
          <w:sz w:val="32"/>
          <w:szCs w:val="32"/>
        </w:rPr>
        <w:t xml:space="preserve"> (2022) </w:t>
      </w:r>
      <w:r w:rsidRPr="001E0E75">
        <w:rPr>
          <w:rFonts w:ascii="Arial" w:hAnsi="Arial" w:cs="Arial"/>
          <w:i/>
          <w:iCs/>
          <w:sz w:val="32"/>
          <w:szCs w:val="32"/>
        </w:rPr>
        <w:t>Tourism Data Dashboard – UK Market Recovery.</w:t>
      </w:r>
      <w:r w:rsidRPr="001E0E75">
        <w:rPr>
          <w:rFonts w:ascii="Arial" w:hAnsi="Arial" w:cs="Arial"/>
          <w:sz w:val="32"/>
          <w:szCs w:val="32"/>
        </w:rPr>
        <w:t xml:space="preserve"> Madrid: United Nations World Tourism Organization.</w:t>
      </w:r>
    </w:p>
    <w:p w14:paraId="5964B670"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lastRenderedPageBreak/>
        <w:t>Vargo, S.</w:t>
      </w:r>
      <w:r w:rsidRPr="001E0E75">
        <w:rPr>
          <w:rFonts w:ascii="Arial" w:hAnsi="Arial" w:cs="Arial"/>
          <w:sz w:val="32"/>
          <w:szCs w:val="32"/>
        </w:rPr>
        <w:t xml:space="preserve"> and </w:t>
      </w:r>
      <w:r w:rsidRPr="001E0E75">
        <w:rPr>
          <w:rFonts w:ascii="Arial" w:hAnsi="Arial" w:cs="Arial"/>
          <w:b/>
          <w:bCs/>
          <w:sz w:val="32"/>
          <w:szCs w:val="32"/>
        </w:rPr>
        <w:t>Lusch, R.</w:t>
      </w:r>
      <w:r w:rsidRPr="001E0E75">
        <w:rPr>
          <w:rFonts w:ascii="Arial" w:hAnsi="Arial" w:cs="Arial"/>
          <w:sz w:val="32"/>
          <w:szCs w:val="32"/>
        </w:rPr>
        <w:t xml:space="preserve"> (2008) ‘Service-dominant logic: Continuing the evolution’, </w:t>
      </w:r>
      <w:r w:rsidRPr="001E0E75">
        <w:rPr>
          <w:rFonts w:ascii="Arial" w:hAnsi="Arial" w:cs="Arial"/>
          <w:i/>
          <w:iCs/>
          <w:sz w:val="32"/>
          <w:szCs w:val="32"/>
        </w:rPr>
        <w:t>Journal of the Academy of Marketing Science</w:t>
      </w:r>
      <w:r w:rsidRPr="001E0E75">
        <w:rPr>
          <w:rFonts w:ascii="Arial" w:hAnsi="Arial" w:cs="Arial"/>
          <w:sz w:val="32"/>
          <w:szCs w:val="32"/>
        </w:rPr>
        <w:t>, 36(1), pp. 1–10.</w:t>
      </w:r>
    </w:p>
    <w:p w14:paraId="07B7C94C"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VisitBritain</w:t>
      </w:r>
      <w:r w:rsidRPr="001E0E75">
        <w:rPr>
          <w:rFonts w:ascii="Arial" w:hAnsi="Arial" w:cs="Arial"/>
          <w:sz w:val="32"/>
          <w:szCs w:val="32"/>
        </w:rPr>
        <w:t xml:space="preserve"> (2023) </w:t>
      </w:r>
      <w:r w:rsidRPr="001E0E75">
        <w:rPr>
          <w:rFonts w:ascii="Arial" w:hAnsi="Arial" w:cs="Arial"/>
          <w:i/>
          <w:iCs/>
          <w:sz w:val="32"/>
          <w:szCs w:val="32"/>
        </w:rPr>
        <w:t>Business Events Research: UK Regional Insights.</w:t>
      </w:r>
      <w:r w:rsidRPr="001E0E75">
        <w:rPr>
          <w:rFonts w:ascii="Arial" w:hAnsi="Arial" w:cs="Arial"/>
          <w:sz w:val="32"/>
          <w:szCs w:val="32"/>
        </w:rPr>
        <w:t xml:space="preserve"> London: VisitBritain.</w:t>
      </w:r>
    </w:p>
    <w:p w14:paraId="30B21D96"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Vives, A., Jacob, M.</w:t>
      </w:r>
      <w:r w:rsidRPr="001E0E75">
        <w:rPr>
          <w:rFonts w:ascii="Arial" w:hAnsi="Arial" w:cs="Arial"/>
          <w:sz w:val="32"/>
          <w:szCs w:val="32"/>
        </w:rPr>
        <w:t xml:space="preserve"> and </w:t>
      </w:r>
      <w:r w:rsidRPr="001E0E75">
        <w:rPr>
          <w:rFonts w:ascii="Arial" w:hAnsi="Arial" w:cs="Arial"/>
          <w:b/>
          <w:bCs/>
          <w:sz w:val="32"/>
          <w:szCs w:val="32"/>
        </w:rPr>
        <w:t>Payeras, M.</w:t>
      </w:r>
      <w:r w:rsidRPr="001E0E75">
        <w:rPr>
          <w:rFonts w:ascii="Arial" w:hAnsi="Arial" w:cs="Arial"/>
          <w:sz w:val="32"/>
          <w:szCs w:val="32"/>
        </w:rPr>
        <w:t xml:space="preserve"> (2018) ‘Revenue management and pricing strategies in the hotel sector’, </w:t>
      </w:r>
      <w:r w:rsidRPr="001E0E75">
        <w:rPr>
          <w:rFonts w:ascii="Arial" w:hAnsi="Arial" w:cs="Arial"/>
          <w:i/>
          <w:iCs/>
          <w:sz w:val="32"/>
          <w:szCs w:val="32"/>
        </w:rPr>
        <w:t>Tourism Economics</w:t>
      </w:r>
      <w:r w:rsidRPr="001E0E75">
        <w:rPr>
          <w:rFonts w:ascii="Arial" w:hAnsi="Arial" w:cs="Arial"/>
          <w:sz w:val="32"/>
          <w:szCs w:val="32"/>
        </w:rPr>
        <w:t>, 24(7), pp. 853–870.</w:t>
      </w:r>
    </w:p>
    <w:p w14:paraId="3C25C714"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Whitfield, J.</w:t>
      </w:r>
      <w:r w:rsidRPr="001E0E75">
        <w:rPr>
          <w:rFonts w:ascii="Arial" w:hAnsi="Arial" w:cs="Arial"/>
          <w:sz w:val="32"/>
          <w:szCs w:val="32"/>
        </w:rPr>
        <w:t xml:space="preserve"> and </w:t>
      </w:r>
      <w:r w:rsidRPr="001E0E75">
        <w:rPr>
          <w:rFonts w:ascii="Arial" w:hAnsi="Arial" w:cs="Arial"/>
          <w:b/>
          <w:bCs/>
          <w:sz w:val="32"/>
          <w:szCs w:val="32"/>
        </w:rPr>
        <w:t>Webster, C.</w:t>
      </w:r>
      <w:r w:rsidRPr="001E0E75">
        <w:rPr>
          <w:rFonts w:ascii="Arial" w:hAnsi="Arial" w:cs="Arial"/>
          <w:sz w:val="32"/>
          <w:szCs w:val="32"/>
        </w:rPr>
        <w:t xml:space="preserve"> (2020) ‘Regional conference performance and destination competitiveness’, </w:t>
      </w:r>
      <w:r w:rsidRPr="001E0E75">
        <w:rPr>
          <w:rFonts w:ascii="Arial" w:hAnsi="Arial" w:cs="Arial"/>
          <w:i/>
          <w:iCs/>
          <w:sz w:val="32"/>
          <w:szCs w:val="32"/>
        </w:rPr>
        <w:t>Event Management</w:t>
      </w:r>
      <w:r w:rsidRPr="001E0E75">
        <w:rPr>
          <w:rFonts w:ascii="Arial" w:hAnsi="Arial" w:cs="Arial"/>
          <w:sz w:val="32"/>
          <w:szCs w:val="32"/>
        </w:rPr>
        <w:t>, 24(3), pp. 365–379.</w:t>
      </w:r>
    </w:p>
    <w:p w14:paraId="10531DF7"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World Travel &amp; Tourism Council (WTTC)</w:t>
      </w:r>
      <w:r w:rsidRPr="001E0E75">
        <w:rPr>
          <w:rFonts w:ascii="Arial" w:hAnsi="Arial" w:cs="Arial"/>
          <w:sz w:val="32"/>
          <w:szCs w:val="32"/>
        </w:rPr>
        <w:t xml:space="preserve"> (2023) </w:t>
      </w:r>
      <w:r w:rsidRPr="001E0E75">
        <w:rPr>
          <w:rFonts w:ascii="Arial" w:hAnsi="Arial" w:cs="Arial"/>
          <w:i/>
          <w:iCs/>
          <w:sz w:val="32"/>
          <w:szCs w:val="32"/>
        </w:rPr>
        <w:t>Travel &amp; Tourism Economic Impact 2023 – UK Report.</w:t>
      </w:r>
      <w:r w:rsidRPr="001E0E75">
        <w:rPr>
          <w:rFonts w:ascii="Arial" w:hAnsi="Arial" w:cs="Arial"/>
          <w:sz w:val="32"/>
          <w:szCs w:val="32"/>
        </w:rPr>
        <w:t xml:space="preserve"> London: WTTC.</w:t>
      </w:r>
    </w:p>
    <w:p w14:paraId="5FB13C15"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Yang, Y., Pan, B.</w:t>
      </w:r>
      <w:r w:rsidRPr="001E0E75">
        <w:rPr>
          <w:rFonts w:ascii="Arial" w:hAnsi="Arial" w:cs="Arial"/>
          <w:sz w:val="32"/>
          <w:szCs w:val="32"/>
        </w:rPr>
        <w:t xml:space="preserve"> and </w:t>
      </w:r>
      <w:r w:rsidRPr="001E0E75">
        <w:rPr>
          <w:rFonts w:ascii="Arial" w:hAnsi="Arial" w:cs="Arial"/>
          <w:b/>
          <w:bCs/>
          <w:sz w:val="32"/>
          <w:szCs w:val="32"/>
        </w:rPr>
        <w:t>Song, H.</w:t>
      </w:r>
      <w:r w:rsidRPr="001E0E75">
        <w:rPr>
          <w:rFonts w:ascii="Arial" w:hAnsi="Arial" w:cs="Arial"/>
          <w:sz w:val="32"/>
          <w:szCs w:val="32"/>
        </w:rPr>
        <w:t xml:space="preserve"> (2022) ‘Location determinants and hotel competitiveness: A contemporary review’, </w:t>
      </w:r>
      <w:r w:rsidRPr="001E0E75">
        <w:rPr>
          <w:rFonts w:ascii="Arial" w:hAnsi="Arial" w:cs="Arial"/>
          <w:i/>
          <w:iCs/>
          <w:sz w:val="32"/>
          <w:szCs w:val="32"/>
        </w:rPr>
        <w:t>International Journal of Hospitality Management</w:t>
      </w:r>
      <w:r w:rsidRPr="001E0E75">
        <w:rPr>
          <w:rFonts w:ascii="Arial" w:hAnsi="Arial" w:cs="Arial"/>
          <w:sz w:val="32"/>
          <w:szCs w:val="32"/>
        </w:rPr>
        <w:t>, 102, 103166.</w:t>
      </w:r>
    </w:p>
    <w:p w14:paraId="2D5AEA0A" w14:textId="77777777" w:rsidR="00D3277C" w:rsidRPr="001E0E75" w:rsidRDefault="00D3277C" w:rsidP="001E0E75">
      <w:pPr>
        <w:spacing w:line="360" w:lineRule="auto"/>
        <w:ind w:left="720"/>
        <w:rPr>
          <w:rFonts w:ascii="Arial" w:hAnsi="Arial" w:cs="Arial"/>
          <w:sz w:val="32"/>
          <w:szCs w:val="32"/>
        </w:rPr>
      </w:pPr>
      <w:r w:rsidRPr="001E0E75">
        <w:rPr>
          <w:rFonts w:ascii="Arial" w:hAnsi="Arial" w:cs="Arial"/>
          <w:b/>
          <w:bCs/>
          <w:sz w:val="32"/>
          <w:szCs w:val="32"/>
        </w:rPr>
        <w:t>Yin, R.</w:t>
      </w:r>
      <w:r w:rsidRPr="001E0E75">
        <w:rPr>
          <w:rFonts w:ascii="Arial" w:hAnsi="Arial" w:cs="Arial"/>
          <w:sz w:val="32"/>
          <w:szCs w:val="32"/>
        </w:rPr>
        <w:t xml:space="preserve"> (2018) </w:t>
      </w:r>
      <w:r w:rsidRPr="001E0E75">
        <w:rPr>
          <w:rFonts w:ascii="Arial" w:hAnsi="Arial" w:cs="Arial"/>
          <w:i/>
          <w:iCs/>
          <w:sz w:val="32"/>
          <w:szCs w:val="32"/>
        </w:rPr>
        <w:t>Case Study Research and Applications: Design and Methods.</w:t>
      </w:r>
      <w:r w:rsidRPr="001E0E75">
        <w:rPr>
          <w:rFonts w:ascii="Arial" w:hAnsi="Arial" w:cs="Arial"/>
          <w:sz w:val="32"/>
          <w:szCs w:val="32"/>
        </w:rPr>
        <w:t xml:space="preserve"> 6th edn. Thousand Oaks, CA: Sage.</w:t>
      </w:r>
    </w:p>
    <w:p w14:paraId="4B22B0CF" w14:textId="673E9517" w:rsidR="008E66F0" w:rsidRPr="001E0E75" w:rsidRDefault="00D3277C" w:rsidP="000F4B47">
      <w:pPr>
        <w:spacing w:line="360" w:lineRule="auto"/>
        <w:ind w:left="720"/>
        <w:rPr>
          <w:rFonts w:ascii="Arial" w:hAnsi="Arial" w:cs="Arial"/>
          <w:sz w:val="32"/>
          <w:szCs w:val="32"/>
        </w:rPr>
      </w:pPr>
      <w:r w:rsidRPr="001E0E75">
        <w:rPr>
          <w:rFonts w:ascii="Arial" w:hAnsi="Arial" w:cs="Arial"/>
          <w:b/>
          <w:bCs/>
          <w:sz w:val="32"/>
          <w:szCs w:val="32"/>
        </w:rPr>
        <w:t>Zeng, Z.</w:t>
      </w:r>
      <w:r w:rsidRPr="001E0E75">
        <w:rPr>
          <w:rFonts w:ascii="Arial" w:hAnsi="Arial" w:cs="Arial"/>
          <w:sz w:val="32"/>
          <w:szCs w:val="32"/>
        </w:rPr>
        <w:t xml:space="preserve"> and </w:t>
      </w:r>
      <w:r w:rsidRPr="001E0E75">
        <w:rPr>
          <w:rFonts w:ascii="Arial" w:hAnsi="Arial" w:cs="Arial"/>
          <w:b/>
          <w:bCs/>
          <w:sz w:val="32"/>
          <w:szCs w:val="32"/>
        </w:rPr>
        <w:t>Gerritsen, R.</w:t>
      </w:r>
      <w:r w:rsidRPr="001E0E75">
        <w:rPr>
          <w:rFonts w:ascii="Arial" w:hAnsi="Arial" w:cs="Arial"/>
          <w:sz w:val="32"/>
          <w:szCs w:val="32"/>
        </w:rPr>
        <w:t xml:space="preserve"> (2014) ‘What do we know about social media in tourism?’, </w:t>
      </w:r>
      <w:r w:rsidRPr="001E0E75">
        <w:rPr>
          <w:rFonts w:ascii="Arial" w:hAnsi="Arial" w:cs="Arial"/>
          <w:i/>
          <w:iCs/>
          <w:sz w:val="32"/>
          <w:szCs w:val="32"/>
        </w:rPr>
        <w:t>Tourism Management Perspectives</w:t>
      </w:r>
      <w:r w:rsidRPr="001E0E75">
        <w:rPr>
          <w:rFonts w:ascii="Arial" w:hAnsi="Arial" w:cs="Arial"/>
          <w:sz w:val="32"/>
          <w:szCs w:val="32"/>
        </w:rPr>
        <w:t>, 10, pp. 27–36.*</w:t>
      </w:r>
    </w:p>
    <w:p w14:paraId="535C7090" w14:textId="77777777" w:rsidR="008E66F0" w:rsidRPr="001E0E75" w:rsidRDefault="008E66F0" w:rsidP="001E0E75">
      <w:pPr>
        <w:spacing w:line="360" w:lineRule="auto"/>
        <w:rPr>
          <w:rFonts w:ascii="Arial" w:hAnsi="Arial" w:cs="Arial"/>
          <w:b/>
          <w:bCs/>
          <w:sz w:val="32"/>
          <w:szCs w:val="32"/>
        </w:rPr>
      </w:pPr>
      <w:r w:rsidRPr="001E0E75">
        <w:rPr>
          <w:rFonts w:ascii="Arial" w:hAnsi="Arial" w:cs="Arial"/>
          <w:b/>
          <w:bCs/>
          <w:sz w:val="32"/>
          <w:szCs w:val="32"/>
        </w:rPr>
        <w:lastRenderedPageBreak/>
        <w:t>Appendix A – Interview Questions</w:t>
      </w:r>
    </w:p>
    <w:p w14:paraId="1C571B02" w14:textId="77777777" w:rsidR="008E66F0" w:rsidRPr="001E0E75" w:rsidRDefault="008E66F0" w:rsidP="001E0E75">
      <w:pPr>
        <w:spacing w:line="360" w:lineRule="auto"/>
        <w:rPr>
          <w:rFonts w:ascii="Arial" w:hAnsi="Arial" w:cs="Arial"/>
          <w:sz w:val="32"/>
          <w:szCs w:val="32"/>
        </w:rPr>
      </w:pPr>
      <w:r w:rsidRPr="001E0E75">
        <w:rPr>
          <w:rFonts w:ascii="Arial" w:hAnsi="Arial" w:cs="Arial"/>
          <w:sz w:val="32"/>
          <w:szCs w:val="32"/>
        </w:rPr>
        <w:t xml:space="preserve">The following semi-structured interview questions were used to explore how hotel location influences sales strategies and Meetings &amp; Events (M&amp;E) performance at </w:t>
      </w:r>
      <w:r w:rsidRPr="001E0E75">
        <w:rPr>
          <w:rFonts w:ascii="Arial" w:hAnsi="Arial" w:cs="Arial"/>
          <w:i/>
          <w:iCs/>
          <w:sz w:val="32"/>
          <w:szCs w:val="32"/>
        </w:rPr>
        <w:t>DoubleTree by Hilton Dartford Bridge</w:t>
      </w:r>
      <w:r w:rsidRPr="001E0E75">
        <w:rPr>
          <w:rFonts w:ascii="Arial" w:hAnsi="Arial" w:cs="Arial"/>
          <w:sz w:val="32"/>
          <w:szCs w:val="32"/>
        </w:rPr>
        <w:t>.</w:t>
      </w:r>
    </w:p>
    <w:p w14:paraId="54B3D545" w14:textId="77777777" w:rsidR="008E66F0" w:rsidRPr="001E0E75" w:rsidRDefault="008E66F0" w:rsidP="001E0E75">
      <w:pPr>
        <w:spacing w:line="360" w:lineRule="auto"/>
        <w:rPr>
          <w:rFonts w:ascii="Arial" w:hAnsi="Arial" w:cs="Arial"/>
          <w:sz w:val="32"/>
          <w:szCs w:val="32"/>
        </w:rPr>
      </w:pPr>
      <w:r w:rsidRPr="001E0E75">
        <w:rPr>
          <w:rFonts w:ascii="Arial" w:hAnsi="Arial" w:cs="Arial"/>
          <w:b/>
          <w:bCs/>
          <w:sz w:val="32"/>
          <w:szCs w:val="32"/>
        </w:rPr>
        <w:t>Section 1: Background and Role</w:t>
      </w:r>
    </w:p>
    <w:p w14:paraId="1209A517" w14:textId="77777777" w:rsidR="008E66F0" w:rsidRPr="001E0E75" w:rsidRDefault="008E66F0" w:rsidP="001E0E75">
      <w:pPr>
        <w:numPr>
          <w:ilvl w:val="0"/>
          <w:numId w:val="22"/>
        </w:numPr>
        <w:spacing w:line="360" w:lineRule="auto"/>
        <w:rPr>
          <w:rFonts w:ascii="Arial" w:hAnsi="Arial" w:cs="Arial"/>
          <w:sz w:val="32"/>
          <w:szCs w:val="32"/>
        </w:rPr>
      </w:pPr>
      <w:r w:rsidRPr="001E0E75">
        <w:rPr>
          <w:rFonts w:ascii="Arial" w:hAnsi="Arial" w:cs="Arial"/>
          <w:sz w:val="32"/>
          <w:szCs w:val="32"/>
        </w:rPr>
        <w:t>Could you please describe your role and responsibilities within the hotel?</w:t>
      </w:r>
    </w:p>
    <w:p w14:paraId="170F21D9" w14:textId="77777777" w:rsidR="008E66F0" w:rsidRPr="001E0E75" w:rsidRDefault="008E66F0" w:rsidP="001E0E75">
      <w:pPr>
        <w:numPr>
          <w:ilvl w:val="0"/>
          <w:numId w:val="22"/>
        </w:numPr>
        <w:spacing w:line="360" w:lineRule="auto"/>
        <w:rPr>
          <w:rFonts w:ascii="Arial" w:hAnsi="Arial" w:cs="Arial"/>
          <w:sz w:val="32"/>
          <w:szCs w:val="32"/>
        </w:rPr>
      </w:pPr>
      <w:r w:rsidRPr="001E0E75">
        <w:rPr>
          <w:rFonts w:ascii="Arial" w:hAnsi="Arial" w:cs="Arial"/>
          <w:sz w:val="32"/>
          <w:szCs w:val="32"/>
        </w:rPr>
        <w:t>How long have you worked at DoubleTree by Hilton Dartford Bridge?</w:t>
      </w:r>
    </w:p>
    <w:p w14:paraId="3A92480A" w14:textId="77777777" w:rsidR="008E66F0" w:rsidRPr="001E0E75" w:rsidRDefault="008E66F0" w:rsidP="001E0E75">
      <w:pPr>
        <w:numPr>
          <w:ilvl w:val="0"/>
          <w:numId w:val="22"/>
        </w:numPr>
        <w:spacing w:line="360" w:lineRule="auto"/>
        <w:rPr>
          <w:rFonts w:ascii="Arial" w:hAnsi="Arial" w:cs="Arial"/>
          <w:sz w:val="32"/>
          <w:szCs w:val="32"/>
        </w:rPr>
      </w:pPr>
      <w:r w:rsidRPr="001E0E75">
        <w:rPr>
          <w:rFonts w:ascii="Arial" w:hAnsi="Arial" w:cs="Arial"/>
          <w:sz w:val="32"/>
          <w:szCs w:val="32"/>
        </w:rPr>
        <w:t>How is the Meetings &amp; Events department structured within the property?</w:t>
      </w:r>
    </w:p>
    <w:p w14:paraId="18E2890B" w14:textId="77777777" w:rsidR="008E66F0" w:rsidRPr="001E0E75" w:rsidRDefault="008E66F0" w:rsidP="001E0E75">
      <w:pPr>
        <w:spacing w:line="360" w:lineRule="auto"/>
        <w:rPr>
          <w:rFonts w:ascii="Arial" w:hAnsi="Arial" w:cs="Arial"/>
          <w:sz w:val="32"/>
          <w:szCs w:val="32"/>
        </w:rPr>
      </w:pPr>
      <w:r w:rsidRPr="001E0E75">
        <w:rPr>
          <w:rFonts w:ascii="Arial" w:hAnsi="Arial" w:cs="Arial"/>
          <w:b/>
          <w:bCs/>
          <w:sz w:val="32"/>
          <w:szCs w:val="32"/>
        </w:rPr>
        <w:t>Section 2: Location and Market Influence</w:t>
      </w:r>
      <w:r w:rsidRPr="001E0E75">
        <w:rPr>
          <w:rFonts w:ascii="Arial" w:hAnsi="Arial" w:cs="Arial"/>
          <w:sz w:val="32"/>
          <w:szCs w:val="32"/>
        </w:rPr>
        <w:br/>
        <w:t>4. How would you describe the hotel’s location in terms of accessibility and attractiveness to clients?</w:t>
      </w:r>
      <w:r w:rsidRPr="001E0E75">
        <w:rPr>
          <w:rFonts w:ascii="Arial" w:hAnsi="Arial" w:cs="Arial"/>
          <w:sz w:val="32"/>
          <w:szCs w:val="32"/>
        </w:rPr>
        <w:br/>
        <w:t>5. In your experience, does the location influence the type of events and clients the hotel attracts?</w:t>
      </w:r>
      <w:r w:rsidRPr="001E0E75">
        <w:rPr>
          <w:rFonts w:ascii="Arial" w:hAnsi="Arial" w:cs="Arial"/>
          <w:sz w:val="32"/>
          <w:szCs w:val="32"/>
        </w:rPr>
        <w:br/>
        <w:t>6. What are the main advantages and disadvantages of being located near, but not in, London?</w:t>
      </w:r>
    </w:p>
    <w:p w14:paraId="45B02391" w14:textId="77777777" w:rsidR="008E66F0" w:rsidRPr="001E0E75" w:rsidRDefault="008E66F0" w:rsidP="001E0E75">
      <w:pPr>
        <w:spacing w:line="360" w:lineRule="auto"/>
        <w:rPr>
          <w:rFonts w:ascii="Arial" w:hAnsi="Arial" w:cs="Arial"/>
          <w:sz w:val="32"/>
          <w:szCs w:val="32"/>
        </w:rPr>
      </w:pPr>
      <w:r w:rsidRPr="001E0E75">
        <w:rPr>
          <w:rFonts w:ascii="Arial" w:hAnsi="Arial" w:cs="Arial"/>
          <w:b/>
          <w:bCs/>
          <w:sz w:val="32"/>
          <w:szCs w:val="32"/>
        </w:rPr>
        <w:t>Section 3: Sales Strategies and Performance</w:t>
      </w:r>
      <w:r w:rsidRPr="001E0E75">
        <w:rPr>
          <w:rFonts w:ascii="Arial" w:hAnsi="Arial" w:cs="Arial"/>
          <w:sz w:val="32"/>
          <w:szCs w:val="32"/>
        </w:rPr>
        <w:br/>
        <w:t>7. How does your team position the hotel in the regional market to compete with central London venues?</w:t>
      </w:r>
      <w:r w:rsidRPr="001E0E75">
        <w:rPr>
          <w:rFonts w:ascii="Arial" w:hAnsi="Arial" w:cs="Arial"/>
          <w:sz w:val="32"/>
          <w:szCs w:val="32"/>
        </w:rPr>
        <w:br/>
        <w:t xml:space="preserve">8. What marketing or sales strategies have proven most </w:t>
      </w:r>
      <w:r w:rsidRPr="001E0E75">
        <w:rPr>
          <w:rFonts w:ascii="Arial" w:hAnsi="Arial" w:cs="Arial"/>
          <w:sz w:val="32"/>
          <w:szCs w:val="32"/>
        </w:rPr>
        <w:lastRenderedPageBreak/>
        <w:t>effective in attracting new M&amp;E clients?</w:t>
      </w:r>
      <w:r w:rsidRPr="001E0E75">
        <w:rPr>
          <w:rFonts w:ascii="Arial" w:hAnsi="Arial" w:cs="Arial"/>
          <w:sz w:val="32"/>
          <w:szCs w:val="32"/>
        </w:rPr>
        <w:br/>
        <w:t>9. How has the approach to pricing and packaging changed since the pandemic?</w:t>
      </w:r>
    </w:p>
    <w:p w14:paraId="115150D6" w14:textId="77777777" w:rsidR="008E66F0" w:rsidRPr="001E0E75" w:rsidRDefault="008E66F0" w:rsidP="001E0E75">
      <w:pPr>
        <w:spacing w:line="360" w:lineRule="auto"/>
        <w:rPr>
          <w:rFonts w:ascii="Arial" w:hAnsi="Arial" w:cs="Arial"/>
          <w:sz w:val="32"/>
          <w:szCs w:val="32"/>
        </w:rPr>
      </w:pPr>
      <w:r w:rsidRPr="001E0E75">
        <w:rPr>
          <w:rFonts w:ascii="Arial" w:hAnsi="Arial" w:cs="Arial"/>
          <w:b/>
          <w:bCs/>
          <w:sz w:val="32"/>
          <w:szCs w:val="32"/>
        </w:rPr>
        <w:t>Section 4: Technology and Innovation</w:t>
      </w:r>
      <w:r w:rsidRPr="001E0E75">
        <w:rPr>
          <w:rFonts w:ascii="Arial" w:hAnsi="Arial" w:cs="Arial"/>
          <w:sz w:val="32"/>
          <w:szCs w:val="32"/>
        </w:rPr>
        <w:br/>
        <w:t>10. What role does technology (e.g., hybrid meetings, CRM systems) play in your sales and event delivery?</w:t>
      </w:r>
      <w:r w:rsidRPr="001E0E75">
        <w:rPr>
          <w:rFonts w:ascii="Arial" w:hAnsi="Arial" w:cs="Arial"/>
          <w:sz w:val="32"/>
          <w:szCs w:val="32"/>
        </w:rPr>
        <w:br/>
        <w:t>11. How has Hilton’s digital infrastructure supported your department’s performance?</w:t>
      </w:r>
    </w:p>
    <w:p w14:paraId="7796EF71" w14:textId="77777777" w:rsidR="008E66F0" w:rsidRPr="001E0E75" w:rsidRDefault="008E66F0" w:rsidP="001E0E75">
      <w:pPr>
        <w:spacing w:line="360" w:lineRule="auto"/>
        <w:rPr>
          <w:rFonts w:ascii="Arial" w:hAnsi="Arial" w:cs="Arial"/>
          <w:sz w:val="32"/>
          <w:szCs w:val="32"/>
        </w:rPr>
      </w:pPr>
      <w:r w:rsidRPr="001E0E75">
        <w:rPr>
          <w:rFonts w:ascii="Arial" w:hAnsi="Arial" w:cs="Arial"/>
          <w:b/>
          <w:bCs/>
          <w:sz w:val="32"/>
          <w:szCs w:val="32"/>
        </w:rPr>
        <w:t>Section 5: Relationship Management and Improvement</w:t>
      </w:r>
      <w:r w:rsidRPr="001E0E75">
        <w:rPr>
          <w:rFonts w:ascii="Arial" w:hAnsi="Arial" w:cs="Arial"/>
          <w:sz w:val="32"/>
          <w:szCs w:val="32"/>
        </w:rPr>
        <w:br/>
        <w:t>12. How important are repeat clients to your overall M&amp;E business?</w:t>
      </w:r>
      <w:r w:rsidRPr="001E0E75">
        <w:rPr>
          <w:rFonts w:ascii="Arial" w:hAnsi="Arial" w:cs="Arial"/>
          <w:sz w:val="32"/>
          <w:szCs w:val="32"/>
        </w:rPr>
        <w:br/>
        <w:t>13. What steps do you take to maintain client relationships and encourage loyalty?</w:t>
      </w:r>
      <w:r w:rsidRPr="001E0E75">
        <w:rPr>
          <w:rFonts w:ascii="Arial" w:hAnsi="Arial" w:cs="Arial"/>
          <w:sz w:val="32"/>
          <w:szCs w:val="32"/>
        </w:rPr>
        <w:br/>
        <w:t>14. What improvements would you recommend to enhance sales performance or competitiveness?</w:t>
      </w:r>
    </w:p>
    <w:p w14:paraId="746CA9C0" w14:textId="77777777" w:rsidR="008E66F0" w:rsidRPr="001E0E75" w:rsidRDefault="008E66F0" w:rsidP="001E0E75">
      <w:pPr>
        <w:spacing w:line="360" w:lineRule="auto"/>
        <w:rPr>
          <w:rFonts w:ascii="Arial" w:hAnsi="Arial" w:cs="Arial"/>
          <w:sz w:val="32"/>
          <w:szCs w:val="32"/>
        </w:rPr>
      </w:pPr>
      <w:r w:rsidRPr="001E0E75">
        <w:rPr>
          <w:rFonts w:ascii="Arial" w:hAnsi="Arial" w:cs="Arial"/>
          <w:b/>
          <w:bCs/>
          <w:sz w:val="32"/>
          <w:szCs w:val="32"/>
        </w:rPr>
        <w:t>Section 6: Final Reflection</w:t>
      </w:r>
      <w:r w:rsidRPr="001E0E75">
        <w:rPr>
          <w:rFonts w:ascii="Arial" w:hAnsi="Arial" w:cs="Arial"/>
          <w:sz w:val="32"/>
          <w:szCs w:val="32"/>
        </w:rPr>
        <w:br/>
        <w:t>15. How do you think the hotel’s location will continue to influence performance in the future?</w:t>
      </w:r>
    </w:p>
    <w:p w14:paraId="64FCFE8E" w14:textId="77777777" w:rsidR="008E66F0" w:rsidRPr="001E0E75" w:rsidRDefault="008E66F0" w:rsidP="001E0E75">
      <w:pPr>
        <w:spacing w:line="360" w:lineRule="auto"/>
        <w:rPr>
          <w:rFonts w:ascii="Arial" w:hAnsi="Arial" w:cs="Arial"/>
          <w:sz w:val="32"/>
          <w:szCs w:val="32"/>
        </w:rPr>
      </w:pPr>
    </w:p>
    <w:p w14:paraId="119879B4" w14:textId="77777777" w:rsidR="008E66F0" w:rsidRPr="001E0E75" w:rsidRDefault="008E66F0" w:rsidP="001E0E75">
      <w:pPr>
        <w:spacing w:line="360" w:lineRule="auto"/>
        <w:rPr>
          <w:rFonts w:ascii="Arial" w:hAnsi="Arial" w:cs="Arial"/>
          <w:sz w:val="32"/>
          <w:szCs w:val="32"/>
        </w:rPr>
      </w:pPr>
    </w:p>
    <w:p w14:paraId="06B281BC" w14:textId="77777777" w:rsidR="008E66F0" w:rsidRPr="001E0E75" w:rsidRDefault="008E66F0" w:rsidP="001E0E75">
      <w:pPr>
        <w:spacing w:line="360" w:lineRule="auto"/>
        <w:rPr>
          <w:rFonts w:ascii="Arial" w:hAnsi="Arial" w:cs="Arial"/>
          <w:sz w:val="32"/>
          <w:szCs w:val="32"/>
        </w:rPr>
      </w:pPr>
    </w:p>
    <w:p w14:paraId="56AF7083" w14:textId="77777777" w:rsidR="008E66F0" w:rsidRPr="001E0E75" w:rsidRDefault="008E66F0" w:rsidP="001E0E75">
      <w:pPr>
        <w:spacing w:line="360" w:lineRule="auto"/>
        <w:rPr>
          <w:rFonts w:ascii="Arial" w:hAnsi="Arial" w:cs="Arial"/>
          <w:sz w:val="32"/>
          <w:szCs w:val="32"/>
        </w:rPr>
      </w:pPr>
    </w:p>
    <w:p w14:paraId="0064BF57" w14:textId="77777777" w:rsidR="008E66F0" w:rsidRPr="001E0E75" w:rsidRDefault="008E66F0" w:rsidP="001E0E75">
      <w:pPr>
        <w:spacing w:line="360" w:lineRule="auto"/>
        <w:rPr>
          <w:rFonts w:ascii="Arial" w:hAnsi="Arial" w:cs="Arial"/>
          <w:sz w:val="32"/>
          <w:szCs w:val="32"/>
        </w:rPr>
      </w:pPr>
    </w:p>
    <w:p w14:paraId="6C28D86B" w14:textId="04354B4E" w:rsidR="008E66F0" w:rsidRPr="001E0E75" w:rsidRDefault="008E66F0" w:rsidP="001E0E75">
      <w:pPr>
        <w:spacing w:line="360" w:lineRule="auto"/>
        <w:rPr>
          <w:rFonts w:ascii="Arial" w:hAnsi="Arial" w:cs="Arial"/>
          <w:b/>
          <w:bCs/>
          <w:sz w:val="32"/>
          <w:szCs w:val="32"/>
        </w:rPr>
      </w:pPr>
      <w:r w:rsidRPr="001E0E75">
        <w:rPr>
          <w:rFonts w:ascii="Arial" w:hAnsi="Arial" w:cs="Arial"/>
          <w:b/>
          <w:bCs/>
          <w:sz w:val="32"/>
          <w:szCs w:val="32"/>
        </w:rPr>
        <w:lastRenderedPageBreak/>
        <w:t>Appendix B – Placement Evidence and Context</w:t>
      </w:r>
    </w:p>
    <w:p w14:paraId="7603753B" w14:textId="77777777" w:rsidR="008E66F0" w:rsidRPr="001E0E75" w:rsidRDefault="008E66F0" w:rsidP="001E0E75">
      <w:pPr>
        <w:spacing w:line="360" w:lineRule="auto"/>
        <w:rPr>
          <w:rFonts w:ascii="Arial" w:hAnsi="Arial" w:cs="Arial"/>
          <w:sz w:val="32"/>
          <w:szCs w:val="32"/>
        </w:rPr>
      </w:pPr>
      <w:r w:rsidRPr="001E0E75">
        <w:rPr>
          <w:rFonts w:ascii="Arial" w:hAnsi="Arial" w:cs="Arial"/>
          <w:sz w:val="32"/>
          <w:szCs w:val="32"/>
        </w:rPr>
        <w:t>This appendix outlines the placement experience that formed the practical foundation of this research.</w:t>
      </w:r>
    </w:p>
    <w:p w14:paraId="7DB55C14" w14:textId="77777777" w:rsidR="008E66F0" w:rsidRPr="001E0E75" w:rsidRDefault="008E66F0" w:rsidP="001E0E75">
      <w:pPr>
        <w:spacing w:line="360" w:lineRule="auto"/>
        <w:rPr>
          <w:rFonts w:ascii="Arial" w:hAnsi="Arial" w:cs="Arial"/>
          <w:sz w:val="32"/>
          <w:szCs w:val="32"/>
        </w:rPr>
      </w:pPr>
      <w:r w:rsidRPr="001E0E75">
        <w:rPr>
          <w:rFonts w:ascii="Arial" w:hAnsi="Arial" w:cs="Arial"/>
          <w:b/>
          <w:bCs/>
          <w:sz w:val="32"/>
          <w:szCs w:val="32"/>
        </w:rPr>
        <w:t>Host organisation:</w:t>
      </w:r>
      <w:r w:rsidRPr="001E0E75">
        <w:rPr>
          <w:rFonts w:ascii="Arial" w:hAnsi="Arial" w:cs="Arial"/>
          <w:sz w:val="32"/>
          <w:szCs w:val="32"/>
        </w:rPr>
        <w:br/>
      </w:r>
      <w:r w:rsidRPr="001E0E75">
        <w:rPr>
          <w:rFonts w:ascii="Arial" w:hAnsi="Arial" w:cs="Arial"/>
          <w:i/>
          <w:iCs/>
          <w:sz w:val="32"/>
          <w:szCs w:val="32"/>
        </w:rPr>
        <w:t>DoubleTree by Hilton Dartford Bridge</w:t>
      </w:r>
      <w:r w:rsidRPr="001E0E75">
        <w:rPr>
          <w:rFonts w:ascii="Arial" w:hAnsi="Arial" w:cs="Arial"/>
          <w:sz w:val="32"/>
          <w:szCs w:val="32"/>
        </w:rPr>
        <w:br/>
        <w:t>Masthead Close, Crossways Business Park, Dartford, Kent, DA2 6QF, United Kingdom.</w:t>
      </w:r>
    </w:p>
    <w:p w14:paraId="319A7104" w14:textId="75FD46DE" w:rsidR="008E66F0" w:rsidRPr="001E0E75" w:rsidRDefault="008E66F0" w:rsidP="001E0E75">
      <w:pPr>
        <w:spacing w:line="360" w:lineRule="auto"/>
        <w:rPr>
          <w:rFonts w:ascii="Arial" w:hAnsi="Arial" w:cs="Arial"/>
          <w:sz w:val="32"/>
          <w:szCs w:val="32"/>
        </w:rPr>
      </w:pPr>
      <w:r w:rsidRPr="001E0E75">
        <w:rPr>
          <w:rFonts w:ascii="Arial" w:hAnsi="Arial" w:cs="Arial"/>
          <w:b/>
          <w:bCs/>
          <w:sz w:val="32"/>
          <w:szCs w:val="32"/>
        </w:rPr>
        <w:t>Placement duration:</w:t>
      </w:r>
      <w:r w:rsidRPr="001E0E75">
        <w:rPr>
          <w:rFonts w:ascii="Arial" w:hAnsi="Arial" w:cs="Arial"/>
          <w:sz w:val="32"/>
          <w:szCs w:val="32"/>
        </w:rPr>
        <w:br/>
        <w:t>January 2025 – June 2025</w:t>
      </w:r>
    </w:p>
    <w:p w14:paraId="0CEE62C6" w14:textId="77777777" w:rsidR="008E66F0" w:rsidRPr="001E0E75" w:rsidRDefault="008E66F0" w:rsidP="001E0E75">
      <w:pPr>
        <w:spacing w:line="360" w:lineRule="auto"/>
        <w:rPr>
          <w:rFonts w:ascii="Arial" w:hAnsi="Arial" w:cs="Arial"/>
          <w:sz w:val="32"/>
          <w:szCs w:val="32"/>
        </w:rPr>
      </w:pPr>
      <w:r w:rsidRPr="001E0E75">
        <w:rPr>
          <w:rFonts w:ascii="Arial" w:hAnsi="Arial" w:cs="Arial"/>
          <w:b/>
          <w:bCs/>
          <w:sz w:val="32"/>
          <w:szCs w:val="32"/>
        </w:rPr>
        <w:t>Department:</w:t>
      </w:r>
      <w:r w:rsidRPr="001E0E75">
        <w:rPr>
          <w:rFonts w:ascii="Arial" w:hAnsi="Arial" w:cs="Arial"/>
          <w:sz w:val="32"/>
          <w:szCs w:val="32"/>
        </w:rPr>
        <w:br/>
        <w:t>Meetings &amp; Events (M&amp;E)</w:t>
      </w:r>
    </w:p>
    <w:p w14:paraId="305001E0" w14:textId="77777777" w:rsidR="008E66F0" w:rsidRPr="001E0E75" w:rsidRDefault="008E66F0" w:rsidP="001E0E75">
      <w:pPr>
        <w:spacing w:line="360" w:lineRule="auto"/>
        <w:rPr>
          <w:rFonts w:ascii="Arial" w:hAnsi="Arial" w:cs="Arial"/>
          <w:sz w:val="32"/>
          <w:szCs w:val="32"/>
        </w:rPr>
      </w:pPr>
      <w:r w:rsidRPr="001E0E75">
        <w:rPr>
          <w:rFonts w:ascii="Arial" w:hAnsi="Arial" w:cs="Arial"/>
          <w:b/>
          <w:bCs/>
          <w:sz w:val="32"/>
          <w:szCs w:val="32"/>
        </w:rPr>
        <w:t>Key responsibilities:</w:t>
      </w:r>
    </w:p>
    <w:p w14:paraId="0864ADD8" w14:textId="5E18C3E5" w:rsidR="008E66F0" w:rsidRPr="001E0E75" w:rsidRDefault="008E66F0" w:rsidP="001E0E75">
      <w:pPr>
        <w:numPr>
          <w:ilvl w:val="0"/>
          <w:numId w:val="23"/>
        </w:numPr>
        <w:spacing w:line="360" w:lineRule="auto"/>
        <w:rPr>
          <w:rFonts w:ascii="Arial" w:hAnsi="Arial" w:cs="Arial"/>
          <w:sz w:val="32"/>
          <w:szCs w:val="32"/>
        </w:rPr>
      </w:pPr>
      <w:r w:rsidRPr="001E0E75">
        <w:rPr>
          <w:rFonts w:ascii="Arial" w:hAnsi="Arial" w:cs="Arial"/>
          <w:sz w:val="32"/>
          <w:szCs w:val="32"/>
        </w:rPr>
        <w:t>Supporting the Events and Sales team in client coordination, quotation, as well as event logistics.</w:t>
      </w:r>
    </w:p>
    <w:p w14:paraId="196DE52D" w14:textId="6980C49F" w:rsidR="008E66F0" w:rsidRPr="001E0E75" w:rsidRDefault="008E66F0" w:rsidP="001E0E75">
      <w:pPr>
        <w:numPr>
          <w:ilvl w:val="0"/>
          <w:numId w:val="23"/>
        </w:numPr>
        <w:spacing w:line="360" w:lineRule="auto"/>
        <w:rPr>
          <w:rFonts w:ascii="Arial" w:hAnsi="Arial" w:cs="Arial"/>
          <w:sz w:val="32"/>
          <w:szCs w:val="32"/>
        </w:rPr>
      </w:pPr>
      <w:r w:rsidRPr="001E0E75">
        <w:rPr>
          <w:rFonts w:ascii="Arial" w:hAnsi="Arial" w:cs="Arial"/>
          <w:sz w:val="32"/>
          <w:szCs w:val="32"/>
        </w:rPr>
        <w:t>Assisting in post event evaluation and follow-up communications.</w:t>
      </w:r>
    </w:p>
    <w:p w14:paraId="27FDC18C" w14:textId="5F3DC14C" w:rsidR="008E66F0" w:rsidRPr="001E0E75" w:rsidRDefault="008E66F0" w:rsidP="001E0E75">
      <w:pPr>
        <w:numPr>
          <w:ilvl w:val="0"/>
          <w:numId w:val="23"/>
        </w:numPr>
        <w:spacing w:line="360" w:lineRule="auto"/>
        <w:rPr>
          <w:rFonts w:ascii="Arial" w:hAnsi="Arial" w:cs="Arial"/>
          <w:sz w:val="32"/>
          <w:szCs w:val="32"/>
        </w:rPr>
      </w:pPr>
      <w:r w:rsidRPr="001E0E75">
        <w:rPr>
          <w:rFonts w:ascii="Arial" w:hAnsi="Arial" w:cs="Arial"/>
          <w:sz w:val="32"/>
          <w:szCs w:val="32"/>
        </w:rPr>
        <w:t>Observing revenue management meetings with members of staff to understand pricing and forecasting strategies.</w:t>
      </w:r>
    </w:p>
    <w:p w14:paraId="4CF6D54D" w14:textId="77777777" w:rsidR="008E66F0" w:rsidRPr="001E0E75" w:rsidRDefault="008E66F0" w:rsidP="001E0E75">
      <w:pPr>
        <w:numPr>
          <w:ilvl w:val="0"/>
          <w:numId w:val="23"/>
        </w:numPr>
        <w:spacing w:line="360" w:lineRule="auto"/>
        <w:rPr>
          <w:rFonts w:ascii="Arial" w:hAnsi="Arial" w:cs="Arial"/>
          <w:sz w:val="32"/>
          <w:szCs w:val="32"/>
        </w:rPr>
      </w:pPr>
      <w:r w:rsidRPr="001E0E75">
        <w:rPr>
          <w:rFonts w:ascii="Arial" w:hAnsi="Arial" w:cs="Arial"/>
          <w:sz w:val="32"/>
          <w:szCs w:val="32"/>
        </w:rPr>
        <w:t>Managing guest queries and assisting with event setup and AV coordination.</w:t>
      </w:r>
    </w:p>
    <w:p w14:paraId="3461C2B7" w14:textId="4B553C55" w:rsidR="008E66F0" w:rsidRPr="001E0E75" w:rsidRDefault="008E66F0" w:rsidP="001E0E75">
      <w:pPr>
        <w:numPr>
          <w:ilvl w:val="0"/>
          <w:numId w:val="23"/>
        </w:numPr>
        <w:spacing w:line="360" w:lineRule="auto"/>
        <w:rPr>
          <w:rFonts w:ascii="Arial" w:hAnsi="Arial" w:cs="Arial"/>
          <w:sz w:val="32"/>
          <w:szCs w:val="32"/>
        </w:rPr>
      </w:pPr>
      <w:r w:rsidRPr="001E0E75">
        <w:rPr>
          <w:rFonts w:ascii="Arial" w:hAnsi="Arial" w:cs="Arial"/>
          <w:sz w:val="32"/>
          <w:szCs w:val="32"/>
        </w:rPr>
        <w:t>Conducting informal feedback small sessions with M&amp;E staff for research purposes.</w:t>
      </w:r>
    </w:p>
    <w:p w14:paraId="2577B4DB" w14:textId="77777777" w:rsidR="008E66F0" w:rsidRPr="001E0E75" w:rsidRDefault="008E66F0" w:rsidP="001E0E75">
      <w:pPr>
        <w:spacing w:line="360" w:lineRule="auto"/>
        <w:rPr>
          <w:rFonts w:ascii="Arial" w:hAnsi="Arial" w:cs="Arial"/>
          <w:sz w:val="32"/>
          <w:szCs w:val="32"/>
        </w:rPr>
      </w:pPr>
      <w:r w:rsidRPr="001E0E75">
        <w:rPr>
          <w:rFonts w:ascii="Arial" w:hAnsi="Arial" w:cs="Arial"/>
          <w:b/>
          <w:bCs/>
          <w:sz w:val="32"/>
          <w:szCs w:val="32"/>
        </w:rPr>
        <w:lastRenderedPageBreak/>
        <w:t>Learning outcomes achieved:</w:t>
      </w:r>
    </w:p>
    <w:p w14:paraId="7C620F3F" w14:textId="65FCF261" w:rsidR="008E66F0" w:rsidRPr="001E0E75" w:rsidRDefault="008E66F0" w:rsidP="001E0E75">
      <w:pPr>
        <w:numPr>
          <w:ilvl w:val="0"/>
          <w:numId w:val="24"/>
        </w:numPr>
        <w:spacing w:line="360" w:lineRule="auto"/>
        <w:rPr>
          <w:rFonts w:ascii="Arial" w:hAnsi="Arial" w:cs="Arial"/>
          <w:sz w:val="32"/>
          <w:szCs w:val="32"/>
        </w:rPr>
      </w:pPr>
      <w:r w:rsidRPr="001E0E75">
        <w:rPr>
          <w:rFonts w:ascii="Arial" w:hAnsi="Arial" w:cs="Arial"/>
          <w:sz w:val="32"/>
          <w:szCs w:val="32"/>
        </w:rPr>
        <w:t>Developed an applied understanding of sales processes as well as event operations.</w:t>
      </w:r>
    </w:p>
    <w:p w14:paraId="58EFCDFC" w14:textId="77777777" w:rsidR="008E66F0" w:rsidRPr="001E0E75" w:rsidRDefault="008E66F0" w:rsidP="001E0E75">
      <w:pPr>
        <w:numPr>
          <w:ilvl w:val="0"/>
          <w:numId w:val="24"/>
        </w:numPr>
        <w:spacing w:line="360" w:lineRule="auto"/>
        <w:rPr>
          <w:rFonts w:ascii="Arial" w:hAnsi="Arial" w:cs="Arial"/>
          <w:sz w:val="32"/>
          <w:szCs w:val="32"/>
        </w:rPr>
      </w:pPr>
      <w:r w:rsidRPr="001E0E75">
        <w:rPr>
          <w:rFonts w:ascii="Arial" w:hAnsi="Arial" w:cs="Arial"/>
          <w:sz w:val="32"/>
          <w:szCs w:val="32"/>
        </w:rPr>
        <w:t>Observed the strategic influence of location on marketing, pricing, and client acquisition.</w:t>
      </w:r>
    </w:p>
    <w:p w14:paraId="02BE1E2F" w14:textId="6EDBAB6F" w:rsidR="008E66F0" w:rsidRPr="001E0E75" w:rsidRDefault="008E66F0" w:rsidP="001E0E75">
      <w:pPr>
        <w:numPr>
          <w:ilvl w:val="0"/>
          <w:numId w:val="24"/>
        </w:numPr>
        <w:spacing w:line="360" w:lineRule="auto"/>
        <w:rPr>
          <w:rFonts w:ascii="Arial" w:hAnsi="Arial" w:cs="Arial"/>
          <w:sz w:val="32"/>
          <w:szCs w:val="32"/>
        </w:rPr>
      </w:pPr>
      <w:r w:rsidRPr="001E0E75">
        <w:rPr>
          <w:rFonts w:ascii="Arial" w:hAnsi="Arial" w:cs="Arial"/>
          <w:sz w:val="32"/>
          <w:szCs w:val="32"/>
        </w:rPr>
        <w:t>Strengthened communication, teamwork, and customer-relationship skills.</w:t>
      </w:r>
    </w:p>
    <w:p w14:paraId="52989830" w14:textId="77777777" w:rsidR="008E66F0" w:rsidRPr="001E0E75" w:rsidRDefault="008E66F0" w:rsidP="001E0E75">
      <w:pPr>
        <w:spacing w:line="360" w:lineRule="auto"/>
        <w:rPr>
          <w:rFonts w:ascii="Arial" w:hAnsi="Arial" w:cs="Arial"/>
          <w:sz w:val="32"/>
          <w:szCs w:val="32"/>
        </w:rPr>
      </w:pPr>
      <w:r w:rsidRPr="001E0E75">
        <w:rPr>
          <w:rFonts w:ascii="Arial" w:hAnsi="Arial" w:cs="Arial"/>
          <w:b/>
          <w:bCs/>
          <w:sz w:val="32"/>
          <w:szCs w:val="32"/>
        </w:rPr>
        <w:t>Placement supervisor:</w:t>
      </w:r>
      <w:r w:rsidRPr="001E0E75">
        <w:rPr>
          <w:rFonts w:ascii="Arial" w:hAnsi="Arial" w:cs="Arial"/>
          <w:sz w:val="32"/>
          <w:szCs w:val="32"/>
        </w:rPr>
        <w:br/>
        <w:t>M&amp;E Sales Manager – DoubleTree by Hilton Dartford Bridge (Name withheld for confidentiality).</w:t>
      </w:r>
    </w:p>
    <w:p w14:paraId="43133C3C" w14:textId="0B7C7AC0" w:rsidR="008E66F0" w:rsidRPr="001E0E75" w:rsidRDefault="008E66F0" w:rsidP="001E0E75">
      <w:pPr>
        <w:spacing w:line="360" w:lineRule="auto"/>
        <w:rPr>
          <w:rFonts w:ascii="Arial" w:hAnsi="Arial" w:cs="Arial"/>
          <w:sz w:val="32"/>
          <w:szCs w:val="32"/>
        </w:rPr>
      </w:pPr>
      <w:r w:rsidRPr="001E0E75">
        <w:rPr>
          <w:rFonts w:ascii="Arial" w:hAnsi="Arial" w:cs="Arial"/>
          <w:b/>
          <w:bCs/>
          <w:sz w:val="32"/>
          <w:szCs w:val="32"/>
        </w:rPr>
        <w:t>University academic supervisor:</w:t>
      </w:r>
      <w:r w:rsidRPr="001E0E75">
        <w:rPr>
          <w:rFonts w:ascii="Arial" w:hAnsi="Arial" w:cs="Arial"/>
          <w:sz w:val="32"/>
          <w:szCs w:val="32"/>
        </w:rPr>
        <w:br/>
        <w:t xml:space="preserve">Kathryn Flynn, Christopher Wilkins </w:t>
      </w:r>
    </w:p>
    <w:p w14:paraId="762FFBD3" w14:textId="77777777" w:rsidR="008E66F0" w:rsidRPr="001E0E75" w:rsidRDefault="008E66F0" w:rsidP="001E0E75">
      <w:pPr>
        <w:spacing w:line="360" w:lineRule="auto"/>
        <w:rPr>
          <w:rFonts w:ascii="Arial" w:hAnsi="Arial" w:cs="Arial"/>
          <w:sz w:val="32"/>
          <w:szCs w:val="32"/>
        </w:rPr>
      </w:pPr>
    </w:p>
    <w:sectPr w:rsidR="008E66F0" w:rsidRPr="001E0E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D3109"/>
    <w:multiLevelType w:val="multilevel"/>
    <w:tmpl w:val="C2B09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F46A8B"/>
    <w:multiLevelType w:val="multilevel"/>
    <w:tmpl w:val="6F3E0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7957A2"/>
    <w:multiLevelType w:val="multilevel"/>
    <w:tmpl w:val="7AD0DA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AD684B"/>
    <w:multiLevelType w:val="multilevel"/>
    <w:tmpl w:val="86E47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A175EC"/>
    <w:multiLevelType w:val="multilevel"/>
    <w:tmpl w:val="7382C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0836F6"/>
    <w:multiLevelType w:val="multilevel"/>
    <w:tmpl w:val="72988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105DD3"/>
    <w:multiLevelType w:val="multilevel"/>
    <w:tmpl w:val="7228C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D05539"/>
    <w:multiLevelType w:val="multilevel"/>
    <w:tmpl w:val="52A4C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391A36"/>
    <w:multiLevelType w:val="multilevel"/>
    <w:tmpl w:val="64C0A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2B650D"/>
    <w:multiLevelType w:val="hybridMultilevel"/>
    <w:tmpl w:val="76C85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DE7697"/>
    <w:multiLevelType w:val="multilevel"/>
    <w:tmpl w:val="8140D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4A5A41"/>
    <w:multiLevelType w:val="multilevel"/>
    <w:tmpl w:val="84342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8A3944"/>
    <w:multiLevelType w:val="multilevel"/>
    <w:tmpl w:val="691CB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B4742F"/>
    <w:multiLevelType w:val="multilevel"/>
    <w:tmpl w:val="17520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24125A"/>
    <w:multiLevelType w:val="multilevel"/>
    <w:tmpl w:val="665EB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EDC1151"/>
    <w:multiLevelType w:val="multilevel"/>
    <w:tmpl w:val="F4142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0E1FFB"/>
    <w:multiLevelType w:val="multilevel"/>
    <w:tmpl w:val="4D005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825DC4"/>
    <w:multiLevelType w:val="multilevel"/>
    <w:tmpl w:val="DD5CC8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200724C"/>
    <w:multiLevelType w:val="multilevel"/>
    <w:tmpl w:val="15E080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8E72F9A"/>
    <w:multiLevelType w:val="multilevel"/>
    <w:tmpl w:val="A6B28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3D92F3A"/>
    <w:multiLevelType w:val="multilevel"/>
    <w:tmpl w:val="F40037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90454AD"/>
    <w:multiLevelType w:val="multilevel"/>
    <w:tmpl w:val="8800D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BDF7CF0"/>
    <w:multiLevelType w:val="multilevel"/>
    <w:tmpl w:val="899EDD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D323F8A"/>
    <w:multiLevelType w:val="multilevel"/>
    <w:tmpl w:val="BFBAB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6857685">
    <w:abstractNumId w:val="22"/>
  </w:num>
  <w:num w:numId="2" w16cid:durableId="453445806">
    <w:abstractNumId w:val="9"/>
  </w:num>
  <w:num w:numId="3" w16cid:durableId="409624391">
    <w:abstractNumId w:val="15"/>
  </w:num>
  <w:num w:numId="4" w16cid:durableId="1654020914">
    <w:abstractNumId w:val="21"/>
  </w:num>
  <w:num w:numId="5" w16cid:durableId="1718889982">
    <w:abstractNumId w:val="18"/>
  </w:num>
  <w:num w:numId="6" w16cid:durableId="457139239">
    <w:abstractNumId w:val="5"/>
  </w:num>
  <w:num w:numId="7" w16cid:durableId="100729577">
    <w:abstractNumId w:val="23"/>
  </w:num>
  <w:num w:numId="8" w16cid:durableId="1185830469">
    <w:abstractNumId w:val="14"/>
  </w:num>
  <w:num w:numId="9" w16cid:durableId="2118716040">
    <w:abstractNumId w:val="6"/>
  </w:num>
  <w:num w:numId="10" w16cid:durableId="59594495">
    <w:abstractNumId w:val="16"/>
  </w:num>
  <w:num w:numId="11" w16cid:durableId="87194636">
    <w:abstractNumId w:val="8"/>
  </w:num>
  <w:num w:numId="12" w16cid:durableId="1706364305">
    <w:abstractNumId w:val="4"/>
  </w:num>
  <w:num w:numId="13" w16cid:durableId="1218931942">
    <w:abstractNumId w:val="10"/>
  </w:num>
  <w:num w:numId="14" w16cid:durableId="230235312">
    <w:abstractNumId w:val="0"/>
  </w:num>
  <w:num w:numId="15" w16cid:durableId="1602760798">
    <w:abstractNumId w:val="12"/>
  </w:num>
  <w:num w:numId="16" w16cid:durableId="1435129475">
    <w:abstractNumId w:val="11"/>
  </w:num>
  <w:num w:numId="17" w16cid:durableId="2001351755">
    <w:abstractNumId w:val="7"/>
  </w:num>
  <w:num w:numId="18" w16cid:durableId="413597916">
    <w:abstractNumId w:val="3"/>
  </w:num>
  <w:num w:numId="19" w16cid:durableId="1821381462">
    <w:abstractNumId w:val="2"/>
  </w:num>
  <w:num w:numId="20" w16cid:durableId="1651514463">
    <w:abstractNumId w:val="1"/>
  </w:num>
  <w:num w:numId="21" w16cid:durableId="1222861952">
    <w:abstractNumId w:val="20"/>
  </w:num>
  <w:num w:numId="22" w16cid:durableId="75983539">
    <w:abstractNumId w:val="17"/>
  </w:num>
  <w:num w:numId="23" w16cid:durableId="1924100085">
    <w:abstractNumId w:val="13"/>
  </w:num>
  <w:num w:numId="24" w16cid:durableId="186937459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42E"/>
    <w:rsid w:val="00057676"/>
    <w:rsid w:val="000E1260"/>
    <w:rsid w:val="000F4B47"/>
    <w:rsid w:val="001E0E75"/>
    <w:rsid w:val="00320097"/>
    <w:rsid w:val="006B742E"/>
    <w:rsid w:val="00756D2F"/>
    <w:rsid w:val="00801217"/>
    <w:rsid w:val="008D201A"/>
    <w:rsid w:val="008E66F0"/>
    <w:rsid w:val="00993295"/>
    <w:rsid w:val="00A17B0B"/>
    <w:rsid w:val="00A45FD2"/>
    <w:rsid w:val="00AB5636"/>
    <w:rsid w:val="00B4255E"/>
    <w:rsid w:val="00BD0A34"/>
    <w:rsid w:val="00C4705F"/>
    <w:rsid w:val="00D3277C"/>
    <w:rsid w:val="00E35189"/>
    <w:rsid w:val="00ED5B97"/>
    <w:rsid w:val="00FB2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2939B"/>
  <w15:chartTrackingRefBased/>
  <w15:docId w15:val="{1F8522AD-B364-420E-BC17-412C38FF4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742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B742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B742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B742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B742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B74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74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74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74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742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B742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B742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B742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B742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B74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74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74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742E"/>
    <w:rPr>
      <w:rFonts w:eastAsiaTheme="majorEastAsia" w:cstheme="majorBidi"/>
      <w:color w:val="272727" w:themeColor="text1" w:themeTint="D8"/>
    </w:rPr>
  </w:style>
  <w:style w:type="paragraph" w:styleId="Title">
    <w:name w:val="Title"/>
    <w:basedOn w:val="Normal"/>
    <w:next w:val="Normal"/>
    <w:link w:val="TitleChar"/>
    <w:uiPriority w:val="10"/>
    <w:qFormat/>
    <w:rsid w:val="006B74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74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74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74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742E"/>
    <w:pPr>
      <w:spacing w:before="160"/>
      <w:jc w:val="center"/>
    </w:pPr>
    <w:rPr>
      <w:i/>
      <w:iCs/>
      <w:color w:val="404040" w:themeColor="text1" w:themeTint="BF"/>
    </w:rPr>
  </w:style>
  <w:style w:type="character" w:customStyle="1" w:styleId="QuoteChar">
    <w:name w:val="Quote Char"/>
    <w:basedOn w:val="DefaultParagraphFont"/>
    <w:link w:val="Quote"/>
    <w:uiPriority w:val="29"/>
    <w:rsid w:val="006B742E"/>
    <w:rPr>
      <w:i/>
      <w:iCs/>
      <w:color w:val="404040" w:themeColor="text1" w:themeTint="BF"/>
    </w:rPr>
  </w:style>
  <w:style w:type="paragraph" w:styleId="ListParagraph">
    <w:name w:val="List Paragraph"/>
    <w:basedOn w:val="Normal"/>
    <w:uiPriority w:val="34"/>
    <w:qFormat/>
    <w:rsid w:val="006B742E"/>
    <w:pPr>
      <w:ind w:left="720"/>
      <w:contextualSpacing/>
    </w:pPr>
  </w:style>
  <w:style w:type="character" w:styleId="IntenseEmphasis">
    <w:name w:val="Intense Emphasis"/>
    <w:basedOn w:val="DefaultParagraphFont"/>
    <w:uiPriority w:val="21"/>
    <w:qFormat/>
    <w:rsid w:val="006B742E"/>
    <w:rPr>
      <w:i/>
      <w:iCs/>
      <w:color w:val="2F5496" w:themeColor="accent1" w:themeShade="BF"/>
    </w:rPr>
  </w:style>
  <w:style w:type="paragraph" w:styleId="IntenseQuote">
    <w:name w:val="Intense Quote"/>
    <w:basedOn w:val="Normal"/>
    <w:next w:val="Normal"/>
    <w:link w:val="IntenseQuoteChar"/>
    <w:uiPriority w:val="30"/>
    <w:qFormat/>
    <w:rsid w:val="006B742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B742E"/>
    <w:rPr>
      <w:i/>
      <w:iCs/>
      <w:color w:val="2F5496" w:themeColor="accent1" w:themeShade="BF"/>
    </w:rPr>
  </w:style>
  <w:style w:type="character" w:styleId="IntenseReference">
    <w:name w:val="Intense Reference"/>
    <w:basedOn w:val="DefaultParagraphFont"/>
    <w:uiPriority w:val="32"/>
    <w:qFormat/>
    <w:rsid w:val="006B742E"/>
    <w:rPr>
      <w:b/>
      <w:bCs/>
      <w:smallCaps/>
      <w:color w:val="2F5496" w:themeColor="accent1" w:themeShade="BF"/>
      <w:spacing w:val="5"/>
    </w:rPr>
  </w:style>
  <w:style w:type="character" w:styleId="Hyperlink">
    <w:name w:val="Hyperlink"/>
    <w:basedOn w:val="DefaultParagraphFont"/>
    <w:uiPriority w:val="99"/>
    <w:unhideWhenUsed/>
    <w:rsid w:val="00D3277C"/>
    <w:rPr>
      <w:color w:val="0563C1" w:themeColor="hyperlink"/>
      <w:u w:val="single"/>
    </w:rPr>
  </w:style>
  <w:style w:type="character" w:styleId="UnresolvedMention">
    <w:name w:val="Unresolved Mention"/>
    <w:basedOn w:val="DefaultParagraphFont"/>
    <w:uiPriority w:val="99"/>
    <w:semiHidden/>
    <w:unhideWhenUsed/>
    <w:rsid w:val="00D327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vent.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63</Pages>
  <Words>10001</Words>
  <Characters>57012</Characters>
  <Application>Microsoft Office Word</Application>
  <DocSecurity>0</DocSecurity>
  <Lines>475</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Gergana Nikolova</dc:creator>
  <cp:keywords/>
  <dc:description/>
  <cp:lastModifiedBy>Gergana Nikolova</cp:lastModifiedBy>
  <cp:revision>2</cp:revision>
  <dcterms:created xsi:type="dcterms:W3CDTF">2025-11-05T13:06:00Z</dcterms:created>
  <dcterms:modified xsi:type="dcterms:W3CDTF">2025-11-07T22:41:00Z</dcterms:modified>
</cp:coreProperties>
</file>