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B9A1F" w14:textId="77777777" w:rsidR="00BB76F7" w:rsidRDefault="00000000">
      <w:pPr>
        <w:spacing w:before="1400"/>
        <w:jc w:val="center"/>
      </w:pPr>
      <w:r>
        <w:rPr>
          <w:rFonts w:eastAsia="Arial"/>
          <w:b/>
          <w:sz w:val="36"/>
        </w:rPr>
        <w:t>LCHS4003</w:t>
      </w:r>
    </w:p>
    <w:p w14:paraId="04D47633" w14:textId="77777777" w:rsidR="00BB76F7" w:rsidRDefault="00000000">
      <w:pPr>
        <w:jc w:val="center"/>
      </w:pPr>
      <w:r>
        <w:rPr>
          <w:rFonts w:eastAsia="Arial"/>
          <w:b/>
          <w:sz w:val="32"/>
        </w:rPr>
        <w:t>Introduction to Health and Social Care</w:t>
      </w:r>
    </w:p>
    <w:p w14:paraId="65C73B52" w14:textId="77777777" w:rsidR="00BB76F7" w:rsidRDefault="00000000">
      <w:pPr>
        <w:spacing w:after="520"/>
        <w:jc w:val="center"/>
      </w:pPr>
      <w:r>
        <w:rPr>
          <w:rFonts w:eastAsia="Arial"/>
          <w:b/>
          <w:sz w:val="28"/>
        </w:rPr>
        <w:t>Component 1 Coursework Portfolio – Written Assignment</w:t>
      </w:r>
    </w:p>
    <w:p w14:paraId="273BACDB" w14:textId="726FC9A2" w:rsidR="00BB76F7" w:rsidRDefault="00000000" w:rsidP="00164CB3">
      <w:pPr>
        <w:spacing w:after="60"/>
        <w:ind w:left="1080" w:right="1080"/>
        <w:jc w:val="center"/>
      </w:pPr>
      <w:r>
        <w:rPr>
          <w:rFonts w:eastAsia="Arial"/>
          <w:b/>
        </w:rPr>
        <w:t xml:space="preserve">Student name: </w:t>
      </w:r>
      <w:r w:rsidR="00865D65" w:rsidRPr="00865D65">
        <w:rPr>
          <w:rFonts w:eastAsia="Arial"/>
        </w:rPr>
        <w:t xml:space="preserve">Mohammad </w:t>
      </w:r>
      <w:r w:rsidR="00865D65">
        <w:rPr>
          <w:rFonts w:eastAsia="Arial"/>
        </w:rPr>
        <w:t>K</w:t>
      </w:r>
      <w:r w:rsidR="00865D65" w:rsidRPr="00865D65">
        <w:rPr>
          <w:rFonts w:eastAsia="Arial"/>
        </w:rPr>
        <w:t>ashif</w:t>
      </w:r>
    </w:p>
    <w:p w14:paraId="37630EE6" w14:textId="3F2B2386" w:rsidR="00BB76F7" w:rsidRDefault="00000000" w:rsidP="00164CB3">
      <w:pPr>
        <w:spacing w:after="60"/>
        <w:ind w:left="1080" w:right="1080"/>
        <w:jc w:val="center"/>
      </w:pPr>
      <w:r>
        <w:rPr>
          <w:rFonts w:eastAsia="Arial"/>
          <w:b/>
        </w:rPr>
        <w:t xml:space="preserve">Student ID number: </w:t>
      </w:r>
      <w:r w:rsidR="00865D65" w:rsidRPr="00865D65">
        <w:rPr>
          <w:rFonts w:eastAsia="Arial"/>
        </w:rPr>
        <w:t>2534920</w:t>
      </w:r>
    </w:p>
    <w:p w14:paraId="6E3F5003" w14:textId="77777777" w:rsidR="00BB76F7" w:rsidRDefault="00000000" w:rsidP="00164CB3">
      <w:pPr>
        <w:spacing w:after="60"/>
        <w:ind w:left="1080" w:right="1080"/>
        <w:jc w:val="center"/>
      </w:pPr>
      <w:r>
        <w:rPr>
          <w:rFonts w:eastAsia="Arial"/>
          <w:b/>
        </w:rPr>
        <w:t xml:space="preserve">Programme: </w:t>
      </w:r>
      <w:r>
        <w:rPr>
          <w:rFonts w:eastAsia="Arial"/>
        </w:rPr>
        <w:t>Certificate of Higher Education Skills for the Workplace (Health &amp; Social Care)</w:t>
      </w:r>
    </w:p>
    <w:p w14:paraId="0DED87B7" w14:textId="77777777" w:rsidR="00BB76F7" w:rsidRDefault="00000000" w:rsidP="00164CB3">
      <w:pPr>
        <w:spacing w:after="60"/>
        <w:ind w:left="1080" w:right="1080"/>
        <w:jc w:val="center"/>
      </w:pPr>
      <w:r>
        <w:rPr>
          <w:rFonts w:eastAsia="Arial"/>
          <w:b/>
        </w:rPr>
        <w:t xml:space="preserve">Module: </w:t>
      </w:r>
      <w:r>
        <w:rPr>
          <w:rFonts w:eastAsia="Arial"/>
        </w:rPr>
        <w:t>Introduction to Health and Social Care</w:t>
      </w:r>
    </w:p>
    <w:p w14:paraId="6C7C3E6F" w14:textId="517D727B" w:rsidR="00BB76F7" w:rsidRDefault="00000000" w:rsidP="00164CB3">
      <w:pPr>
        <w:spacing w:after="60"/>
        <w:ind w:left="1080" w:right="1080"/>
        <w:jc w:val="center"/>
      </w:pPr>
      <w:r>
        <w:rPr>
          <w:rFonts w:eastAsia="Arial"/>
          <w:b/>
        </w:rPr>
        <w:t xml:space="preserve">Module </w:t>
      </w:r>
      <w:r w:rsidR="00C03D86">
        <w:rPr>
          <w:rFonts w:eastAsia="Arial"/>
          <w:b/>
        </w:rPr>
        <w:t>Name &amp; C</w:t>
      </w:r>
      <w:r>
        <w:rPr>
          <w:rFonts w:eastAsia="Arial"/>
          <w:b/>
        </w:rPr>
        <w:t xml:space="preserve">ode: </w:t>
      </w:r>
      <w:r w:rsidR="00C03D86" w:rsidRPr="00C03D86">
        <w:rPr>
          <w:rFonts w:eastAsia="Arial"/>
        </w:rPr>
        <w:t>Health and Social Care LCHS4003</w:t>
      </w:r>
    </w:p>
    <w:p w14:paraId="7574290C" w14:textId="044E5A78" w:rsidR="00BB76F7" w:rsidRDefault="00000000" w:rsidP="00164CB3">
      <w:pPr>
        <w:spacing w:after="60"/>
        <w:ind w:left="1080" w:right="1080"/>
        <w:jc w:val="center"/>
      </w:pPr>
      <w:r>
        <w:rPr>
          <w:rFonts w:eastAsia="Arial"/>
          <w:b/>
        </w:rPr>
        <w:t xml:space="preserve">Lecturer: </w:t>
      </w:r>
      <w:r w:rsidR="00C03D86" w:rsidRPr="00C03D86">
        <w:rPr>
          <w:rFonts w:eastAsia="Arial"/>
        </w:rPr>
        <w:t>Zarah Ahmed</w:t>
      </w:r>
    </w:p>
    <w:p w14:paraId="0457B3F7" w14:textId="77777777" w:rsidR="00BB76F7" w:rsidRDefault="00000000" w:rsidP="00164CB3">
      <w:pPr>
        <w:spacing w:after="60"/>
        <w:ind w:left="1080" w:right="1080"/>
        <w:jc w:val="center"/>
      </w:pPr>
      <w:r>
        <w:rPr>
          <w:rFonts w:eastAsia="Arial"/>
          <w:b/>
        </w:rPr>
        <w:t xml:space="preserve">Assignment title: </w:t>
      </w:r>
      <w:r>
        <w:rPr>
          <w:rFonts w:eastAsia="Arial"/>
        </w:rPr>
        <w:t>Written Assignment</w:t>
      </w:r>
    </w:p>
    <w:p w14:paraId="339FAEEC" w14:textId="19D71F21" w:rsidR="00BB76F7" w:rsidRDefault="00000000" w:rsidP="00164CB3">
      <w:pPr>
        <w:spacing w:after="60"/>
        <w:ind w:left="1080" w:right="1080"/>
        <w:jc w:val="center"/>
      </w:pPr>
      <w:r>
        <w:rPr>
          <w:rFonts w:eastAsia="Arial"/>
          <w:b/>
        </w:rPr>
        <w:t xml:space="preserve">Word count: </w:t>
      </w:r>
      <w:r>
        <w:rPr>
          <w:rFonts w:eastAsia="Arial"/>
        </w:rPr>
        <w:t xml:space="preserve">Task 1: </w:t>
      </w:r>
      <w:r w:rsidR="00480601">
        <w:rPr>
          <w:rFonts w:eastAsia="Arial"/>
        </w:rPr>
        <w:t>718</w:t>
      </w:r>
      <w:r>
        <w:rPr>
          <w:rFonts w:eastAsia="Arial"/>
        </w:rPr>
        <w:t xml:space="preserve"> words | Task 2: </w:t>
      </w:r>
      <w:r w:rsidR="00093F38">
        <w:rPr>
          <w:rFonts w:eastAsia="Arial"/>
        </w:rPr>
        <w:t>715</w:t>
      </w:r>
      <w:r>
        <w:rPr>
          <w:rFonts w:eastAsia="Arial"/>
        </w:rPr>
        <w:t xml:space="preserve"> words | Total task text: 1,</w:t>
      </w:r>
      <w:r w:rsidR="0028792B">
        <w:rPr>
          <w:rFonts w:eastAsia="Arial"/>
        </w:rPr>
        <w:t>433</w:t>
      </w:r>
      <w:r>
        <w:rPr>
          <w:rFonts w:eastAsia="Arial"/>
        </w:rPr>
        <w:t xml:space="preserve"> words</w:t>
      </w:r>
    </w:p>
    <w:p w14:paraId="10066350" w14:textId="7DC90230" w:rsidR="00164CB3" w:rsidRDefault="00000000">
      <w:pPr>
        <w:spacing w:before="560"/>
        <w:jc w:val="center"/>
        <w:rPr>
          <w:rFonts w:eastAsia="Arial"/>
          <w:i/>
          <w:sz w:val="20"/>
        </w:rPr>
      </w:pPr>
      <w:r>
        <w:rPr>
          <w:rFonts w:eastAsia="Arial"/>
          <w:i/>
          <w:sz w:val="20"/>
        </w:rPr>
        <w:t>Submission deadline: Monday, 19 October 2026, 10:00 am</w:t>
      </w:r>
    </w:p>
    <w:p w14:paraId="2365F622" w14:textId="77777777" w:rsidR="00164CB3" w:rsidRDefault="00164CB3">
      <w:pPr>
        <w:spacing w:after="200" w:line="276" w:lineRule="auto"/>
        <w:rPr>
          <w:rFonts w:eastAsia="Arial"/>
          <w:i/>
          <w:sz w:val="20"/>
        </w:rPr>
      </w:pPr>
      <w:r>
        <w:rPr>
          <w:rFonts w:eastAsia="Arial"/>
          <w:i/>
          <w:sz w:val="20"/>
        </w:rPr>
        <w:br w:type="page"/>
      </w:r>
    </w:p>
    <w:sdt>
      <w:sdtPr>
        <w:rPr>
          <w:rFonts w:eastAsiaTheme="minorEastAsia" w:cstheme="minorBidi"/>
          <w:b w:val="0"/>
          <w:bCs w:val="0"/>
          <w:sz w:val="22"/>
          <w:szCs w:val="22"/>
        </w:rPr>
        <w:id w:val="676626168"/>
        <w:docPartObj>
          <w:docPartGallery w:val="Table of Contents"/>
          <w:docPartUnique/>
        </w:docPartObj>
      </w:sdtPr>
      <w:sdtEndPr>
        <w:rPr>
          <w:noProof/>
        </w:rPr>
      </w:sdtEndPr>
      <w:sdtContent>
        <w:p w14:paraId="620D995F" w14:textId="0DE94D18" w:rsidR="00164CB3" w:rsidRDefault="00164CB3" w:rsidP="00164CB3">
          <w:pPr>
            <w:pStyle w:val="TOCHeading"/>
            <w:jc w:val="center"/>
          </w:pPr>
          <w:r>
            <w:t>Table of Contents</w:t>
          </w:r>
        </w:p>
        <w:p w14:paraId="763E522A" w14:textId="174ED4B3" w:rsidR="00164CB3" w:rsidRDefault="00164CB3">
          <w:pPr>
            <w:pStyle w:val="TOC1"/>
            <w:tabs>
              <w:tab w:val="right" w:leader="dot" w:pos="9350"/>
            </w:tabs>
            <w:rPr>
              <w:noProof/>
            </w:rPr>
          </w:pPr>
          <w:r>
            <w:fldChar w:fldCharType="begin"/>
          </w:r>
          <w:r>
            <w:instrText xml:space="preserve"> TOC \o "1-3" \h \z \u </w:instrText>
          </w:r>
          <w:r>
            <w:fldChar w:fldCharType="separate"/>
          </w:r>
          <w:hyperlink w:anchor="_Toc242310241" w:history="1">
            <w:r w:rsidRPr="002D0BA1">
              <w:rPr>
                <w:rStyle w:val="Hyperlink"/>
                <w:noProof/>
              </w:rPr>
              <w:t>Task 1: Guided Scenario Response – Community Disability Services in Coventry</w:t>
            </w:r>
            <w:r>
              <w:rPr>
                <w:noProof/>
                <w:webHidden/>
              </w:rPr>
              <w:tab/>
            </w:r>
            <w:r>
              <w:rPr>
                <w:noProof/>
                <w:webHidden/>
              </w:rPr>
              <w:fldChar w:fldCharType="begin"/>
            </w:r>
            <w:r>
              <w:rPr>
                <w:noProof/>
                <w:webHidden/>
              </w:rPr>
              <w:instrText xml:space="preserve"> PAGEREF _Toc242310241 \h </w:instrText>
            </w:r>
            <w:r>
              <w:rPr>
                <w:noProof/>
                <w:webHidden/>
              </w:rPr>
            </w:r>
            <w:r>
              <w:rPr>
                <w:noProof/>
                <w:webHidden/>
              </w:rPr>
              <w:fldChar w:fldCharType="separate"/>
            </w:r>
            <w:r>
              <w:rPr>
                <w:noProof/>
                <w:webHidden/>
              </w:rPr>
              <w:t>3</w:t>
            </w:r>
            <w:r>
              <w:rPr>
                <w:noProof/>
                <w:webHidden/>
              </w:rPr>
              <w:fldChar w:fldCharType="end"/>
            </w:r>
          </w:hyperlink>
        </w:p>
        <w:p w14:paraId="4FE31443" w14:textId="00865706" w:rsidR="00164CB3" w:rsidRDefault="00164CB3">
          <w:pPr>
            <w:pStyle w:val="TOC2"/>
            <w:tabs>
              <w:tab w:val="right" w:leader="dot" w:pos="9350"/>
            </w:tabs>
            <w:rPr>
              <w:noProof/>
            </w:rPr>
          </w:pPr>
          <w:hyperlink w:anchor="_Toc242310242" w:history="1">
            <w:r w:rsidRPr="002D0BA1">
              <w:rPr>
                <w:rStyle w:val="Hyperlink"/>
                <w:noProof/>
              </w:rPr>
              <w:t>Introduction</w:t>
            </w:r>
            <w:r>
              <w:rPr>
                <w:noProof/>
                <w:webHidden/>
              </w:rPr>
              <w:tab/>
            </w:r>
            <w:r>
              <w:rPr>
                <w:noProof/>
                <w:webHidden/>
              </w:rPr>
              <w:fldChar w:fldCharType="begin"/>
            </w:r>
            <w:r>
              <w:rPr>
                <w:noProof/>
                <w:webHidden/>
              </w:rPr>
              <w:instrText xml:space="preserve"> PAGEREF _Toc242310242 \h </w:instrText>
            </w:r>
            <w:r>
              <w:rPr>
                <w:noProof/>
                <w:webHidden/>
              </w:rPr>
            </w:r>
            <w:r>
              <w:rPr>
                <w:noProof/>
                <w:webHidden/>
              </w:rPr>
              <w:fldChar w:fldCharType="separate"/>
            </w:r>
            <w:r>
              <w:rPr>
                <w:noProof/>
                <w:webHidden/>
              </w:rPr>
              <w:t>3</w:t>
            </w:r>
            <w:r>
              <w:rPr>
                <w:noProof/>
                <w:webHidden/>
              </w:rPr>
              <w:fldChar w:fldCharType="end"/>
            </w:r>
          </w:hyperlink>
        </w:p>
        <w:p w14:paraId="558D23AF" w14:textId="749EA168" w:rsidR="00164CB3" w:rsidRDefault="00164CB3">
          <w:pPr>
            <w:pStyle w:val="TOC2"/>
            <w:tabs>
              <w:tab w:val="right" w:leader="dot" w:pos="9350"/>
            </w:tabs>
            <w:rPr>
              <w:noProof/>
            </w:rPr>
          </w:pPr>
          <w:hyperlink w:anchor="_Toc242310243" w:history="1">
            <w:r w:rsidRPr="002D0BA1">
              <w:rPr>
                <w:rStyle w:val="Hyperlink"/>
                <w:noProof/>
              </w:rPr>
              <w:t>Impact on the community</w:t>
            </w:r>
            <w:r>
              <w:rPr>
                <w:noProof/>
                <w:webHidden/>
              </w:rPr>
              <w:tab/>
            </w:r>
            <w:r>
              <w:rPr>
                <w:noProof/>
                <w:webHidden/>
              </w:rPr>
              <w:fldChar w:fldCharType="begin"/>
            </w:r>
            <w:r>
              <w:rPr>
                <w:noProof/>
                <w:webHidden/>
              </w:rPr>
              <w:instrText xml:space="preserve"> PAGEREF _Toc242310243 \h </w:instrText>
            </w:r>
            <w:r>
              <w:rPr>
                <w:noProof/>
                <w:webHidden/>
              </w:rPr>
            </w:r>
            <w:r>
              <w:rPr>
                <w:noProof/>
                <w:webHidden/>
              </w:rPr>
              <w:fldChar w:fldCharType="separate"/>
            </w:r>
            <w:r>
              <w:rPr>
                <w:noProof/>
                <w:webHidden/>
              </w:rPr>
              <w:t>3</w:t>
            </w:r>
            <w:r>
              <w:rPr>
                <w:noProof/>
                <w:webHidden/>
              </w:rPr>
              <w:fldChar w:fldCharType="end"/>
            </w:r>
          </w:hyperlink>
        </w:p>
        <w:p w14:paraId="229EC625" w14:textId="00557120" w:rsidR="00164CB3" w:rsidRDefault="00164CB3">
          <w:pPr>
            <w:pStyle w:val="TOC2"/>
            <w:tabs>
              <w:tab w:val="right" w:leader="dot" w:pos="9350"/>
            </w:tabs>
            <w:rPr>
              <w:noProof/>
            </w:rPr>
          </w:pPr>
          <w:hyperlink w:anchor="_Toc242310244" w:history="1">
            <w:r w:rsidRPr="002D0BA1">
              <w:rPr>
                <w:rStyle w:val="Hyperlink"/>
                <w:noProof/>
              </w:rPr>
              <w:t>Recommended response</w:t>
            </w:r>
            <w:r>
              <w:rPr>
                <w:noProof/>
                <w:webHidden/>
              </w:rPr>
              <w:tab/>
            </w:r>
            <w:r>
              <w:rPr>
                <w:noProof/>
                <w:webHidden/>
              </w:rPr>
              <w:fldChar w:fldCharType="begin"/>
            </w:r>
            <w:r>
              <w:rPr>
                <w:noProof/>
                <w:webHidden/>
              </w:rPr>
              <w:instrText xml:space="preserve"> PAGEREF _Toc242310244 \h </w:instrText>
            </w:r>
            <w:r>
              <w:rPr>
                <w:noProof/>
                <w:webHidden/>
              </w:rPr>
            </w:r>
            <w:r>
              <w:rPr>
                <w:noProof/>
                <w:webHidden/>
              </w:rPr>
              <w:fldChar w:fldCharType="separate"/>
            </w:r>
            <w:r>
              <w:rPr>
                <w:noProof/>
                <w:webHidden/>
              </w:rPr>
              <w:t>4</w:t>
            </w:r>
            <w:r>
              <w:rPr>
                <w:noProof/>
                <w:webHidden/>
              </w:rPr>
              <w:fldChar w:fldCharType="end"/>
            </w:r>
          </w:hyperlink>
        </w:p>
        <w:p w14:paraId="40243D8D" w14:textId="3163A0A0" w:rsidR="00164CB3" w:rsidRDefault="00164CB3">
          <w:pPr>
            <w:pStyle w:val="TOC2"/>
            <w:tabs>
              <w:tab w:val="right" w:leader="dot" w:pos="9350"/>
            </w:tabs>
            <w:rPr>
              <w:noProof/>
            </w:rPr>
          </w:pPr>
          <w:hyperlink w:anchor="_Toc242310245" w:history="1">
            <w:r w:rsidRPr="002D0BA1">
              <w:rPr>
                <w:rStyle w:val="Hyperlink"/>
                <w:noProof/>
              </w:rPr>
              <w:t>Conclusion</w:t>
            </w:r>
            <w:r>
              <w:rPr>
                <w:noProof/>
                <w:webHidden/>
              </w:rPr>
              <w:tab/>
            </w:r>
            <w:r>
              <w:rPr>
                <w:noProof/>
                <w:webHidden/>
              </w:rPr>
              <w:fldChar w:fldCharType="begin"/>
            </w:r>
            <w:r>
              <w:rPr>
                <w:noProof/>
                <w:webHidden/>
              </w:rPr>
              <w:instrText xml:space="preserve"> PAGEREF _Toc242310245 \h </w:instrText>
            </w:r>
            <w:r>
              <w:rPr>
                <w:noProof/>
                <w:webHidden/>
              </w:rPr>
            </w:r>
            <w:r>
              <w:rPr>
                <w:noProof/>
                <w:webHidden/>
              </w:rPr>
              <w:fldChar w:fldCharType="separate"/>
            </w:r>
            <w:r>
              <w:rPr>
                <w:noProof/>
                <w:webHidden/>
              </w:rPr>
              <w:t>5</w:t>
            </w:r>
            <w:r>
              <w:rPr>
                <w:noProof/>
                <w:webHidden/>
              </w:rPr>
              <w:fldChar w:fldCharType="end"/>
            </w:r>
          </w:hyperlink>
        </w:p>
        <w:p w14:paraId="495A2855" w14:textId="233FFC46" w:rsidR="00164CB3" w:rsidRDefault="00164CB3">
          <w:pPr>
            <w:pStyle w:val="TOC1"/>
            <w:tabs>
              <w:tab w:val="right" w:leader="dot" w:pos="9350"/>
            </w:tabs>
            <w:rPr>
              <w:noProof/>
            </w:rPr>
          </w:pPr>
          <w:hyperlink w:anchor="_Toc242310246" w:history="1">
            <w:r w:rsidRPr="002D0BA1">
              <w:rPr>
                <w:rStyle w:val="Hyperlink"/>
                <w:noProof/>
              </w:rPr>
              <w:t>Task 2: Essay – Dentistry Services in England</w:t>
            </w:r>
            <w:r>
              <w:rPr>
                <w:noProof/>
                <w:webHidden/>
              </w:rPr>
              <w:tab/>
            </w:r>
            <w:r>
              <w:rPr>
                <w:noProof/>
                <w:webHidden/>
              </w:rPr>
              <w:fldChar w:fldCharType="begin"/>
            </w:r>
            <w:r>
              <w:rPr>
                <w:noProof/>
                <w:webHidden/>
              </w:rPr>
              <w:instrText xml:space="preserve"> PAGEREF _Toc242310246 \h </w:instrText>
            </w:r>
            <w:r>
              <w:rPr>
                <w:noProof/>
                <w:webHidden/>
              </w:rPr>
            </w:r>
            <w:r>
              <w:rPr>
                <w:noProof/>
                <w:webHidden/>
              </w:rPr>
              <w:fldChar w:fldCharType="separate"/>
            </w:r>
            <w:r>
              <w:rPr>
                <w:noProof/>
                <w:webHidden/>
              </w:rPr>
              <w:t>6</w:t>
            </w:r>
            <w:r>
              <w:rPr>
                <w:noProof/>
                <w:webHidden/>
              </w:rPr>
              <w:fldChar w:fldCharType="end"/>
            </w:r>
          </w:hyperlink>
        </w:p>
        <w:p w14:paraId="22CA241D" w14:textId="571547A0" w:rsidR="00164CB3" w:rsidRDefault="00164CB3">
          <w:pPr>
            <w:pStyle w:val="TOC2"/>
            <w:tabs>
              <w:tab w:val="right" w:leader="dot" w:pos="9350"/>
            </w:tabs>
            <w:rPr>
              <w:noProof/>
            </w:rPr>
          </w:pPr>
          <w:hyperlink w:anchor="_Toc242310247" w:history="1">
            <w:r w:rsidRPr="002D0BA1">
              <w:rPr>
                <w:rStyle w:val="Hyperlink"/>
                <w:noProof/>
              </w:rPr>
              <w:t>Introduction</w:t>
            </w:r>
            <w:r>
              <w:rPr>
                <w:noProof/>
                <w:webHidden/>
              </w:rPr>
              <w:tab/>
            </w:r>
            <w:r>
              <w:rPr>
                <w:noProof/>
                <w:webHidden/>
              </w:rPr>
              <w:fldChar w:fldCharType="begin"/>
            </w:r>
            <w:r>
              <w:rPr>
                <w:noProof/>
                <w:webHidden/>
              </w:rPr>
              <w:instrText xml:space="preserve"> PAGEREF _Toc242310247 \h </w:instrText>
            </w:r>
            <w:r>
              <w:rPr>
                <w:noProof/>
                <w:webHidden/>
              </w:rPr>
            </w:r>
            <w:r>
              <w:rPr>
                <w:noProof/>
                <w:webHidden/>
              </w:rPr>
              <w:fldChar w:fldCharType="separate"/>
            </w:r>
            <w:r>
              <w:rPr>
                <w:noProof/>
                <w:webHidden/>
              </w:rPr>
              <w:t>6</w:t>
            </w:r>
            <w:r>
              <w:rPr>
                <w:noProof/>
                <w:webHidden/>
              </w:rPr>
              <w:fldChar w:fldCharType="end"/>
            </w:r>
          </w:hyperlink>
        </w:p>
        <w:p w14:paraId="3FD84134" w14:textId="00207795" w:rsidR="00164CB3" w:rsidRDefault="00164CB3">
          <w:pPr>
            <w:pStyle w:val="TOC2"/>
            <w:tabs>
              <w:tab w:val="right" w:leader="dot" w:pos="9350"/>
            </w:tabs>
            <w:rPr>
              <w:noProof/>
            </w:rPr>
          </w:pPr>
          <w:hyperlink w:anchor="_Toc242310248" w:history="1">
            <w:r w:rsidRPr="002D0BA1">
              <w:rPr>
                <w:rStyle w:val="Hyperlink"/>
                <w:noProof/>
              </w:rPr>
              <w:t>Origins and historical development</w:t>
            </w:r>
            <w:r>
              <w:rPr>
                <w:noProof/>
                <w:webHidden/>
              </w:rPr>
              <w:tab/>
            </w:r>
            <w:r>
              <w:rPr>
                <w:noProof/>
                <w:webHidden/>
              </w:rPr>
              <w:fldChar w:fldCharType="begin"/>
            </w:r>
            <w:r>
              <w:rPr>
                <w:noProof/>
                <w:webHidden/>
              </w:rPr>
              <w:instrText xml:space="preserve"> PAGEREF _Toc242310248 \h </w:instrText>
            </w:r>
            <w:r>
              <w:rPr>
                <w:noProof/>
                <w:webHidden/>
              </w:rPr>
            </w:r>
            <w:r>
              <w:rPr>
                <w:noProof/>
                <w:webHidden/>
              </w:rPr>
              <w:fldChar w:fldCharType="separate"/>
            </w:r>
            <w:r>
              <w:rPr>
                <w:noProof/>
                <w:webHidden/>
              </w:rPr>
              <w:t>6</w:t>
            </w:r>
            <w:r>
              <w:rPr>
                <w:noProof/>
                <w:webHidden/>
              </w:rPr>
              <w:fldChar w:fldCharType="end"/>
            </w:r>
          </w:hyperlink>
        </w:p>
        <w:p w14:paraId="664A4B78" w14:textId="05961699" w:rsidR="00164CB3" w:rsidRDefault="00164CB3">
          <w:pPr>
            <w:pStyle w:val="TOC2"/>
            <w:tabs>
              <w:tab w:val="right" w:leader="dot" w:pos="9350"/>
            </w:tabs>
            <w:rPr>
              <w:noProof/>
            </w:rPr>
          </w:pPr>
          <w:hyperlink w:anchor="_Toc242310249" w:history="1">
            <w:r w:rsidRPr="002D0BA1">
              <w:rPr>
                <w:rStyle w:val="Hyperlink"/>
                <w:noProof/>
              </w:rPr>
              <w:t>Current functioning and critical evaluation</w:t>
            </w:r>
            <w:r>
              <w:rPr>
                <w:noProof/>
                <w:webHidden/>
              </w:rPr>
              <w:tab/>
            </w:r>
            <w:r>
              <w:rPr>
                <w:noProof/>
                <w:webHidden/>
              </w:rPr>
              <w:fldChar w:fldCharType="begin"/>
            </w:r>
            <w:r>
              <w:rPr>
                <w:noProof/>
                <w:webHidden/>
              </w:rPr>
              <w:instrText xml:space="preserve"> PAGEREF _Toc242310249 \h </w:instrText>
            </w:r>
            <w:r>
              <w:rPr>
                <w:noProof/>
                <w:webHidden/>
              </w:rPr>
            </w:r>
            <w:r>
              <w:rPr>
                <w:noProof/>
                <w:webHidden/>
              </w:rPr>
              <w:fldChar w:fldCharType="separate"/>
            </w:r>
            <w:r>
              <w:rPr>
                <w:noProof/>
                <w:webHidden/>
              </w:rPr>
              <w:t>6</w:t>
            </w:r>
            <w:r>
              <w:rPr>
                <w:noProof/>
                <w:webHidden/>
              </w:rPr>
              <w:fldChar w:fldCharType="end"/>
            </w:r>
          </w:hyperlink>
        </w:p>
        <w:p w14:paraId="4B3E23CB" w14:textId="5994AFCC" w:rsidR="00164CB3" w:rsidRDefault="00164CB3">
          <w:pPr>
            <w:pStyle w:val="TOC2"/>
            <w:tabs>
              <w:tab w:val="right" w:leader="dot" w:pos="9350"/>
            </w:tabs>
            <w:rPr>
              <w:noProof/>
            </w:rPr>
          </w:pPr>
          <w:hyperlink w:anchor="_Toc242310250" w:history="1">
            <w:r w:rsidRPr="002D0BA1">
              <w:rPr>
                <w:rStyle w:val="Hyperlink"/>
                <w:noProof/>
              </w:rPr>
              <w:t>Significance for quality of life</w:t>
            </w:r>
            <w:r>
              <w:rPr>
                <w:noProof/>
                <w:webHidden/>
              </w:rPr>
              <w:tab/>
            </w:r>
            <w:r>
              <w:rPr>
                <w:noProof/>
                <w:webHidden/>
              </w:rPr>
              <w:fldChar w:fldCharType="begin"/>
            </w:r>
            <w:r>
              <w:rPr>
                <w:noProof/>
                <w:webHidden/>
              </w:rPr>
              <w:instrText xml:space="preserve"> PAGEREF _Toc242310250 \h </w:instrText>
            </w:r>
            <w:r>
              <w:rPr>
                <w:noProof/>
                <w:webHidden/>
              </w:rPr>
            </w:r>
            <w:r>
              <w:rPr>
                <w:noProof/>
                <w:webHidden/>
              </w:rPr>
              <w:fldChar w:fldCharType="separate"/>
            </w:r>
            <w:r>
              <w:rPr>
                <w:noProof/>
                <w:webHidden/>
              </w:rPr>
              <w:t>7</w:t>
            </w:r>
            <w:r>
              <w:rPr>
                <w:noProof/>
                <w:webHidden/>
              </w:rPr>
              <w:fldChar w:fldCharType="end"/>
            </w:r>
          </w:hyperlink>
        </w:p>
        <w:p w14:paraId="29EFFD7C" w14:textId="17A70381" w:rsidR="00164CB3" w:rsidRDefault="00164CB3">
          <w:pPr>
            <w:pStyle w:val="TOC2"/>
            <w:tabs>
              <w:tab w:val="right" w:leader="dot" w:pos="9350"/>
            </w:tabs>
            <w:rPr>
              <w:noProof/>
            </w:rPr>
          </w:pPr>
          <w:hyperlink w:anchor="_Toc242310251" w:history="1">
            <w:r w:rsidRPr="002D0BA1">
              <w:rPr>
                <w:rStyle w:val="Hyperlink"/>
                <w:noProof/>
              </w:rPr>
              <w:t>Conclusion</w:t>
            </w:r>
            <w:r>
              <w:rPr>
                <w:noProof/>
                <w:webHidden/>
              </w:rPr>
              <w:tab/>
            </w:r>
            <w:r>
              <w:rPr>
                <w:noProof/>
                <w:webHidden/>
              </w:rPr>
              <w:fldChar w:fldCharType="begin"/>
            </w:r>
            <w:r>
              <w:rPr>
                <w:noProof/>
                <w:webHidden/>
              </w:rPr>
              <w:instrText xml:space="preserve"> PAGEREF _Toc242310251 \h </w:instrText>
            </w:r>
            <w:r>
              <w:rPr>
                <w:noProof/>
                <w:webHidden/>
              </w:rPr>
            </w:r>
            <w:r>
              <w:rPr>
                <w:noProof/>
                <w:webHidden/>
              </w:rPr>
              <w:fldChar w:fldCharType="separate"/>
            </w:r>
            <w:r>
              <w:rPr>
                <w:noProof/>
                <w:webHidden/>
              </w:rPr>
              <w:t>7</w:t>
            </w:r>
            <w:r>
              <w:rPr>
                <w:noProof/>
                <w:webHidden/>
              </w:rPr>
              <w:fldChar w:fldCharType="end"/>
            </w:r>
          </w:hyperlink>
        </w:p>
        <w:p w14:paraId="76DC569C" w14:textId="54DD4BE9" w:rsidR="00164CB3" w:rsidRDefault="00164CB3">
          <w:pPr>
            <w:pStyle w:val="TOC1"/>
            <w:tabs>
              <w:tab w:val="right" w:leader="dot" w:pos="9350"/>
            </w:tabs>
            <w:rPr>
              <w:noProof/>
            </w:rPr>
          </w:pPr>
          <w:hyperlink w:anchor="_Toc242310252" w:history="1">
            <w:r w:rsidRPr="002D0BA1">
              <w:rPr>
                <w:rStyle w:val="Hyperlink"/>
                <w:noProof/>
              </w:rPr>
              <w:t>Reference</w:t>
            </w:r>
            <w:r>
              <w:rPr>
                <w:noProof/>
                <w:webHidden/>
              </w:rPr>
              <w:tab/>
            </w:r>
            <w:r>
              <w:rPr>
                <w:noProof/>
                <w:webHidden/>
              </w:rPr>
              <w:fldChar w:fldCharType="begin"/>
            </w:r>
            <w:r>
              <w:rPr>
                <w:noProof/>
                <w:webHidden/>
              </w:rPr>
              <w:instrText xml:space="preserve"> PAGEREF _Toc242310252 \h </w:instrText>
            </w:r>
            <w:r>
              <w:rPr>
                <w:noProof/>
                <w:webHidden/>
              </w:rPr>
            </w:r>
            <w:r>
              <w:rPr>
                <w:noProof/>
                <w:webHidden/>
              </w:rPr>
              <w:fldChar w:fldCharType="separate"/>
            </w:r>
            <w:r>
              <w:rPr>
                <w:noProof/>
                <w:webHidden/>
              </w:rPr>
              <w:t>8</w:t>
            </w:r>
            <w:r>
              <w:rPr>
                <w:noProof/>
                <w:webHidden/>
              </w:rPr>
              <w:fldChar w:fldCharType="end"/>
            </w:r>
          </w:hyperlink>
        </w:p>
        <w:p w14:paraId="3EC1C055" w14:textId="48B61FA8" w:rsidR="00164CB3" w:rsidRDefault="00164CB3">
          <w:r>
            <w:rPr>
              <w:b/>
              <w:bCs/>
              <w:noProof/>
            </w:rPr>
            <w:fldChar w:fldCharType="end"/>
          </w:r>
        </w:p>
      </w:sdtContent>
    </w:sdt>
    <w:p w14:paraId="45CDA894" w14:textId="77777777" w:rsidR="00BB76F7" w:rsidRDefault="00BB76F7">
      <w:pPr>
        <w:spacing w:before="560"/>
        <w:jc w:val="center"/>
      </w:pPr>
    </w:p>
    <w:p w14:paraId="601CA3CA" w14:textId="77777777" w:rsidR="00BB76F7" w:rsidRDefault="00000000">
      <w:r>
        <w:br w:type="page"/>
      </w:r>
    </w:p>
    <w:p w14:paraId="45C47145" w14:textId="77777777" w:rsidR="00BB76F7" w:rsidRPr="00164CB3" w:rsidRDefault="00000000" w:rsidP="00164CB3">
      <w:pPr>
        <w:pStyle w:val="Heading1"/>
      </w:pPr>
      <w:bookmarkStart w:id="0" w:name="_Toc242310241"/>
      <w:r w:rsidRPr="00164CB3">
        <w:lastRenderedPageBreak/>
        <w:t>Task 1: Guided Scenario Response – Community Disability Services in Coventry</w:t>
      </w:r>
      <w:bookmarkEnd w:id="0"/>
    </w:p>
    <w:p w14:paraId="28BF5671" w14:textId="20CCBE73" w:rsidR="00BB76F7" w:rsidRPr="00931D3B" w:rsidRDefault="00931D3B" w:rsidP="00931D3B">
      <w:pPr>
        <w:spacing w:after="0"/>
        <w:rPr>
          <w:lang w:val="en-PK"/>
        </w:rPr>
      </w:pPr>
      <w:r w:rsidRPr="00931D3B">
        <w:rPr>
          <w:b/>
          <w:bCs/>
          <w:lang w:val="en-PK"/>
        </w:rPr>
        <w:t>To:</w:t>
      </w:r>
      <w:r w:rsidRPr="00931D3B">
        <w:rPr>
          <w:lang w:val="en-PK"/>
        </w:rPr>
        <w:t xml:space="preserve"> Councillor Esther Mary Reeves</w:t>
      </w:r>
      <w:r w:rsidRPr="00931D3B">
        <w:rPr>
          <w:lang w:val="en-PK"/>
        </w:rPr>
        <w:br/>
      </w:r>
      <w:r w:rsidRPr="00931D3B">
        <w:rPr>
          <w:b/>
          <w:bCs/>
          <w:lang w:val="en-PK"/>
        </w:rPr>
        <w:t>Political Party:</w:t>
      </w:r>
      <w:r w:rsidRPr="00931D3B">
        <w:rPr>
          <w:lang w:val="en-PK"/>
        </w:rPr>
        <w:t xml:space="preserve"> Green Party</w:t>
      </w:r>
      <w:r w:rsidRPr="00931D3B">
        <w:rPr>
          <w:lang w:val="en-PK"/>
        </w:rPr>
        <w:br/>
      </w:r>
      <w:r w:rsidRPr="00931D3B">
        <w:rPr>
          <w:b/>
          <w:bCs/>
          <w:lang w:val="en-PK"/>
        </w:rPr>
        <w:t>Ward:</w:t>
      </w:r>
      <w:r w:rsidRPr="00931D3B">
        <w:rPr>
          <w:lang w:val="en-PK"/>
        </w:rPr>
        <w:t xml:space="preserve"> Holbrooks</w:t>
      </w:r>
      <w:r w:rsidRPr="00931D3B">
        <w:rPr>
          <w:lang w:val="en-PK"/>
        </w:rPr>
        <w:br/>
      </w:r>
      <w:r w:rsidRPr="00931D3B">
        <w:rPr>
          <w:b/>
          <w:bCs/>
          <w:lang w:val="en-PK"/>
        </w:rPr>
        <w:t>Local Authority:</w:t>
      </w:r>
      <w:r w:rsidRPr="00931D3B">
        <w:rPr>
          <w:lang w:val="en-PK"/>
        </w:rPr>
        <w:t xml:space="preserve"> Coventry City Council</w:t>
      </w:r>
      <w:r w:rsidRPr="00931D3B">
        <w:rPr>
          <w:lang w:val="en-PK"/>
        </w:rPr>
        <w:br/>
      </w:r>
      <w:r w:rsidRPr="00931D3B">
        <w:rPr>
          <w:b/>
          <w:bCs/>
          <w:lang w:val="en-PK"/>
        </w:rPr>
        <w:t>Correspondence Address:</w:t>
      </w:r>
      <w:r w:rsidRPr="00931D3B">
        <w:rPr>
          <w:lang w:val="en-PK"/>
        </w:rPr>
        <w:t xml:space="preserve"> c/o Member Services, Council House, Earl Street, Coventry, CV1 5RR</w:t>
      </w:r>
    </w:p>
    <w:p w14:paraId="4F63FD00" w14:textId="77777777" w:rsidR="00BB76F7" w:rsidRPr="00164CB3" w:rsidRDefault="00000000" w:rsidP="00164CB3">
      <w:pPr>
        <w:pStyle w:val="Heading2"/>
      </w:pPr>
      <w:bookmarkStart w:id="1" w:name="_Toc242310242"/>
      <w:r w:rsidRPr="00164CB3">
        <w:t>Introduction</w:t>
      </w:r>
      <w:bookmarkEnd w:id="1"/>
    </w:p>
    <w:p w14:paraId="49EDBB92" w14:textId="41765936" w:rsidR="00BB76F7" w:rsidRDefault="00002B15">
      <w:pPr>
        <w:ind w:firstLine="360"/>
        <w:jc w:val="both"/>
      </w:pPr>
      <w:r w:rsidRPr="00002B15">
        <w:rPr>
          <w:rFonts w:eastAsia="Arial"/>
        </w:rPr>
        <w:t xml:space="preserve">This report recommends to </w:t>
      </w:r>
      <w:r w:rsidR="00D23E25">
        <w:rPr>
          <w:rFonts w:eastAsia="Arial"/>
        </w:rPr>
        <w:t>Councillor Esther Mary Reeves</w:t>
      </w:r>
      <w:r w:rsidRPr="00002B15">
        <w:rPr>
          <w:rFonts w:eastAsia="Arial"/>
        </w:rPr>
        <w:t xml:space="preserve"> (as a current Councillor for the Coventry ward of </w:t>
      </w:r>
      <w:r w:rsidR="00931D3B" w:rsidRPr="00931D3B">
        <w:rPr>
          <w:rFonts w:eastAsia="Arial"/>
        </w:rPr>
        <w:t>Green Party</w:t>
      </w:r>
      <w:r w:rsidR="00931D3B">
        <w:rPr>
          <w:rFonts w:eastAsia="Arial"/>
        </w:rPr>
        <w:t xml:space="preserve">, </w:t>
      </w:r>
      <w:r w:rsidR="00931D3B" w:rsidRPr="00931D3B">
        <w:rPr>
          <w:rFonts w:eastAsia="Arial"/>
        </w:rPr>
        <w:t>Holbrooks</w:t>
      </w:r>
      <w:r w:rsidRPr="00002B15">
        <w:rPr>
          <w:rFonts w:eastAsia="Arial"/>
        </w:rPr>
        <w:t>) that the provision of community services for disabled people in Coventry (Coventry City Council, n.d.) be strengthened. The problem is not services; it's provision that doesn't meet the increasingly complex need</w:t>
      </w:r>
      <w:r>
        <w:rPr>
          <w:rFonts w:eastAsia="Arial"/>
        </w:rPr>
        <w:t>. Coventry City Council projects that the prevalence of learning disabilities and autism will rise by around 1% each year over the next decade and reports difficulties sourcing bespoke care packages because of accommodation constraints, including a shortage of affordable single-unit accommodation (Coventry City Council, 2025). This creates a clear case for targeted market development rather than indiscriminate expansion.</w:t>
      </w:r>
    </w:p>
    <w:p w14:paraId="4041B052" w14:textId="77777777" w:rsidR="00BB76F7" w:rsidRDefault="00000000" w:rsidP="00164CB3">
      <w:pPr>
        <w:pStyle w:val="Heading2"/>
      </w:pPr>
      <w:bookmarkStart w:id="2" w:name="_Toc242310243"/>
      <w:r>
        <w:t>Impact on the community</w:t>
      </w:r>
      <w:bookmarkEnd w:id="2"/>
    </w:p>
    <w:p w14:paraId="3E3C6DFB" w14:textId="0FABBED0" w:rsidR="00AF2975" w:rsidRPr="00AF2975" w:rsidRDefault="00000000" w:rsidP="00AF2975">
      <w:pPr>
        <w:ind w:firstLine="360"/>
        <w:jc w:val="both"/>
        <w:rPr>
          <w:rFonts w:eastAsia="Arial"/>
        </w:rPr>
      </w:pPr>
      <w:r>
        <w:rPr>
          <w:rFonts w:eastAsia="Arial"/>
        </w:rPr>
        <w:t xml:space="preserve">Coventry already has residential, respite and supported-living provision; however, the Council identifies gaps for younger adults with high-level or complex needs and for people requiring appropriate supported living (Coventry City Council, 2024). </w:t>
      </w:r>
      <w:r w:rsidR="00AF2975" w:rsidRPr="00AF2975">
        <w:rPr>
          <w:rFonts w:eastAsia="Arial"/>
        </w:rPr>
        <w:t xml:space="preserve">Support may be less available to people in the communities where it is needed, and less controlled by them, if local provision is inadequate when compared to assessed needs; and families may be under increased pressure to hold family life together if support is not available in the community. The consequence matters under the care act for the following reasons: Wellbeing encompasses dignity, physical/mental health, control of life, relationships, participation and accommodation (s.1 Care Act 2014). Lack of suitable community choice may, therefore, become a wellbeing and independence problem, rather than just the </w:t>
      </w:r>
      <w:r w:rsidR="00F44E8C" w:rsidRPr="00AF2975">
        <w:rPr>
          <w:rFonts w:eastAsia="Arial"/>
        </w:rPr>
        <w:t>number</w:t>
      </w:r>
      <w:r w:rsidR="00AF2975" w:rsidRPr="00AF2975">
        <w:rPr>
          <w:rFonts w:eastAsia="Arial"/>
        </w:rPr>
        <w:t xml:space="preserve"> of beds.</w:t>
      </w:r>
    </w:p>
    <w:p w14:paraId="73549E21" w14:textId="2F53FABF" w:rsidR="00BB76F7" w:rsidRDefault="00AF2975" w:rsidP="00AF2975">
      <w:pPr>
        <w:ind w:firstLine="360"/>
        <w:jc w:val="both"/>
      </w:pPr>
      <w:r w:rsidRPr="00AF2975">
        <w:rPr>
          <w:rFonts w:eastAsia="Arial"/>
        </w:rPr>
        <w:t>The local pressure is likely to grow</w:t>
      </w:r>
      <w:r>
        <w:rPr>
          <w:rFonts w:eastAsia="Arial"/>
        </w:rPr>
        <w:t xml:space="preserve">. Coventry’s Market Position Statement projects that the number of adults aged 18–64 with moderate or severe learning disability will increase from </w:t>
      </w:r>
      <w:r>
        <w:rPr>
          <w:rFonts w:eastAsia="Arial"/>
        </w:rPr>
        <w:lastRenderedPageBreak/>
        <w:t xml:space="preserve">1,484 in 2025 to 1,686 by 2040 (Coventry City Council, 2024). If capacity and service design do not adapt, reactive or highly restrictive placements may become more likely. The Council must also recognise unpaid carers: without timely respite and preventative support, families may face greater </w:t>
      </w:r>
      <w:proofErr w:type="gramStart"/>
      <w:r>
        <w:rPr>
          <w:rFonts w:eastAsia="Arial"/>
        </w:rPr>
        <w:t>caring</w:t>
      </w:r>
      <w:proofErr w:type="gramEnd"/>
      <w:r>
        <w:rPr>
          <w:rFonts w:eastAsia="Arial"/>
        </w:rPr>
        <w:t xml:space="preserve"> pressure rather than having community needs addressed early.</w:t>
      </w:r>
    </w:p>
    <w:p w14:paraId="10434670" w14:textId="77777777" w:rsidR="00BB76F7" w:rsidRDefault="00000000" w:rsidP="00164CB3">
      <w:pPr>
        <w:pStyle w:val="Heading2"/>
      </w:pPr>
      <w:bookmarkStart w:id="3" w:name="_Toc242310244"/>
      <w:r>
        <w:t>Recommended response</w:t>
      </w:r>
      <w:bookmarkEnd w:id="3"/>
    </w:p>
    <w:p w14:paraId="7FF1E045" w14:textId="77777777" w:rsidR="00BB76F7" w:rsidRDefault="00000000">
      <w:pPr>
        <w:ind w:firstLine="360"/>
        <w:jc w:val="both"/>
      </w:pPr>
      <w:r>
        <w:rPr>
          <w:rFonts w:eastAsia="Arial"/>
        </w:rPr>
        <w:t>First, Coventry should prioritise smaller supported-living and bespoke accommodation for people whose needs cannot be met in conventional shared schemes. This directly addresses the identified shortage of affordable single units and supports the Care Act duty to promote a diverse, sustainable market offering appropriate choice and quality (Care Act 2014, s.5; Coventry City Council, 2025).</w:t>
      </w:r>
    </w:p>
    <w:p w14:paraId="7D35AFFF" w14:textId="77777777" w:rsidR="00BB76F7" w:rsidRDefault="00000000">
      <w:pPr>
        <w:ind w:firstLine="360"/>
        <w:jc w:val="both"/>
      </w:pPr>
      <w:r>
        <w:rPr>
          <w:rFonts w:eastAsia="Arial"/>
        </w:rPr>
        <w:t>Second, commissioning should place greater emphasis on prevention and progression. Section 2 of the Care Act requires local authorities to prevent, delay or reduce care and support needs. Coventry’s own plan proposes recommissioned preventative support, enablement/transition schemes, flexible respite, a high-needs scheme and specialist complex-needs services (Coventry City Council, 2025). These proposals should be implemented with measurable outcomes such as increased independence, fewer failed placements and timely transitions rather than judged only by occupancy or cost.</w:t>
      </w:r>
    </w:p>
    <w:p w14:paraId="0FADD070" w14:textId="77777777" w:rsidR="00BB76F7" w:rsidRDefault="00000000">
      <w:pPr>
        <w:ind w:firstLine="360"/>
        <w:jc w:val="both"/>
      </w:pPr>
      <w:r>
        <w:rPr>
          <w:rFonts w:eastAsia="Arial"/>
        </w:rPr>
        <w:t xml:space="preserve">Third, assessments and service design should be genuinely </w:t>
      </w:r>
      <w:proofErr w:type="gramStart"/>
      <w:r>
        <w:rPr>
          <w:rFonts w:eastAsia="Arial"/>
        </w:rPr>
        <w:t>person-centred</w:t>
      </w:r>
      <w:proofErr w:type="gramEnd"/>
      <w:r>
        <w:rPr>
          <w:rFonts w:eastAsia="Arial"/>
        </w:rPr>
        <w:t>. Under section 9, needs assessments must consider the outcomes the adult wishes to achieve and involve the adult and relevant carers (Care Act 2014, s.9). Co-production with people who use services, carers, advocates, providers and social workers should therefore shape new provision. This is consistent with evidence that person-centred approaches can improve participation and inclusion, although the underlying review evidence was often low or moderate quality (Giummarra, Randjelovic and O’Brien, 2022). A nominal increase in capacity would not solve the problem if new services do not match sensory, behavioural, communication or accommodation needs.</w:t>
      </w:r>
    </w:p>
    <w:p w14:paraId="1A220379" w14:textId="77777777" w:rsidR="00BB76F7" w:rsidRDefault="00000000">
      <w:pPr>
        <w:ind w:firstLine="360"/>
        <w:jc w:val="both"/>
      </w:pPr>
      <w:r>
        <w:rPr>
          <w:rFonts w:eastAsia="Arial"/>
        </w:rPr>
        <w:t>Finally, the Council should strengthen joint planning with NHS partners. Section 3 requires integration where this promotes wellbeing or prevents needs from escalating (Care Act 2014, s.3). Shared planning is particularly important for people whose disability support overlaps with mental-health, behavioural or physical-health needs.</w:t>
      </w:r>
    </w:p>
    <w:p w14:paraId="25EC07EF" w14:textId="77777777" w:rsidR="00BB76F7" w:rsidRDefault="00000000" w:rsidP="00164CB3">
      <w:pPr>
        <w:pStyle w:val="Heading2"/>
      </w:pPr>
      <w:bookmarkStart w:id="4" w:name="_Toc242310245"/>
      <w:r>
        <w:lastRenderedPageBreak/>
        <w:t>Conclusion</w:t>
      </w:r>
      <w:bookmarkEnd w:id="4"/>
    </w:p>
    <w:p w14:paraId="6AF92088" w14:textId="6D19645E" w:rsidR="00BB76F7" w:rsidRDefault="00002B15">
      <w:pPr>
        <w:ind w:firstLine="360"/>
        <w:jc w:val="both"/>
      </w:pPr>
      <w:r w:rsidRPr="00002B15">
        <w:rPr>
          <w:rFonts w:eastAsia="Arial"/>
        </w:rPr>
        <w:t xml:space="preserve">There is evidence of a well-developed disability-support market in Coventry and evidence of specific gaps in availability of </w:t>
      </w:r>
      <w:proofErr w:type="gramStart"/>
      <w:r w:rsidRPr="00002B15">
        <w:rPr>
          <w:rFonts w:eastAsia="Arial"/>
        </w:rPr>
        <w:t>complex-needs</w:t>
      </w:r>
      <w:proofErr w:type="gramEnd"/>
      <w:r w:rsidRPr="00002B15">
        <w:rPr>
          <w:rFonts w:eastAsia="Arial"/>
        </w:rPr>
        <w:t xml:space="preserve"> and suitable </w:t>
      </w:r>
      <w:proofErr w:type="gramStart"/>
      <w:r w:rsidRPr="00002B15">
        <w:rPr>
          <w:rFonts w:eastAsia="Arial"/>
        </w:rPr>
        <w:t>supported-living</w:t>
      </w:r>
      <w:proofErr w:type="gramEnd"/>
      <w:r w:rsidRPr="00002B15">
        <w:rPr>
          <w:rFonts w:eastAsia="Arial"/>
        </w:rPr>
        <w:t xml:space="preserve"> provision. A response to this that meets the requirements of the Care Act should strengthen the right local capacity, safeguarding choice, prevention and independence. The lack of bespoke accommodation, preventative support, the co-production of services and the lack of health-social care integration would be more sustainable in meeting the demand than an increase of generic provision</w:t>
      </w:r>
      <w:r>
        <w:rPr>
          <w:rFonts w:eastAsia="Arial"/>
        </w:rPr>
        <w:t>.</w:t>
      </w:r>
    </w:p>
    <w:p w14:paraId="5B1C1E38" w14:textId="77777777" w:rsidR="00164CB3" w:rsidRDefault="00164CB3">
      <w:pPr>
        <w:spacing w:after="200" w:line="276" w:lineRule="auto"/>
        <w:rPr>
          <w:rFonts w:eastAsiaTheme="majorEastAsia" w:cs="Arial"/>
          <w:b/>
          <w:bCs/>
          <w:sz w:val="26"/>
          <w:szCs w:val="26"/>
        </w:rPr>
      </w:pPr>
      <w:r>
        <w:br w:type="page"/>
      </w:r>
    </w:p>
    <w:p w14:paraId="7261F0E6" w14:textId="3B0F7584" w:rsidR="00BB76F7" w:rsidRDefault="00000000" w:rsidP="00164CB3">
      <w:pPr>
        <w:pStyle w:val="Heading1"/>
      </w:pPr>
      <w:bookmarkStart w:id="5" w:name="_Toc242310246"/>
      <w:r>
        <w:lastRenderedPageBreak/>
        <w:t>Task 2: Essay – Dentistry Services in England</w:t>
      </w:r>
      <w:bookmarkEnd w:id="5"/>
    </w:p>
    <w:p w14:paraId="32638C2F" w14:textId="77777777" w:rsidR="00BB76F7" w:rsidRDefault="00000000" w:rsidP="00164CB3">
      <w:pPr>
        <w:pStyle w:val="Heading2"/>
      </w:pPr>
      <w:bookmarkStart w:id="6" w:name="_Toc242310247"/>
      <w:r>
        <w:t>Introduction</w:t>
      </w:r>
      <w:bookmarkEnd w:id="6"/>
    </w:p>
    <w:p w14:paraId="3005BED1" w14:textId="61381EF3" w:rsidR="00BB76F7" w:rsidRDefault="00002B15">
      <w:pPr>
        <w:ind w:firstLine="360"/>
        <w:jc w:val="both"/>
      </w:pPr>
      <w:r w:rsidRPr="00002B15">
        <w:rPr>
          <w:rFonts w:eastAsia="Arial"/>
        </w:rPr>
        <w:t>Dentistry is a unique component of health care services in England as it includes both the public sector (NHS) and private contractor practices, patient payments and a significant private sector. This essay suggests that the importance of dentistry to the quality of life is not lost, however, there are obstacles in the way to achieving this in an equitable manner due to access and contractual requirements</w:t>
      </w:r>
      <w:r>
        <w:rPr>
          <w:rFonts w:eastAsia="Arial"/>
        </w:rPr>
        <w:t>.</w:t>
      </w:r>
    </w:p>
    <w:p w14:paraId="6776264C" w14:textId="77777777" w:rsidR="00BB76F7" w:rsidRDefault="00000000" w:rsidP="00164CB3">
      <w:pPr>
        <w:pStyle w:val="Heading2"/>
      </w:pPr>
      <w:bookmarkStart w:id="7" w:name="_Toc242310248"/>
      <w:r>
        <w:t>Origins and historical development</w:t>
      </w:r>
      <w:bookmarkEnd w:id="7"/>
    </w:p>
    <w:p w14:paraId="6B728955" w14:textId="77777777" w:rsidR="00002B15" w:rsidRPr="00002B15" w:rsidRDefault="00002B15" w:rsidP="00002B15">
      <w:pPr>
        <w:ind w:firstLine="360"/>
        <w:jc w:val="both"/>
        <w:rPr>
          <w:rFonts w:eastAsia="Arial"/>
        </w:rPr>
      </w:pPr>
      <w:r w:rsidRPr="00002B15">
        <w:rPr>
          <w:rFonts w:eastAsia="Arial"/>
        </w:rPr>
        <w:t xml:space="preserve">The NHS came in on 5 July 1948 and NHS dentistry through the General Dental Service (GDS) (House of Commons Health Committee, 2008; The National Archives, n.d.). In general, almost all dentists who specialized in providing general dental care were independent </w:t>
      </w:r>
      <w:proofErr w:type="gramStart"/>
      <w:r w:rsidRPr="00002B15">
        <w:rPr>
          <w:rFonts w:eastAsia="Arial"/>
        </w:rPr>
        <w:t>contractors</w:t>
      </w:r>
      <w:proofErr w:type="gramEnd"/>
      <w:r w:rsidRPr="00002B15">
        <w:rPr>
          <w:rFonts w:eastAsia="Arial"/>
        </w:rPr>
        <w:t xml:space="preserve"> which has influenced the service to this day. Universal provision caused very high demand for new treatment services which were previously unaffordable, both in terms of their value and cost (House of Commons Health Committee, 2001). Patient charges were added over time and the system stayed developing in lieu of turning into a complete “Public Service” that pays no salaries.</w:t>
      </w:r>
    </w:p>
    <w:p w14:paraId="61860A7E" w14:textId="240B7EC9" w:rsidR="00BB76F7" w:rsidRDefault="00002B15" w:rsidP="00002B15">
      <w:pPr>
        <w:ind w:firstLine="360"/>
        <w:jc w:val="both"/>
      </w:pPr>
      <w:r w:rsidRPr="00002B15">
        <w:rPr>
          <w:rFonts w:eastAsia="Arial"/>
        </w:rPr>
        <w:t xml:space="preserve">In 1990, a large contract adjustment was implemented which incorporated payments for continued care for adults and ‘capitation </w:t>
      </w:r>
      <w:proofErr w:type="gramStart"/>
      <w:r w:rsidRPr="00002B15">
        <w:rPr>
          <w:rFonts w:eastAsia="Arial"/>
        </w:rPr>
        <w:t>payments'</w:t>
      </w:r>
      <w:proofErr w:type="gramEnd"/>
      <w:r w:rsidRPr="00002B15">
        <w:rPr>
          <w:rFonts w:eastAsia="Arial"/>
        </w:rPr>
        <w:t xml:space="preserve"> for children, with the aim of promoting continuation of care (House of Commons Health Committee, 2001). Commissioning changed and the Units of Dental Activity (UDA) system became a key component of the remuneration of the NHS in 2006 (House of Commons Health Committee, 2008). The reform made activity measurement easier </w:t>
      </w:r>
      <w:proofErr w:type="gramStart"/>
      <w:r w:rsidRPr="00002B15">
        <w:rPr>
          <w:rFonts w:eastAsia="Arial"/>
        </w:rPr>
        <w:t>and also</w:t>
      </w:r>
      <w:proofErr w:type="gramEnd"/>
      <w:r w:rsidRPr="00002B15">
        <w:rPr>
          <w:rFonts w:eastAsia="Arial"/>
        </w:rPr>
        <w:t xml:space="preserve"> led to some incentives that are still controversial</w:t>
      </w:r>
      <w:r>
        <w:rPr>
          <w:rFonts w:eastAsia="Arial"/>
        </w:rPr>
        <w:t>.</w:t>
      </w:r>
    </w:p>
    <w:p w14:paraId="6E4D6567" w14:textId="77777777" w:rsidR="00BB76F7" w:rsidRDefault="00000000" w:rsidP="00164CB3">
      <w:pPr>
        <w:pStyle w:val="Heading2"/>
      </w:pPr>
      <w:bookmarkStart w:id="8" w:name="_Toc242310249"/>
      <w:r>
        <w:t>Current functioning and critical evaluation</w:t>
      </w:r>
      <w:bookmarkEnd w:id="8"/>
    </w:p>
    <w:p w14:paraId="2A381442" w14:textId="77777777" w:rsidR="00BB76F7" w:rsidRDefault="00000000">
      <w:pPr>
        <w:ind w:firstLine="360"/>
        <w:jc w:val="both"/>
      </w:pPr>
      <w:r>
        <w:rPr>
          <w:rFonts w:eastAsia="Arial"/>
        </w:rPr>
        <w:t>Today, high-street dentists are generally self-employed providers who may deliver both NHS and private care. Integrated Care Boards commission local NHS dental services, while the Care Quality Commission regulates providers and the General Dental Council regulates dental professionals (Murray et al., 2026). Unlike general practice, there is no permanent NHS dental registration system; completing a course of treatment does not guarantee continuing access to the same dentist (Murray et al., 2026).</w:t>
      </w:r>
    </w:p>
    <w:p w14:paraId="78219E36" w14:textId="77777777" w:rsidR="00002B15" w:rsidRPr="00002B15" w:rsidRDefault="00000000" w:rsidP="00002B15">
      <w:pPr>
        <w:ind w:firstLine="360"/>
        <w:jc w:val="both"/>
        <w:rPr>
          <w:rFonts w:eastAsia="Arial"/>
        </w:rPr>
      </w:pPr>
      <w:r>
        <w:rPr>
          <w:rFonts w:eastAsia="Arial"/>
        </w:rPr>
        <w:lastRenderedPageBreak/>
        <w:t xml:space="preserve">The main weakness is therefore not simply the number of qualified dentists, but the availability and distribution of NHS activity. In 2024/25, 24,655 dentists recorded some NHS activity, yet this represented 42.0 dentists per 100,000 people, below 44.0 per 100,000 in 2014/15. In June 2025, only 39.8% of adults had seen an NHS dentist within the previous two years, compared with 49.4% in September 2019 (Murray et al., 2026). </w:t>
      </w:r>
      <w:r w:rsidR="00002B15" w:rsidRPr="00002B15">
        <w:rPr>
          <w:rFonts w:eastAsia="Arial"/>
        </w:rPr>
        <w:t xml:space="preserve">Funding also fell by about 16% in real terms between 2014/15 and 2024/25. These numbers indicate that workforce size alone can mask NHS </w:t>
      </w:r>
      <w:proofErr w:type="gramStart"/>
      <w:r w:rsidR="00002B15" w:rsidRPr="00002B15">
        <w:rPr>
          <w:rFonts w:eastAsia="Arial"/>
        </w:rPr>
        <w:t>unavailability</w:t>
      </w:r>
      <w:proofErr w:type="gramEnd"/>
      <w:r w:rsidR="00002B15" w:rsidRPr="00002B15">
        <w:rPr>
          <w:rFonts w:eastAsia="Arial"/>
        </w:rPr>
        <w:t xml:space="preserve"> and spatial analysis also reveals </w:t>
      </w:r>
      <w:proofErr w:type="gramStart"/>
      <w:r w:rsidR="00002B15" w:rsidRPr="00002B15">
        <w:rPr>
          <w:rFonts w:eastAsia="Arial"/>
        </w:rPr>
        <w:t>a deprivation</w:t>
      </w:r>
      <w:proofErr w:type="gramEnd"/>
      <w:r w:rsidR="00002B15" w:rsidRPr="00002B15">
        <w:rPr>
          <w:rFonts w:eastAsia="Arial"/>
        </w:rPr>
        <w:t xml:space="preserve"> and urban/rural gradient of access.</w:t>
      </w:r>
    </w:p>
    <w:p w14:paraId="4A400C7F" w14:textId="4A2B35E9" w:rsidR="00BB76F7" w:rsidRDefault="00002B15" w:rsidP="00002B15">
      <w:pPr>
        <w:ind w:firstLine="360"/>
        <w:jc w:val="both"/>
      </w:pPr>
      <w:r w:rsidRPr="00002B15">
        <w:rPr>
          <w:rFonts w:eastAsia="Arial"/>
        </w:rPr>
        <w:t>Another structural disability is the UDA contract</w:t>
      </w:r>
      <w:r>
        <w:rPr>
          <w:rFonts w:eastAsia="Arial"/>
        </w:rPr>
        <w:t>. Providers agree to deliver a fixed amount of activity, while the model has been criticised for inflexibility and for inadequately rewarding complex, time-consuming care (Murray et al., 2026). Reforms introduced in 2026 are therefore significant: urgent-care requirements changed, and new pathways for patients with significant caries or more severe periodontitis include prevention, risk-factor management and self-care support rather than relying solely on restorative treatment (NHS England, 2026). However, because these reforms are recent, their long-term effect on access and inequalities cannot yet be confirmed.</w:t>
      </w:r>
    </w:p>
    <w:p w14:paraId="162C3909" w14:textId="77777777" w:rsidR="00BB76F7" w:rsidRDefault="00000000" w:rsidP="00164CB3">
      <w:pPr>
        <w:pStyle w:val="Heading2"/>
      </w:pPr>
      <w:bookmarkStart w:id="9" w:name="_Toc242310250"/>
      <w:r>
        <w:t xml:space="preserve">Significance </w:t>
      </w:r>
      <w:proofErr w:type="gramStart"/>
      <w:r>
        <w:t>for</w:t>
      </w:r>
      <w:proofErr w:type="gramEnd"/>
      <w:r>
        <w:t xml:space="preserve"> quality of life</w:t>
      </w:r>
      <w:bookmarkEnd w:id="9"/>
    </w:p>
    <w:p w14:paraId="3994BA07" w14:textId="77777777" w:rsidR="00BB76F7" w:rsidRDefault="00000000">
      <w:pPr>
        <w:ind w:firstLine="360"/>
        <w:jc w:val="both"/>
      </w:pPr>
      <w:r>
        <w:rPr>
          <w:rFonts w:eastAsia="Arial"/>
        </w:rPr>
        <w:t>Dentistry affects much more than teeth. The 2023 Adult Oral Health Survey found that 49% of adults experienced an oral-health impact, 43% said oral health negatively affected daily life and 22% experienced a severe impact. Common problems included difficulty eating, pain, self-consciousness and embarrassment (Office for Health Improvement and Disparities, 2025a). Access is also socially patterned: adults with greater socioeconomic advantage reported better oral health and quality of life, while 40% of infrequent attenders said they could not find a dentist and 31% cited inability to afford charges (Office for Health Improvement and Disparities, 2025b). Consequently, dentistry improves wellbeing when accessible, but unequal access can reproduce wider health inequalities.</w:t>
      </w:r>
    </w:p>
    <w:p w14:paraId="19B17B62" w14:textId="77777777" w:rsidR="00BB76F7" w:rsidRDefault="00000000" w:rsidP="00164CB3">
      <w:pPr>
        <w:pStyle w:val="Heading2"/>
      </w:pPr>
      <w:bookmarkStart w:id="10" w:name="_Toc242310251"/>
      <w:r>
        <w:t>Conclusion</w:t>
      </w:r>
      <w:bookmarkEnd w:id="10"/>
    </w:p>
    <w:p w14:paraId="48D7141A" w14:textId="77777777" w:rsidR="00BB76F7" w:rsidRDefault="00000000">
      <w:pPr>
        <w:ind w:firstLine="360"/>
        <w:jc w:val="both"/>
      </w:pPr>
      <w:r>
        <w:rPr>
          <w:rFonts w:eastAsia="Arial"/>
        </w:rPr>
        <w:t xml:space="preserve">NHS dentistry has developed from the 1948 GDS into a mixed and highly contracted service. It remains essential for preventing pain, maintaining function and supporting confidence and social participation, yet access, funding and the UDA model constrain its effectiveness. The 2026 reforms move policy toward urgent access, prevention and complex-needs care, but their </w:t>
      </w:r>
      <w:r>
        <w:rPr>
          <w:rFonts w:eastAsia="Arial"/>
        </w:rPr>
        <w:lastRenderedPageBreak/>
        <w:t>success should ultimately be judged by whether they reduce unequal access as well as increase activity.</w:t>
      </w:r>
    </w:p>
    <w:p w14:paraId="502B6C95" w14:textId="77777777" w:rsidR="00D65D39" w:rsidRDefault="00D65D39">
      <w:pPr>
        <w:spacing w:after="200" w:line="276" w:lineRule="auto"/>
        <w:rPr>
          <w:rFonts w:eastAsiaTheme="majorEastAsia" w:cs="Arial"/>
          <w:b/>
          <w:bCs/>
          <w:sz w:val="26"/>
          <w:szCs w:val="26"/>
        </w:rPr>
      </w:pPr>
      <w:bookmarkStart w:id="11" w:name="_Toc242310252"/>
      <w:r>
        <w:br w:type="page"/>
      </w:r>
    </w:p>
    <w:p w14:paraId="7E2AF771" w14:textId="112EEC49" w:rsidR="00BB76F7" w:rsidRDefault="00000000" w:rsidP="00164CB3">
      <w:pPr>
        <w:pStyle w:val="Heading1"/>
      </w:pPr>
      <w:r>
        <w:lastRenderedPageBreak/>
        <w:t>Reference</w:t>
      </w:r>
      <w:bookmarkEnd w:id="11"/>
    </w:p>
    <w:p w14:paraId="5163ADA0" w14:textId="15EDF56D" w:rsidR="00BB76F7" w:rsidRDefault="00000000">
      <w:pPr>
        <w:spacing w:after="80"/>
        <w:ind w:left="360" w:hanging="360"/>
      </w:pPr>
      <w:r>
        <w:rPr>
          <w:rFonts w:eastAsia="Arial"/>
        </w:rPr>
        <w:t xml:space="preserve">Clark, S.D. (2024) ‘Spatial disparities in access to NHS dentistry: a neighbourhood-level analysis in England’, European Journal of Public Health, 34(5), pp. 854–859. Available at: </w:t>
      </w:r>
      <w:hyperlink r:id="rId8">
        <w:r w:rsidR="00BB76F7">
          <w:rPr>
            <w:color w:val="0563C1"/>
            <w:u w:val="single"/>
          </w:rPr>
          <w:t>https://doi.org/10.1093/eurpub/ckae099</w:t>
        </w:r>
      </w:hyperlink>
      <w:r>
        <w:rPr>
          <w:rFonts w:eastAsia="Arial"/>
        </w:rPr>
        <w:t xml:space="preserve"> </w:t>
      </w:r>
    </w:p>
    <w:p w14:paraId="7808AB76" w14:textId="5A1B5F32" w:rsidR="00BB76F7" w:rsidRDefault="00000000">
      <w:pPr>
        <w:spacing w:after="80"/>
        <w:ind w:left="360" w:hanging="360"/>
        <w:rPr>
          <w:rFonts w:eastAsia="Arial"/>
        </w:rPr>
      </w:pPr>
      <w:r>
        <w:rPr>
          <w:rFonts w:eastAsia="Arial"/>
        </w:rPr>
        <w:t xml:space="preserve">Coventry City Council (n.d.) </w:t>
      </w:r>
      <w:r w:rsidR="00D23E25">
        <w:rPr>
          <w:rFonts w:eastAsia="Arial"/>
        </w:rPr>
        <w:t>Councillor Esther Mary Reeves</w:t>
      </w:r>
      <w:r>
        <w:rPr>
          <w:rFonts w:eastAsia="Arial"/>
        </w:rPr>
        <w:t xml:space="preserve">. Available at: </w:t>
      </w:r>
      <w:hyperlink r:id="rId9" w:history="1">
        <w:r w:rsidR="0099752A" w:rsidRPr="00CF4100">
          <w:rPr>
            <w:rStyle w:val="Hyperlink"/>
            <w:rFonts w:eastAsia="Arial"/>
          </w:rPr>
          <w:t>https://www.coventry.gov.uk/councillors/66/marcus-lapsa</w:t>
        </w:r>
      </w:hyperlink>
    </w:p>
    <w:p w14:paraId="7FA6D3FC" w14:textId="4715BE33" w:rsidR="00BB76F7" w:rsidRDefault="00000000" w:rsidP="0099752A">
      <w:pPr>
        <w:spacing w:after="80"/>
      </w:pPr>
      <w:r>
        <w:rPr>
          <w:rFonts w:eastAsia="Arial"/>
        </w:rPr>
        <w:t xml:space="preserve">Coventry City Council (2024) Market Position Statement 2024–2029. Available at: </w:t>
      </w:r>
      <w:hyperlink r:id="rId10">
        <w:r w:rsidR="00BB76F7">
          <w:rPr>
            <w:color w:val="0563C1"/>
            <w:u w:val="single"/>
          </w:rPr>
          <w:t>https://www.coventry.gov.uk/adult-social-care-strategies-policies-plans/market-position-statement-2024-2029</w:t>
        </w:r>
      </w:hyperlink>
    </w:p>
    <w:p w14:paraId="3E1F7025" w14:textId="282E9048" w:rsidR="00BB76F7" w:rsidRDefault="00000000">
      <w:pPr>
        <w:spacing w:after="80"/>
        <w:ind w:left="360" w:hanging="360"/>
      </w:pPr>
      <w:r>
        <w:rPr>
          <w:rFonts w:eastAsia="Arial"/>
        </w:rPr>
        <w:t xml:space="preserve">Coventry City Council (2025) Learning Disability and Autism Market Development Plan 2025 to 2030. Available at: </w:t>
      </w:r>
      <w:hyperlink r:id="rId11">
        <w:r w:rsidR="00BB76F7">
          <w:rPr>
            <w:color w:val="0563C1"/>
            <w:u w:val="single"/>
          </w:rPr>
          <w:t>https://www.coventry.gov.uk/adult-social-care-strategies-policies-plans/learning-disability-autism-market-development-plan-2025-2030</w:t>
        </w:r>
      </w:hyperlink>
      <w:r>
        <w:rPr>
          <w:rFonts w:eastAsia="Arial"/>
        </w:rPr>
        <w:t xml:space="preserve"> </w:t>
      </w:r>
    </w:p>
    <w:p w14:paraId="571E102F" w14:textId="4FF1A54B" w:rsidR="00BB76F7" w:rsidRDefault="00000000">
      <w:pPr>
        <w:spacing w:after="80"/>
        <w:ind w:left="360" w:hanging="360"/>
      </w:pPr>
      <w:r>
        <w:rPr>
          <w:rFonts w:eastAsia="Arial"/>
        </w:rPr>
        <w:t xml:space="preserve">Giummarra, M.J., Randjelovic, I. and O’Brien, L. (2022) ‘Interventions for social and community participation for adults with intellectual disability, psychosocial disability or on the autism spectrum: An umbrella systematic review’, Frontiers in Rehabilitation Sciences, 3, 935473. Available at: </w:t>
      </w:r>
      <w:hyperlink r:id="rId12">
        <w:r w:rsidR="00BB76F7">
          <w:rPr>
            <w:color w:val="0563C1"/>
            <w:u w:val="single"/>
          </w:rPr>
          <w:t>https://doi.org/10.3389/fresc.2022.935473</w:t>
        </w:r>
      </w:hyperlink>
      <w:r>
        <w:rPr>
          <w:rFonts w:eastAsia="Arial"/>
        </w:rPr>
        <w:t xml:space="preserve"> </w:t>
      </w:r>
    </w:p>
    <w:p w14:paraId="375FC5A0" w14:textId="4E35F51C" w:rsidR="00BB76F7" w:rsidRDefault="00000000">
      <w:pPr>
        <w:spacing w:after="80"/>
        <w:ind w:left="360" w:hanging="360"/>
      </w:pPr>
      <w:r>
        <w:rPr>
          <w:rFonts w:eastAsia="Arial"/>
        </w:rPr>
        <w:t xml:space="preserve">Great Britain (2014) Care Act 2014, c.23. London: The Stationery Office. Available at: </w:t>
      </w:r>
      <w:hyperlink r:id="rId13">
        <w:r w:rsidR="00BB76F7">
          <w:rPr>
            <w:color w:val="0563C1"/>
            <w:u w:val="single"/>
          </w:rPr>
          <w:t>https://www.legislation.gov.uk/ukpga/2014/23/contents</w:t>
        </w:r>
      </w:hyperlink>
      <w:r>
        <w:rPr>
          <w:rFonts w:eastAsia="Arial"/>
        </w:rPr>
        <w:t xml:space="preserve"> </w:t>
      </w:r>
    </w:p>
    <w:p w14:paraId="702D49D6" w14:textId="02A3ADFD" w:rsidR="00BB76F7" w:rsidRDefault="00000000">
      <w:pPr>
        <w:spacing w:after="80"/>
        <w:ind w:left="360" w:hanging="360"/>
      </w:pPr>
      <w:r>
        <w:rPr>
          <w:rFonts w:eastAsia="Arial"/>
        </w:rPr>
        <w:t xml:space="preserve">House of Commons Health Committee (2001) Access to NHS Dentistry: First Report of Session 2000–01, HC 247. London: The Stationery Office. Available at: </w:t>
      </w:r>
      <w:hyperlink r:id="rId14">
        <w:r w:rsidR="00BB76F7">
          <w:rPr>
            <w:color w:val="0563C1"/>
            <w:u w:val="single"/>
          </w:rPr>
          <w:t>https://publications.parliament.uk/pa/cm200001/cmselect/cmhealth/247/24703.htm</w:t>
        </w:r>
      </w:hyperlink>
      <w:r>
        <w:rPr>
          <w:rFonts w:eastAsia="Arial"/>
        </w:rPr>
        <w:t xml:space="preserve"> </w:t>
      </w:r>
    </w:p>
    <w:p w14:paraId="14769839" w14:textId="7B5C0D65" w:rsidR="00BB76F7" w:rsidRDefault="00000000">
      <w:pPr>
        <w:spacing w:after="80"/>
        <w:ind w:left="360" w:hanging="360"/>
      </w:pPr>
      <w:r>
        <w:rPr>
          <w:rFonts w:eastAsia="Arial"/>
        </w:rPr>
        <w:t xml:space="preserve">House of Commons Health Committee (2008) Dental Services: Fifth Report of Session 2007–08, HC 289-I. London: The Stationery Office. Available at: </w:t>
      </w:r>
      <w:hyperlink r:id="rId15">
        <w:r w:rsidR="00BB76F7">
          <w:rPr>
            <w:color w:val="0563C1"/>
            <w:u w:val="single"/>
          </w:rPr>
          <w:t>https://publications.parliament.uk/pa/cm200708/cmselect/cmhealth/289/28905.htm</w:t>
        </w:r>
      </w:hyperlink>
      <w:r>
        <w:rPr>
          <w:rFonts w:eastAsia="Arial"/>
        </w:rPr>
        <w:t xml:space="preserve"> </w:t>
      </w:r>
    </w:p>
    <w:p w14:paraId="24BA7164" w14:textId="432B4CD1" w:rsidR="00BB76F7" w:rsidRDefault="00000000">
      <w:pPr>
        <w:spacing w:after="80"/>
        <w:ind w:left="360" w:hanging="360"/>
      </w:pPr>
      <w:r>
        <w:rPr>
          <w:rFonts w:eastAsia="Arial"/>
        </w:rPr>
        <w:t xml:space="preserve">Murray, A., Gajjar, D., Garratt, K. and Danechi, S. (2026) NHS dentistry in England. House of Commons Library Research Briefing CBP-9597. Available at: </w:t>
      </w:r>
      <w:hyperlink r:id="rId16">
        <w:r w:rsidR="00BB76F7">
          <w:rPr>
            <w:color w:val="0563C1"/>
            <w:u w:val="single"/>
          </w:rPr>
          <w:t>https://commonslibrary.parliament.uk/research-briefings/cbp-9597/</w:t>
        </w:r>
      </w:hyperlink>
      <w:r>
        <w:rPr>
          <w:rFonts w:eastAsia="Arial"/>
        </w:rPr>
        <w:t xml:space="preserve"> </w:t>
      </w:r>
    </w:p>
    <w:p w14:paraId="1F9CC306" w14:textId="7DD6544E" w:rsidR="00BB76F7" w:rsidRDefault="00000000">
      <w:pPr>
        <w:spacing w:after="80"/>
        <w:ind w:left="360" w:hanging="360"/>
      </w:pPr>
      <w:r>
        <w:rPr>
          <w:rFonts w:eastAsia="Arial"/>
        </w:rPr>
        <w:t xml:space="preserve">NHS England (2026) NHS dentistry: care pathways guidance. Available at: </w:t>
      </w:r>
      <w:hyperlink r:id="rId17">
        <w:r w:rsidR="00BB76F7">
          <w:rPr>
            <w:color w:val="0563C1"/>
            <w:u w:val="single"/>
          </w:rPr>
          <w:t>https://www.england.nhs.uk/long-read/nhs-dentistry-care-pathways-guidance/</w:t>
        </w:r>
      </w:hyperlink>
    </w:p>
    <w:p w14:paraId="5BF291C6" w14:textId="53E6F40C" w:rsidR="00BB76F7" w:rsidRDefault="00000000">
      <w:pPr>
        <w:spacing w:after="80"/>
        <w:ind w:left="360" w:hanging="360"/>
      </w:pPr>
      <w:r>
        <w:rPr>
          <w:rFonts w:eastAsia="Arial"/>
        </w:rPr>
        <w:t xml:space="preserve">Office for Health Improvement and Disparities (2025a) Adult oral health survey 2023: Report summary. Available at: </w:t>
      </w:r>
      <w:hyperlink r:id="rId18">
        <w:r w:rsidR="00BB76F7">
          <w:rPr>
            <w:color w:val="0563C1"/>
            <w:u w:val="single"/>
          </w:rPr>
          <w:t>https://www.gov.uk/government/statistics/adult-oral-health-survey-2023/report-summary</w:t>
        </w:r>
      </w:hyperlink>
      <w:r>
        <w:rPr>
          <w:rFonts w:eastAsia="Arial"/>
        </w:rPr>
        <w:t xml:space="preserve"> </w:t>
      </w:r>
    </w:p>
    <w:p w14:paraId="03CF358C" w14:textId="0B506F05" w:rsidR="00BB76F7" w:rsidRDefault="00000000">
      <w:pPr>
        <w:spacing w:after="80"/>
        <w:ind w:left="360" w:hanging="360"/>
      </w:pPr>
      <w:r>
        <w:rPr>
          <w:rFonts w:eastAsia="Arial"/>
        </w:rPr>
        <w:lastRenderedPageBreak/>
        <w:t xml:space="preserve">Office for Health Improvement and Disparities (2025b) Adult oral health survey 2023: Service use and barriers to accessing care. Available at: </w:t>
      </w:r>
      <w:hyperlink r:id="rId19">
        <w:r w:rsidR="00BB76F7">
          <w:rPr>
            <w:color w:val="0563C1"/>
            <w:u w:val="single"/>
          </w:rPr>
          <w:t>https://www.gov.uk/government/statistics/adult-oral-health-survey-2023/service-use-and-barriers-to-accessing-care</w:t>
        </w:r>
      </w:hyperlink>
      <w:r>
        <w:rPr>
          <w:rFonts w:eastAsia="Arial"/>
        </w:rPr>
        <w:t xml:space="preserve"> </w:t>
      </w:r>
    </w:p>
    <w:p w14:paraId="3F45DC74" w14:textId="6CE0D78D" w:rsidR="003B35BE" w:rsidRDefault="00000000">
      <w:pPr>
        <w:spacing w:after="80"/>
        <w:ind w:left="360" w:hanging="360"/>
        <w:rPr>
          <w:rFonts w:eastAsia="Arial"/>
        </w:rPr>
      </w:pPr>
      <w:r>
        <w:rPr>
          <w:rFonts w:eastAsia="Arial"/>
        </w:rPr>
        <w:t xml:space="preserve">The National Archives (n.d.) </w:t>
      </w:r>
      <w:r w:rsidR="00A908E4" w:rsidRPr="00A908E4">
        <w:rPr>
          <w:rFonts w:eastAsia="Arial"/>
        </w:rPr>
        <w:t>The foundation of the NHS</w:t>
      </w:r>
      <w:r>
        <w:rPr>
          <w:rFonts w:eastAsia="Arial"/>
        </w:rPr>
        <w:t xml:space="preserve">. Available at: </w:t>
      </w:r>
      <w:hyperlink r:id="rId20">
        <w:r w:rsidR="003B35BE">
          <w:rPr>
            <w:color w:val="0563C1"/>
            <w:u w:val="single"/>
          </w:rPr>
          <w:t>https://www.nationalarchives.gov.uk/education/resources/significant-events/birth-of-the-nhs-1948/</w:t>
        </w:r>
      </w:hyperlink>
    </w:p>
    <w:p w14:paraId="5BC00FC7" w14:textId="77777777" w:rsidR="003B35BE" w:rsidRDefault="003B35BE">
      <w:pPr>
        <w:spacing w:after="200" w:line="276" w:lineRule="auto"/>
        <w:rPr>
          <w:rFonts w:eastAsia="Arial"/>
        </w:rPr>
      </w:pPr>
      <w:r>
        <w:rPr>
          <w:rFonts w:eastAsia="Arial"/>
        </w:rPr>
        <w:br w:type="page"/>
      </w:r>
    </w:p>
    <w:p w14:paraId="1B40CCD5" w14:textId="6F1C7E1B" w:rsidR="003B35BE" w:rsidRPr="003B35BE" w:rsidRDefault="003B35BE" w:rsidP="003B35BE">
      <w:pPr>
        <w:pStyle w:val="Heading1"/>
        <w:rPr>
          <w:rFonts w:eastAsiaTheme="minorEastAsia"/>
        </w:rPr>
      </w:pPr>
      <w:r w:rsidRPr="00EB5751">
        <w:lastRenderedPageBreak/>
        <w:t>Use of Generative AI in Assessment</w:t>
      </w:r>
      <w:r w:rsidRPr="00EB5751">
        <w:rPr>
          <w:rFonts w:eastAsia="Calibri"/>
        </w:rPr>
        <w:tab/>
      </w:r>
      <w:r w:rsidRPr="00EB5751">
        <w:rPr>
          <w:rFonts w:eastAsia="Calibri"/>
        </w:rPr>
        <w:tab/>
      </w:r>
      <w:r w:rsidRPr="00EB5751">
        <w:rPr>
          <w:rFonts w:eastAsia="Calibri"/>
        </w:rPr>
        <w:tab/>
      </w:r>
      <w:r w:rsidRPr="00EB5751">
        <w:rPr>
          <w:rFonts w:eastAsia="Calibri"/>
        </w:rPr>
        <w:tab/>
      </w:r>
      <w:r w:rsidRPr="00EB5751">
        <w:rPr>
          <w:rFonts w:eastAsia="Calibri"/>
        </w:rPr>
        <w:tab/>
      </w:r>
      <w:r w:rsidRPr="00EB5751">
        <w:rPr>
          <w:rFonts w:eastAsia="Calibri"/>
        </w:rPr>
        <w:tab/>
      </w:r>
      <w:r w:rsidRPr="00EB5751">
        <w:rPr>
          <w:rFonts w:eastAsia="Calibri"/>
        </w:rPr>
        <w:tab/>
      </w:r>
    </w:p>
    <w:tbl>
      <w:tblPr>
        <w:tblStyle w:val="TableGrid"/>
        <w:tblW w:w="9542" w:type="dxa"/>
        <w:jc w:val="center"/>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9"/>
        <w:gridCol w:w="5682"/>
        <w:gridCol w:w="1491"/>
      </w:tblGrid>
      <w:tr w:rsidR="003B35BE" w:rsidRPr="003B35BE" w14:paraId="790FDC11" w14:textId="77777777" w:rsidTr="003B35BE">
        <w:trPr>
          <w:trHeight w:val="281"/>
          <w:jc w:val="center"/>
        </w:trPr>
        <w:tc>
          <w:tcPr>
            <w:tcW w:w="2369" w:type="dxa"/>
            <w:tcMar>
              <w:left w:w="105" w:type="dxa"/>
              <w:right w:w="105" w:type="dxa"/>
            </w:tcMar>
          </w:tcPr>
          <w:p w14:paraId="1FFED5D5" w14:textId="77777777" w:rsidR="003B35BE" w:rsidRPr="003B35BE" w:rsidRDefault="003B35BE" w:rsidP="003B35BE">
            <w:pPr>
              <w:spacing w:after="0" w:line="259" w:lineRule="auto"/>
              <w:rPr>
                <w:rFonts w:eastAsia="Calibri" w:cs="Arial"/>
              </w:rPr>
            </w:pPr>
            <w:r w:rsidRPr="003B35BE">
              <w:rPr>
                <w:rFonts w:eastAsia="Calibri" w:cs="Arial"/>
              </w:rPr>
              <w:t>RESEARCH</w:t>
            </w:r>
          </w:p>
        </w:tc>
        <w:tc>
          <w:tcPr>
            <w:tcW w:w="5682" w:type="dxa"/>
            <w:tcMar>
              <w:left w:w="105" w:type="dxa"/>
              <w:right w:w="105" w:type="dxa"/>
            </w:tcMar>
          </w:tcPr>
          <w:p w14:paraId="0E5E06AD" w14:textId="77777777" w:rsidR="003B35BE" w:rsidRPr="003B35BE" w:rsidRDefault="003B35BE" w:rsidP="003B35BE">
            <w:pPr>
              <w:spacing w:after="0" w:line="259" w:lineRule="auto"/>
              <w:rPr>
                <w:rFonts w:eastAsia="Calibri" w:cs="Arial"/>
              </w:rPr>
            </w:pPr>
            <w:r w:rsidRPr="003B35BE">
              <w:rPr>
                <w:rFonts w:eastAsia="Calibri" w:cs="Arial"/>
              </w:rPr>
              <w:t>For this assessment, you can use Generative AI to support you in research, including searching for bibliography, using tools to summarise, compare and interrogate materials.</w:t>
            </w:r>
          </w:p>
        </w:tc>
        <w:tc>
          <w:tcPr>
            <w:tcW w:w="1491" w:type="dxa"/>
          </w:tcPr>
          <w:p w14:paraId="4832DA76" w14:textId="77777777" w:rsidR="003B35BE" w:rsidRPr="003B35BE" w:rsidRDefault="003B35BE" w:rsidP="003B35BE">
            <w:pPr>
              <w:spacing w:after="0"/>
              <w:rPr>
                <w:rFonts w:eastAsia="Calibri" w:cs="Arial"/>
              </w:rPr>
            </w:pPr>
            <w:r w:rsidRPr="003B35BE">
              <w:rPr>
                <w:rFonts w:eastAsia="Calibri" w:cs="Arial"/>
              </w:rPr>
              <w:t xml:space="preserve">Yes </w:t>
            </w:r>
            <w:r w:rsidRPr="003B35BE">
              <w:rPr>
                <w:rFonts w:ascii="Segoe UI Symbol" w:hAnsi="Segoe UI Symbol" w:cs="Segoe UI Symbol"/>
              </w:rPr>
              <w:t>☐</w:t>
            </w:r>
          </w:p>
          <w:p w14:paraId="61F3C2DF" w14:textId="77777777" w:rsidR="003B35BE" w:rsidRPr="003B35BE" w:rsidRDefault="003B35BE" w:rsidP="003B35BE">
            <w:pPr>
              <w:spacing w:after="0"/>
              <w:rPr>
                <w:rFonts w:eastAsia="Calibri" w:cs="Arial"/>
              </w:rPr>
            </w:pPr>
          </w:p>
          <w:p w14:paraId="5F87D554" w14:textId="77777777" w:rsidR="003B35BE" w:rsidRPr="003B35BE" w:rsidRDefault="003B35BE" w:rsidP="003B35BE">
            <w:pPr>
              <w:spacing w:after="0"/>
              <w:rPr>
                <w:rFonts w:eastAsia="Calibri" w:cs="Arial"/>
              </w:rPr>
            </w:pPr>
            <w:proofErr w:type="gramStart"/>
            <w:r w:rsidRPr="003B35BE">
              <w:rPr>
                <w:rFonts w:eastAsia="Calibri" w:cs="Arial"/>
              </w:rPr>
              <w:t xml:space="preserve">No  </w:t>
            </w:r>
            <w:r w:rsidRPr="003B35BE">
              <w:rPr>
                <w:rFonts w:ascii="Segoe UI Symbol" w:hAnsi="Segoe UI Symbol" w:cs="Segoe UI Symbol"/>
              </w:rPr>
              <w:t>☒</w:t>
            </w:r>
            <w:proofErr w:type="gramEnd"/>
          </w:p>
        </w:tc>
      </w:tr>
      <w:tr w:rsidR="003B35BE" w:rsidRPr="003B35BE" w14:paraId="6B43E7CA" w14:textId="77777777" w:rsidTr="003B35BE">
        <w:trPr>
          <w:trHeight w:val="891"/>
          <w:jc w:val="center"/>
        </w:trPr>
        <w:tc>
          <w:tcPr>
            <w:tcW w:w="2369" w:type="dxa"/>
            <w:tcMar>
              <w:left w:w="105" w:type="dxa"/>
              <w:right w:w="105" w:type="dxa"/>
            </w:tcMar>
          </w:tcPr>
          <w:p w14:paraId="707A6F3C" w14:textId="77777777" w:rsidR="003B35BE" w:rsidRPr="003B35BE" w:rsidRDefault="003B35BE" w:rsidP="003B35BE">
            <w:pPr>
              <w:spacing w:after="0" w:line="259" w:lineRule="auto"/>
              <w:rPr>
                <w:rFonts w:eastAsia="Calibri" w:cs="Arial"/>
              </w:rPr>
            </w:pPr>
            <w:r w:rsidRPr="003B35BE">
              <w:rPr>
                <w:rFonts w:eastAsia="Calibri" w:cs="Arial"/>
              </w:rPr>
              <w:t>STRUCTURE</w:t>
            </w:r>
          </w:p>
        </w:tc>
        <w:tc>
          <w:tcPr>
            <w:tcW w:w="5682" w:type="dxa"/>
            <w:tcMar>
              <w:left w:w="105" w:type="dxa"/>
              <w:right w:w="105" w:type="dxa"/>
            </w:tcMar>
          </w:tcPr>
          <w:p w14:paraId="240A42C4" w14:textId="77777777" w:rsidR="003B35BE" w:rsidRPr="003B35BE" w:rsidRDefault="003B35BE" w:rsidP="003B35BE">
            <w:pPr>
              <w:spacing w:after="0" w:line="259" w:lineRule="auto"/>
              <w:rPr>
                <w:rFonts w:eastAsia="Calibri" w:cs="Arial"/>
              </w:rPr>
            </w:pPr>
            <w:r w:rsidRPr="003B35BE">
              <w:rPr>
                <w:rFonts w:eastAsia="Calibri" w:cs="Arial"/>
              </w:rPr>
              <w:t>For this assessment, you can use Generative AI to support you in structuring your submission, including creating a draft argument structure, identifying parts and headings, etc.</w:t>
            </w:r>
          </w:p>
        </w:tc>
        <w:tc>
          <w:tcPr>
            <w:tcW w:w="1491" w:type="dxa"/>
          </w:tcPr>
          <w:p w14:paraId="38B01752" w14:textId="4DB63B84" w:rsidR="003B35BE" w:rsidRPr="003B35BE" w:rsidRDefault="003B35BE" w:rsidP="003B35BE">
            <w:pPr>
              <w:spacing w:after="0"/>
              <w:rPr>
                <w:rFonts w:eastAsia="Calibri" w:cs="Arial"/>
              </w:rPr>
            </w:pPr>
            <w:r w:rsidRPr="003B35BE">
              <w:rPr>
                <w:rFonts w:eastAsia="Calibri" w:cs="Arial"/>
              </w:rPr>
              <w:t xml:space="preserve">Yes </w:t>
            </w:r>
            <w:r w:rsidRPr="003B35BE">
              <w:rPr>
                <w:rFonts w:ascii="Segoe UI Symbol" w:hAnsi="Segoe UI Symbol" w:cs="Segoe UI Symbol"/>
              </w:rPr>
              <w:t>☒</w:t>
            </w:r>
          </w:p>
          <w:p w14:paraId="567B6E84" w14:textId="77777777" w:rsidR="003B35BE" w:rsidRPr="003B35BE" w:rsidRDefault="003B35BE" w:rsidP="003B35BE">
            <w:pPr>
              <w:spacing w:after="0"/>
              <w:rPr>
                <w:rFonts w:eastAsia="Calibri" w:cs="Arial"/>
              </w:rPr>
            </w:pPr>
          </w:p>
          <w:p w14:paraId="584BB3F7" w14:textId="7588938A" w:rsidR="003B35BE" w:rsidRPr="003B35BE" w:rsidRDefault="003B35BE" w:rsidP="003B35BE">
            <w:pPr>
              <w:spacing w:after="0"/>
              <w:rPr>
                <w:rFonts w:eastAsia="Calibri" w:cs="Arial"/>
              </w:rPr>
            </w:pPr>
            <w:proofErr w:type="gramStart"/>
            <w:r w:rsidRPr="003B35BE">
              <w:rPr>
                <w:rFonts w:eastAsia="Calibri" w:cs="Arial"/>
              </w:rPr>
              <w:t xml:space="preserve">No  </w:t>
            </w:r>
            <w:r w:rsidRPr="003B35BE">
              <w:rPr>
                <w:rFonts w:ascii="Segoe UI Symbol" w:hAnsi="Segoe UI Symbol" w:cs="Segoe UI Symbol"/>
              </w:rPr>
              <w:t>☐</w:t>
            </w:r>
            <w:proofErr w:type="gramEnd"/>
          </w:p>
        </w:tc>
      </w:tr>
      <w:tr w:rsidR="003B35BE" w:rsidRPr="003B35BE" w14:paraId="1A221884" w14:textId="77777777" w:rsidTr="003B35BE">
        <w:trPr>
          <w:trHeight w:val="281"/>
          <w:jc w:val="center"/>
        </w:trPr>
        <w:tc>
          <w:tcPr>
            <w:tcW w:w="2369" w:type="dxa"/>
            <w:tcMar>
              <w:left w:w="105" w:type="dxa"/>
              <w:right w:w="105" w:type="dxa"/>
            </w:tcMar>
          </w:tcPr>
          <w:p w14:paraId="27202127" w14:textId="77777777" w:rsidR="003B35BE" w:rsidRPr="003B35BE" w:rsidRDefault="003B35BE" w:rsidP="003B35BE">
            <w:pPr>
              <w:spacing w:after="0" w:line="259" w:lineRule="auto"/>
              <w:rPr>
                <w:rFonts w:eastAsia="Calibri" w:cs="Arial"/>
              </w:rPr>
            </w:pPr>
            <w:r w:rsidRPr="003B35BE">
              <w:rPr>
                <w:rFonts w:eastAsia="Calibri" w:cs="Arial"/>
              </w:rPr>
              <w:t>PROOFREADING</w:t>
            </w:r>
          </w:p>
        </w:tc>
        <w:tc>
          <w:tcPr>
            <w:tcW w:w="5682" w:type="dxa"/>
            <w:tcMar>
              <w:left w:w="105" w:type="dxa"/>
              <w:right w:w="105" w:type="dxa"/>
            </w:tcMar>
          </w:tcPr>
          <w:p w14:paraId="16A496E2" w14:textId="77777777" w:rsidR="003B35BE" w:rsidRPr="003B35BE" w:rsidRDefault="003B35BE" w:rsidP="003B35BE">
            <w:pPr>
              <w:spacing w:after="0" w:line="259" w:lineRule="auto"/>
              <w:rPr>
                <w:rFonts w:eastAsia="Calibri" w:cs="Arial"/>
              </w:rPr>
            </w:pPr>
            <w:r w:rsidRPr="003B35BE">
              <w:rPr>
                <w:rFonts w:eastAsia="Calibri" w:cs="Arial"/>
              </w:rPr>
              <w:t>For this assessment, you can use Generative AI to check your own text/creation for grammatical and syntactical mistakes, including rephrasing of your own work within specific standards.</w:t>
            </w:r>
          </w:p>
        </w:tc>
        <w:tc>
          <w:tcPr>
            <w:tcW w:w="1491" w:type="dxa"/>
          </w:tcPr>
          <w:p w14:paraId="433D1B0B" w14:textId="77777777" w:rsidR="003B35BE" w:rsidRPr="003B35BE" w:rsidRDefault="003B35BE" w:rsidP="003B35BE">
            <w:pPr>
              <w:spacing w:after="0"/>
              <w:rPr>
                <w:rFonts w:eastAsia="Calibri" w:cs="Arial"/>
              </w:rPr>
            </w:pPr>
            <w:r w:rsidRPr="003B35BE">
              <w:rPr>
                <w:rFonts w:eastAsia="Calibri" w:cs="Arial"/>
              </w:rPr>
              <w:t xml:space="preserve">Yes </w:t>
            </w:r>
            <w:r w:rsidRPr="003B35BE">
              <w:rPr>
                <w:rFonts w:ascii="Segoe UI Symbol" w:hAnsi="Segoe UI Symbol" w:cs="Segoe UI Symbol"/>
              </w:rPr>
              <w:t>☒</w:t>
            </w:r>
          </w:p>
          <w:p w14:paraId="1A433EA7" w14:textId="77777777" w:rsidR="003B35BE" w:rsidRPr="003B35BE" w:rsidRDefault="003B35BE" w:rsidP="003B35BE">
            <w:pPr>
              <w:spacing w:after="0"/>
              <w:rPr>
                <w:rFonts w:eastAsia="Calibri" w:cs="Arial"/>
              </w:rPr>
            </w:pPr>
          </w:p>
          <w:p w14:paraId="20C7555A" w14:textId="77777777" w:rsidR="003B35BE" w:rsidRPr="003B35BE" w:rsidRDefault="003B35BE" w:rsidP="003B35BE">
            <w:pPr>
              <w:spacing w:after="0"/>
              <w:rPr>
                <w:rFonts w:eastAsia="Calibri" w:cs="Arial"/>
              </w:rPr>
            </w:pPr>
            <w:proofErr w:type="gramStart"/>
            <w:r w:rsidRPr="003B35BE">
              <w:rPr>
                <w:rFonts w:eastAsia="Calibri" w:cs="Arial"/>
              </w:rPr>
              <w:t xml:space="preserve">No  </w:t>
            </w:r>
            <w:r w:rsidRPr="003B35BE">
              <w:rPr>
                <w:rFonts w:ascii="Segoe UI Symbol" w:hAnsi="Segoe UI Symbol" w:cs="Segoe UI Symbol"/>
              </w:rPr>
              <w:t>☐</w:t>
            </w:r>
            <w:proofErr w:type="gramEnd"/>
          </w:p>
        </w:tc>
      </w:tr>
      <w:tr w:rsidR="003B35BE" w:rsidRPr="003B35BE" w14:paraId="00EAE48E" w14:textId="77777777" w:rsidTr="003B35BE">
        <w:trPr>
          <w:trHeight w:val="281"/>
          <w:jc w:val="center"/>
        </w:trPr>
        <w:tc>
          <w:tcPr>
            <w:tcW w:w="2369" w:type="dxa"/>
            <w:tcMar>
              <w:left w:w="105" w:type="dxa"/>
              <w:right w:w="105" w:type="dxa"/>
            </w:tcMar>
          </w:tcPr>
          <w:p w14:paraId="291349FC" w14:textId="77777777" w:rsidR="003B35BE" w:rsidRPr="003B35BE" w:rsidRDefault="003B35BE" w:rsidP="003B35BE">
            <w:pPr>
              <w:spacing w:after="0" w:line="259" w:lineRule="auto"/>
              <w:rPr>
                <w:rFonts w:eastAsia="Calibri" w:cs="Arial"/>
              </w:rPr>
            </w:pPr>
            <w:r w:rsidRPr="003B35BE">
              <w:rPr>
                <w:rFonts w:eastAsia="Calibri" w:cs="Arial"/>
              </w:rPr>
              <w:t>WRITING</w:t>
            </w:r>
          </w:p>
        </w:tc>
        <w:tc>
          <w:tcPr>
            <w:tcW w:w="5682" w:type="dxa"/>
            <w:tcMar>
              <w:left w:w="105" w:type="dxa"/>
              <w:right w:w="105" w:type="dxa"/>
            </w:tcMar>
          </w:tcPr>
          <w:p w14:paraId="640A0DB4" w14:textId="77777777" w:rsidR="003B35BE" w:rsidRPr="003B35BE" w:rsidRDefault="003B35BE" w:rsidP="003B35BE">
            <w:pPr>
              <w:spacing w:after="0" w:line="259" w:lineRule="auto"/>
              <w:rPr>
                <w:rFonts w:eastAsia="Calibri" w:cs="Arial"/>
              </w:rPr>
            </w:pPr>
            <w:r w:rsidRPr="003B35BE">
              <w:rPr>
                <w:rFonts w:eastAsia="Calibri" w:cs="Arial"/>
              </w:rPr>
              <w:t>For this assessment, you can use Generative AI to create text for submission.</w:t>
            </w:r>
          </w:p>
        </w:tc>
        <w:tc>
          <w:tcPr>
            <w:tcW w:w="1491" w:type="dxa"/>
          </w:tcPr>
          <w:p w14:paraId="70BCA554" w14:textId="77777777" w:rsidR="003B35BE" w:rsidRPr="003B35BE" w:rsidRDefault="003B35BE" w:rsidP="003B35BE">
            <w:pPr>
              <w:spacing w:after="0"/>
              <w:rPr>
                <w:rFonts w:eastAsia="Calibri" w:cs="Arial"/>
              </w:rPr>
            </w:pPr>
            <w:r w:rsidRPr="003B35BE">
              <w:rPr>
                <w:rFonts w:eastAsia="Calibri" w:cs="Arial"/>
              </w:rPr>
              <w:t xml:space="preserve">Yes </w:t>
            </w:r>
            <w:r w:rsidRPr="003B35BE">
              <w:rPr>
                <w:rFonts w:ascii="Segoe UI Symbol" w:hAnsi="Segoe UI Symbol" w:cs="Segoe UI Symbol"/>
              </w:rPr>
              <w:t>☐</w:t>
            </w:r>
          </w:p>
          <w:p w14:paraId="101F79C9" w14:textId="77777777" w:rsidR="003B35BE" w:rsidRPr="003B35BE" w:rsidRDefault="003B35BE" w:rsidP="003B35BE">
            <w:pPr>
              <w:spacing w:after="0"/>
              <w:rPr>
                <w:rFonts w:eastAsia="Calibri" w:cs="Arial"/>
              </w:rPr>
            </w:pPr>
          </w:p>
          <w:p w14:paraId="228FC7A6" w14:textId="77777777" w:rsidR="003B35BE" w:rsidRPr="003B35BE" w:rsidRDefault="003B35BE" w:rsidP="003B35BE">
            <w:pPr>
              <w:spacing w:after="0"/>
              <w:rPr>
                <w:rFonts w:eastAsia="Calibri" w:cs="Arial"/>
              </w:rPr>
            </w:pPr>
            <w:proofErr w:type="gramStart"/>
            <w:r w:rsidRPr="003B35BE">
              <w:rPr>
                <w:rFonts w:eastAsia="Calibri" w:cs="Arial"/>
              </w:rPr>
              <w:t xml:space="preserve">No  </w:t>
            </w:r>
            <w:r w:rsidRPr="003B35BE">
              <w:rPr>
                <w:rFonts w:ascii="Segoe UI Symbol" w:hAnsi="Segoe UI Symbol" w:cs="Segoe UI Symbol"/>
              </w:rPr>
              <w:t>☒</w:t>
            </w:r>
            <w:proofErr w:type="gramEnd"/>
          </w:p>
        </w:tc>
      </w:tr>
      <w:tr w:rsidR="003B35BE" w:rsidRPr="003B35BE" w14:paraId="338704B2" w14:textId="77777777" w:rsidTr="003B35BE">
        <w:trPr>
          <w:trHeight w:val="281"/>
          <w:jc w:val="center"/>
        </w:trPr>
        <w:tc>
          <w:tcPr>
            <w:tcW w:w="2369" w:type="dxa"/>
            <w:tcMar>
              <w:left w:w="105" w:type="dxa"/>
              <w:right w:w="105" w:type="dxa"/>
            </w:tcMar>
          </w:tcPr>
          <w:p w14:paraId="4E4EC65F" w14:textId="77777777" w:rsidR="003B35BE" w:rsidRPr="003B35BE" w:rsidRDefault="003B35BE" w:rsidP="003B35BE">
            <w:pPr>
              <w:spacing w:after="0" w:line="259" w:lineRule="auto"/>
              <w:rPr>
                <w:rFonts w:eastAsia="Calibri" w:cs="Arial"/>
              </w:rPr>
            </w:pPr>
            <w:r w:rsidRPr="003B35BE">
              <w:rPr>
                <w:rFonts w:eastAsia="Calibri" w:cs="Arial"/>
              </w:rPr>
              <w:t>CREATIVE</w:t>
            </w:r>
          </w:p>
        </w:tc>
        <w:tc>
          <w:tcPr>
            <w:tcW w:w="5682" w:type="dxa"/>
            <w:tcMar>
              <w:left w:w="105" w:type="dxa"/>
              <w:right w:w="105" w:type="dxa"/>
            </w:tcMar>
          </w:tcPr>
          <w:p w14:paraId="3F1CF97D" w14:textId="77777777" w:rsidR="003B35BE" w:rsidRPr="003B35BE" w:rsidRDefault="003B35BE" w:rsidP="003B35BE">
            <w:pPr>
              <w:spacing w:after="0" w:line="259" w:lineRule="auto"/>
              <w:rPr>
                <w:rFonts w:eastAsia="Calibri" w:cs="Arial"/>
              </w:rPr>
            </w:pPr>
            <w:r w:rsidRPr="003B35BE">
              <w:rPr>
                <w:rFonts w:eastAsia="Calibri" w:cs="Arial"/>
              </w:rPr>
              <w:t>For this assessment, you can use Generative AI to create creative materials, such as images.</w:t>
            </w:r>
          </w:p>
        </w:tc>
        <w:tc>
          <w:tcPr>
            <w:tcW w:w="1491" w:type="dxa"/>
          </w:tcPr>
          <w:p w14:paraId="559C0095" w14:textId="77777777" w:rsidR="003B35BE" w:rsidRPr="003B35BE" w:rsidRDefault="003B35BE" w:rsidP="003B35BE">
            <w:pPr>
              <w:spacing w:after="0"/>
              <w:rPr>
                <w:rFonts w:eastAsia="Calibri" w:cs="Arial"/>
              </w:rPr>
            </w:pPr>
            <w:r w:rsidRPr="003B35BE">
              <w:rPr>
                <w:rFonts w:eastAsia="Calibri" w:cs="Arial"/>
              </w:rPr>
              <w:t xml:space="preserve">Yes </w:t>
            </w:r>
            <w:r w:rsidRPr="003B35BE">
              <w:rPr>
                <w:rFonts w:ascii="Segoe UI Symbol" w:hAnsi="Segoe UI Symbol" w:cs="Segoe UI Symbol"/>
              </w:rPr>
              <w:t>☐</w:t>
            </w:r>
          </w:p>
          <w:p w14:paraId="5CCF3B9A" w14:textId="77777777" w:rsidR="003B35BE" w:rsidRPr="003B35BE" w:rsidRDefault="003B35BE" w:rsidP="003B35BE">
            <w:pPr>
              <w:spacing w:after="0"/>
              <w:rPr>
                <w:rFonts w:eastAsia="Calibri" w:cs="Arial"/>
              </w:rPr>
            </w:pPr>
          </w:p>
          <w:p w14:paraId="152E7D3B" w14:textId="77777777" w:rsidR="003B35BE" w:rsidRPr="003B35BE" w:rsidRDefault="003B35BE" w:rsidP="003B35BE">
            <w:pPr>
              <w:spacing w:after="0"/>
              <w:rPr>
                <w:rFonts w:eastAsia="Calibri" w:cs="Arial"/>
              </w:rPr>
            </w:pPr>
            <w:proofErr w:type="gramStart"/>
            <w:r w:rsidRPr="003B35BE">
              <w:rPr>
                <w:rFonts w:eastAsia="Calibri" w:cs="Arial"/>
              </w:rPr>
              <w:t xml:space="preserve">No  </w:t>
            </w:r>
            <w:r w:rsidRPr="003B35BE">
              <w:rPr>
                <w:rFonts w:ascii="Segoe UI Symbol" w:hAnsi="Segoe UI Symbol" w:cs="Segoe UI Symbol"/>
              </w:rPr>
              <w:t>☒</w:t>
            </w:r>
            <w:proofErr w:type="gramEnd"/>
          </w:p>
        </w:tc>
      </w:tr>
      <w:tr w:rsidR="003B35BE" w:rsidRPr="003B35BE" w14:paraId="70634C98" w14:textId="77777777" w:rsidTr="003B35BE">
        <w:trPr>
          <w:trHeight w:val="281"/>
          <w:jc w:val="center"/>
        </w:trPr>
        <w:tc>
          <w:tcPr>
            <w:tcW w:w="2369" w:type="dxa"/>
            <w:tcMar>
              <w:left w:w="105" w:type="dxa"/>
              <w:right w:w="105" w:type="dxa"/>
            </w:tcMar>
          </w:tcPr>
          <w:p w14:paraId="5DCBE659" w14:textId="77777777" w:rsidR="003B35BE" w:rsidRPr="003B35BE" w:rsidRDefault="003B35BE" w:rsidP="003B35BE">
            <w:pPr>
              <w:spacing w:after="0" w:line="259" w:lineRule="auto"/>
              <w:rPr>
                <w:rFonts w:cs="Arial"/>
              </w:rPr>
            </w:pPr>
            <w:r w:rsidRPr="003B35BE">
              <w:rPr>
                <w:rFonts w:eastAsia="Calibri" w:cs="Arial"/>
              </w:rPr>
              <w:t>PROGRAMING</w:t>
            </w:r>
          </w:p>
        </w:tc>
        <w:tc>
          <w:tcPr>
            <w:tcW w:w="5682" w:type="dxa"/>
            <w:tcMar>
              <w:left w:w="105" w:type="dxa"/>
              <w:right w:w="105" w:type="dxa"/>
            </w:tcMar>
          </w:tcPr>
          <w:p w14:paraId="7250BB52" w14:textId="77777777" w:rsidR="003B35BE" w:rsidRPr="003B35BE" w:rsidRDefault="003B35BE" w:rsidP="003B35BE">
            <w:pPr>
              <w:spacing w:after="0" w:line="259" w:lineRule="auto"/>
              <w:rPr>
                <w:rFonts w:eastAsia="Calibri" w:cs="Arial"/>
              </w:rPr>
            </w:pPr>
            <w:r w:rsidRPr="003B35BE">
              <w:rPr>
                <w:rFonts w:eastAsia="Calibri" w:cs="Arial"/>
              </w:rPr>
              <w:t>For this assessment, you can use Generative AI to create and check code.</w:t>
            </w:r>
          </w:p>
        </w:tc>
        <w:tc>
          <w:tcPr>
            <w:tcW w:w="1491" w:type="dxa"/>
          </w:tcPr>
          <w:p w14:paraId="1E2F3493" w14:textId="77777777" w:rsidR="003B35BE" w:rsidRPr="003B35BE" w:rsidRDefault="003B35BE" w:rsidP="003B35BE">
            <w:pPr>
              <w:spacing w:after="0"/>
              <w:rPr>
                <w:rFonts w:eastAsia="MS Gothic" w:cs="Arial"/>
              </w:rPr>
            </w:pPr>
            <w:r w:rsidRPr="003B35BE">
              <w:rPr>
                <w:rFonts w:eastAsia="Calibri" w:cs="Arial"/>
              </w:rPr>
              <w:t xml:space="preserve">Yes </w:t>
            </w:r>
            <w:r w:rsidRPr="003B35BE">
              <w:rPr>
                <w:rFonts w:ascii="Segoe UI Symbol" w:hAnsi="Segoe UI Symbol" w:cs="Segoe UI Symbol"/>
              </w:rPr>
              <w:t>☐</w:t>
            </w:r>
            <w:r w:rsidRPr="003B35BE">
              <w:rPr>
                <w:rFonts w:eastAsia="Calibri" w:cs="Arial"/>
              </w:rPr>
              <w:t xml:space="preserve"> </w:t>
            </w:r>
          </w:p>
          <w:p w14:paraId="1400A194" w14:textId="77777777" w:rsidR="003B35BE" w:rsidRPr="003B35BE" w:rsidRDefault="003B35BE" w:rsidP="003B35BE">
            <w:pPr>
              <w:spacing w:after="0"/>
              <w:rPr>
                <w:rFonts w:eastAsia="Calibri" w:cs="Arial"/>
              </w:rPr>
            </w:pPr>
          </w:p>
          <w:p w14:paraId="77436AC0" w14:textId="77777777" w:rsidR="003B35BE" w:rsidRPr="003B35BE" w:rsidRDefault="003B35BE" w:rsidP="003B35BE">
            <w:pPr>
              <w:spacing w:after="0"/>
              <w:rPr>
                <w:rFonts w:eastAsia="Calibri" w:cs="Arial"/>
              </w:rPr>
            </w:pPr>
            <w:proofErr w:type="gramStart"/>
            <w:r w:rsidRPr="003B35BE">
              <w:rPr>
                <w:rFonts w:eastAsia="Calibri" w:cs="Arial"/>
              </w:rPr>
              <w:t xml:space="preserve">No  </w:t>
            </w:r>
            <w:r w:rsidRPr="003B35BE">
              <w:rPr>
                <w:rFonts w:ascii="Segoe UI Symbol" w:hAnsi="Segoe UI Symbol" w:cs="Segoe UI Symbol"/>
              </w:rPr>
              <w:t>☒</w:t>
            </w:r>
            <w:proofErr w:type="gramEnd"/>
          </w:p>
        </w:tc>
      </w:tr>
      <w:tr w:rsidR="003B35BE" w:rsidRPr="003B35BE" w14:paraId="385C1BDF" w14:textId="77777777" w:rsidTr="003B35BE">
        <w:trPr>
          <w:trHeight w:val="281"/>
          <w:jc w:val="center"/>
        </w:trPr>
        <w:tc>
          <w:tcPr>
            <w:tcW w:w="2369" w:type="dxa"/>
            <w:tcMar>
              <w:left w:w="105" w:type="dxa"/>
              <w:right w:w="105" w:type="dxa"/>
            </w:tcMar>
          </w:tcPr>
          <w:p w14:paraId="2C7E655F" w14:textId="77777777" w:rsidR="003B35BE" w:rsidRPr="003B35BE" w:rsidRDefault="003B35BE" w:rsidP="003B35BE">
            <w:pPr>
              <w:spacing w:after="0" w:line="259" w:lineRule="auto"/>
              <w:rPr>
                <w:rFonts w:eastAsia="Calibri" w:cs="Arial"/>
              </w:rPr>
            </w:pPr>
            <w:r w:rsidRPr="003B35BE">
              <w:rPr>
                <w:rFonts w:eastAsia="Calibri" w:cs="Arial"/>
              </w:rPr>
              <w:t>NONE</w:t>
            </w:r>
          </w:p>
        </w:tc>
        <w:tc>
          <w:tcPr>
            <w:tcW w:w="5682" w:type="dxa"/>
            <w:tcMar>
              <w:left w:w="105" w:type="dxa"/>
              <w:right w:w="105" w:type="dxa"/>
            </w:tcMar>
          </w:tcPr>
          <w:p w14:paraId="0803B49F" w14:textId="77777777" w:rsidR="003B35BE" w:rsidRPr="003B35BE" w:rsidRDefault="003B35BE" w:rsidP="003B35BE">
            <w:pPr>
              <w:spacing w:after="0" w:line="259" w:lineRule="auto"/>
              <w:rPr>
                <w:rFonts w:eastAsia="Calibri" w:cs="Arial"/>
              </w:rPr>
            </w:pPr>
            <w:r w:rsidRPr="003B35BE">
              <w:rPr>
                <w:rFonts w:eastAsia="Calibri" w:cs="Arial"/>
              </w:rPr>
              <w:t xml:space="preserve">For this assessment, you are not allowed to use </w:t>
            </w:r>
            <w:r w:rsidRPr="003B35BE">
              <w:rPr>
                <w:rFonts w:eastAsia="Calibri" w:cs="Arial"/>
                <w:b/>
                <w:bCs/>
              </w:rPr>
              <w:t>any</w:t>
            </w:r>
            <w:r w:rsidRPr="003B35BE">
              <w:rPr>
                <w:rFonts w:eastAsia="Calibri" w:cs="Arial"/>
              </w:rPr>
              <w:t xml:space="preserve"> type of Generative AI support. This includes research support, structure support, writing support and creative support.</w:t>
            </w:r>
          </w:p>
        </w:tc>
        <w:tc>
          <w:tcPr>
            <w:tcW w:w="1491" w:type="dxa"/>
          </w:tcPr>
          <w:p w14:paraId="1134F9B4" w14:textId="77777777" w:rsidR="003B35BE" w:rsidRPr="003B35BE" w:rsidRDefault="003B35BE" w:rsidP="003B35BE">
            <w:pPr>
              <w:spacing w:after="0"/>
              <w:rPr>
                <w:rFonts w:eastAsia="Calibri" w:cs="Arial"/>
              </w:rPr>
            </w:pPr>
            <w:r w:rsidRPr="003B35BE">
              <w:rPr>
                <w:rFonts w:ascii="Segoe UI Symbol" w:hAnsi="Segoe UI Symbol" w:cs="Segoe UI Symbol"/>
              </w:rPr>
              <w:t>☐</w:t>
            </w:r>
          </w:p>
        </w:tc>
      </w:tr>
    </w:tbl>
    <w:p w14:paraId="3B569A31" w14:textId="77777777" w:rsidR="00BB76F7" w:rsidRDefault="00BB76F7" w:rsidP="003B35BE">
      <w:pPr>
        <w:spacing w:after="80"/>
      </w:pPr>
    </w:p>
    <w:sectPr w:rsidR="00BB76F7" w:rsidSect="00AF2975">
      <w:footerReference w:type="default" r:id="rId21"/>
      <w:pgSz w:w="12240" w:h="15840"/>
      <w:pgMar w:top="1440" w:right="1440" w:bottom="1152"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95643" w14:textId="77777777" w:rsidR="007A7535" w:rsidRDefault="007A7535">
      <w:pPr>
        <w:spacing w:after="0" w:line="240" w:lineRule="auto"/>
      </w:pPr>
      <w:r>
        <w:separator/>
      </w:r>
    </w:p>
  </w:endnote>
  <w:endnote w:type="continuationSeparator" w:id="0">
    <w:p w14:paraId="491D0A10" w14:textId="77777777" w:rsidR="007A7535" w:rsidRDefault="007A7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9207342"/>
      <w:docPartObj>
        <w:docPartGallery w:val="Page Numbers (Bottom of Page)"/>
        <w:docPartUnique/>
      </w:docPartObj>
    </w:sdtPr>
    <w:sdtEndPr>
      <w:rPr>
        <w:noProof/>
      </w:rPr>
    </w:sdtEndPr>
    <w:sdtContent>
      <w:p w14:paraId="3BC4F27E" w14:textId="3D99A528" w:rsidR="00F83644" w:rsidRDefault="00F836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DC6E5" w14:textId="49DB8106" w:rsidR="00BB76F7" w:rsidRDefault="00BB76F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6D1AC" w14:textId="77777777" w:rsidR="007A7535" w:rsidRDefault="007A7535">
      <w:pPr>
        <w:spacing w:after="0" w:line="240" w:lineRule="auto"/>
      </w:pPr>
      <w:r>
        <w:separator/>
      </w:r>
    </w:p>
  </w:footnote>
  <w:footnote w:type="continuationSeparator" w:id="0">
    <w:p w14:paraId="3F8EA664" w14:textId="77777777" w:rsidR="007A7535" w:rsidRDefault="007A75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68430937">
    <w:abstractNumId w:val="8"/>
  </w:num>
  <w:num w:numId="2" w16cid:durableId="256404899">
    <w:abstractNumId w:val="6"/>
  </w:num>
  <w:num w:numId="3" w16cid:durableId="1399085230">
    <w:abstractNumId w:val="5"/>
  </w:num>
  <w:num w:numId="4" w16cid:durableId="283384928">
    <w:abstractNumId w:val="4"/>
  </w:num>
  <w:num w:numId="5" w16cid:durableId="739787260">
    <w:abstractNumId w:val="7"/>
  </w:num>
  <w:num w:numId="6" w16cid:durableId="2087650457">
    <w:abstractNumId w:val="3"/>
  </w:num>
  <w:num w:numId="7" w16cid:durableId="1510562154">
    <w:abstractNumId w:val="2"/>
  </w:num>
  <w:num w:numId="8" w16cid:durableId="3365352">
    <w:abstractNumId w:val="1"/>
  </w:num>
  <w:num w:numId="9" w16cid:durableId="451945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B15"/>
    <w:rsid w:val="00034616"/>
    <w:rsid w:val="0006063C"/>
    <w:rsid w:val="00093F38"/>
    <w:rsid w:val="0015074B"/>
    <w:rsid w:val="00164CB3"/>
    <w:rsid w:val="001C2F12"/>
    <w:rsid w:val="001D0371"/>
    <w:rsid w:val="001E0703"/>
    <w:rsid w:val="0028792B"/>
    <w:rsid w:val="0029639D"/>
    <w:rsid w:val="00326F90"/>
    <w:rsid w:val="003B35BE"/>
    <w:rsid w:val="003D1AAF"/>
    <w:rsid w:val="003D3612"/>
    <w:rsid w:val="003E1A40"/>
    <w:rsid w:val="003E2487"/>
    <w:rsid w:val="00422ADC"/>
    <w:rsid w:val="00424F33"/>
    <w:rsid w:val="00480601"/>
    <w:rsid w:val="005A4458"/>
    <w:rsid w:val="00620F20"/>
    <w:rsid w:val="006B3FC7"/>
    <w:rsid w:val="007A7535"/>
    <w:rsid w:val="007D359E"/>
    <w:rsid w:val="00865D65"/>
    <w:rsid w:val="00931D3B"/>
    <w:rsid w:val="0099752A"/>
    <w:rsid w:val="009B2279"/>
    <w:rsid w:val="00A332EA"/>
    <w:rsid w:val="00A908E4"/>
    <w:rsid w:val="00AA1D8D"/>
    <w:rsid w:val="00AF2975"/>
    <w:rsid w:val="00B47730"/>
    <w:rsid w:val="00B96BBA"/>
    <w:rsid w:val="00BB76F7"/>
    <w:rsid w:val="00C03D86"/>
    <w:rsid w:val="00CB0664"/>
    <w:rsid w:val="00CB7EA4"/>
    <w:rsid w:val="00D23E25"/>
    <w:rsid w:val="00D65D39"/>
    <w:rsid w:val="00E34A44"/>
    <w:rsid w:val="00F1464D"/>
    <w:rsid w:val="00F44E8C"/>
    <w:rsid w:val="00F8364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B48C832"/>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164CB3"/>
    <w:pPr>
      <w:keepNext/>
      <w:keepLines/>
      <w:spacing w:before="480" w:after="240"/>
      <w:outlineLvl w:val="0"/>
    </w:pPr>
    <w:rPr>
      <w:rFonts w:eastAsiaTheme="majorEastAsia" w:cs="Arial"/>
      <w:b/>
      <w:bCs/>
      <w:sz w:val="26"/>
      <w:szCs w:val="26"/>
    </w:rPr>
  </w:style>
  <w:style w:type="paragraph" w:styleId="Heading2">
    <w:name w:val="heading 2"/>
    <w:basedOn w:val="Normal"/>
    <w:next w:val="Normal"/>
    <w:link w:val="Heading2Char"/>
    <w:uiPriority w:val="9"/>
    <w:unhideWhenUsed/>
    <w:qFormat/>
    <w:rsid w:val="00164CB3"/>
    <w:pPr>
      <w:keepNext/>
      <w:keepLines/>
      <w:spacing w:before="200" w:after="240"/>
      <w:outlineLvl w:val="1"/>
    </w:pPr>
    <w:rPr>
      <w:rFonts w:eastAsiaTheme="majorEastAsia" w:cs="Arial"/>
      <w:b/>
      <w:bCs/>
      <w:sz w:val="24"/>
      <w:szCs w:val="24"/>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64CB3"/>
    <w:rPr>
      <w:rFonts w:ascii="Arial" w:eastAsiaTheme="majorEastAsia" w:hAnsi="Arial" w:cs="Arial"/>
      <w:b/>
      <w:bCs/>
      <w:sz w:val="26"/>
      <w:szCs w:val="26"/>
    </w:rPr>
  </w:style>
  <w:style w:type="character" w:customStyle="1" w:styleId="Heading2Char">
    <w:name w:val="Heading 2 Char"/>
    <w:basedOn w:val="DefaultParagraphFont"/>
    <w:link w:val="Heading2"/>
    <w:uiPriority w:val="9"/>
    <w:rsid w:val="00164CB3"/>
    <w:rPr>
      <w:rFonts w:ascii="Arial" w:eastAsiaTheme="majorEastAsia" w:hAnsi="Arial" w:cs="Arial"/>
      <w:b/>
      <w:bCs/>
      <w:sz w:val="24"/>
      <w:szCs w:val="24"/>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64CB3"/>
    <w:pPr>
      <w:spacing w:after="100"/>
    </w:pPr>
  </w:style>
  <w:style w:type="paragraph" w:styleId="TOC2">
    <w:name w:val="toc 2"/>
    <w:basedOn w:val="Normal"/>
    <w:next w:val="Normal"/>
    <w:autoRedefine/>
    <w:uiPriority w:val="39"/>
    <w:unhideWhenUsed/>
    <w:rsid w:val="00164CB3"/>
    <w:pPr>
      <w:spacing w:after="100"/>
      <w:ind w:left="220"/>
    </w:pPr>
  </w:style>
  <w:style w:type="character" w:styleId="Hyperlink">
    <w:name w:val="Hyperlink"/>
    <w:basedOn w:val="DefaultParagraphFont"/>
    <w:uiPriority w:val="99"/>
    <w:unhideWhenUsed/>
    <w:rsid w:val="00164CB3"/>
    <w:rPr>
      <w:color w:val="0000FF" w:themeColor="hyperlink"/>
      <w:u w:val="single"/>
    </w:rPr>
  </w:style>
  <w:style w:type="character" w:styleId="UnresolvedMention">
    <w:name w:val="Unresolved Mention"/>
    <w:basedOn w:val="DefaultParagraphFont"/>
    <w:uiPriority w:val="99"/>
    <w:semiHidden/>
    <w:unhideWhenUsed/>
    <w:rsid w:val="0099752A"/>
    <w:rPr>
      <w:color w:val="605E5C"/>
      <w:shd w:val="clear" w:color="auto" w:fill="E1DFDD"/>
    </w:rPr>
  </w:style>
  <w:style w:type="character" w:styleId="FollowedHyperlink">
    <w:name w:val="FollowedHyperlink"/>
    <w:basedOn w:val="DefaultParagraphFont"/>
    <w:uiPriority w:val="99"/>
    <w:semiHidden/>
    <w:unhideWhenUsed/>
    <w:rsid w:val="0099752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eurpub/ckae099" TargetMode="External"/><Relationship Id="rId13" Type="http://schemas.openxmlformats.org/officeDocument/2006/relationships/hyperlink" Target="https://www.legislation.gov.uk/ukpga/2014/23/contents" TargetMode="External"/><Relationship Id="rId18" Type="http://schemas.openxmlformats.org/officeDocument/2006/relationships/hyperlink" Target="https://www.gov.uk/government/statistics/adult-oral-health-survey-2023/report-summar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89/fresc.2022.935473" TargetMode="External"/><Relationship Id="rId17" Type="http://schemas.openxmlformats.org/officeDocument/2006/relationships/hyperlink" Target="https://www.england.nhs.uk/long-read/nhs-dentistry-care-pathways-guidance/" TargetMode="External"/><Relationship Id="rId2" Type="http://schemas.openxmlformats.org/officeDocument/2006/relationships/numbering" Target="numbering.xml"/><Relationship Id="rId16" Type="http://schemas.openxmlformats.org/officeDocument/2006/relationships/hyperlink" Target="https://commonslibrary.parliament.uk/research-briefings/cbp-9597/" TargetMode="External"/><Relationship Id="rId20" Type="http://schemas.openxmlformats.org/officeDocument/2006/relationships/hyperlink" Target="https://www.nationalarchives.gov.uk/education/resources/significant-events/birth-of-the-nhs-19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ventry.gov.uk/adult-social-care-strategies-policies-plans/learning-disability-autism-market-development-plan-2025-2030" TargetMode="External"/><Relationship Id="rId5" Type="http://schemas.openxmlformats.org/officeDocument/2006/relationships/webSettings" Target="webSettings.xml"/><Relationship Id="rId15" Type="http://schemas.openxmlformats.org/officeDocument/2006/relationships/hyperlink" Target="https://publications.parliament.uk/pa/cm200708/cmselect/cmhealth/289/28905.htm" TargetMode="External"/><Relationship Id="rId23" Type="http://schemas.openxmlformats.org/officeDocument/2006/relationships/theme" Target="theme/theme1.xml"/><Relationship Id="rId10" Type="http://schemas.openxmlformats.org/officeDocument/2006/relationships/hyperlink" Target="https://www.coventry.gov.uk/adult-social-care-strategies-policies-plans/market-position-statement-2024-2029" TargetMode="External"/><Relationship Id="rId19" Type="http://schemas.openxmlformats.org/officeDocument/2006/relationships/hyperlink" Target="https://www.gov.uk/government/statistics/adult-oral-health-survey-2023/service-use-and-barriers-to-accessing-care" TargetMode="External"/><Relationship Id="rId4" Type="http://schemas.openxmlformats.org/officeDocument/2006/relationships/settings" Target="settings.xml"/><Relationship Id="rId9" Type="http://schemas.openxmlformats.org/officeDocument/2006/relationships/hyperlink" Target="https://www.coventry.gov.uk/councillors/66/marcus-lapsa" TargetMode="External"/><Relationship Id="rId14" Type="http://schemas.openxmlformats.org/officeDocument/2006/relationships/hyperlink" Target="https://publications.parliament.uk/pa/cm200001/cmselect/cmhealth/247/24703.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E3AB3E-9419-44A5-9E34-FC53CF8E6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2513</Words>
  <Characters>14330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2026-10-07T19:04:00Z</dcterms:created>
  <dcterms:modified xsi:type="dcterms:W3CDTF">2026-10-16T06:26:00Z</dcterms:modified>
  <cp:category/>
</cp:coreProperties>
</file>