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0F59F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12E39">
              <w:rPr>
                <w:b/>
                <w:color w:val="auto"/>
                <w:sz w:val="32"/>
              </w:rPr>
              <w:t xml:space="preserve"> REBECCA TURTLE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A93133E" w14:textId="77777777" w:rsidR="006A6AD4" w:rsidRPr="008F22BD" w:rsidRDefault="006A6AD4" w:rsidP="00340E9A">
            <w:pPr>
              <w:overflowPunct/>
              <w:autoSpaceDE/>
              <w:autoSpaceDN/>
              <w:adjustRightInd/>
              <w:ind w:right="237"/>
              <w:textAlignment w:val="auto"/>
              <w:rPr>
                <w:b/>
                <w:color w:val="auto"/>
                <w:sz w:val="32"/>
              </w:rPr>
            </w:pPr>
          </w:p>
          <w:p w14:paraId="4A4B1989" w14:textId="3C5C10DB" w:rsidR="005A1BA3" w:rsidRDefault="00912E39" w:rsidP="00340E9A">
            <w:pPr>
              <w:overflowPunct/>
              <w:autoSpaceDE/>
              <w:autoSpaceDN/>
              <w:adjustRightInd/>
              <w:ind w:right="237"/>
              <w:textAlignment w:val="auto"/>
              <w:rPr>
                <w:b/>
                <w:color w:val="auto"/>
                <w:sz w:val="32"/>
              </w:rPr>
            </w:pPr>
            <w:r>
              <w:rPr>
                <w:b/>
                <w:color w:val="auto"/>
                <w:sz w:val="32"/>
              </w:rPr>
              <w:t>22</w:t>
            </w:r>
            <w:r w:rsidR="006A6AD4">
              <w:rPr>
                <w:b/>
                <w:color w:val="auto"/>
                <w:sz w:val="32"/>
              </w:rPr>
              <w:t>22448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A6AD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D18B20B" w14:textId="77777777" w:rsidR="009F710E" w:rsidRDefault="009F710E" w:rsidP="00340E9A">
      <w:pPr>
        <w:ind w:right="237"/>
        <w:jc w:val="both"/>
        <w:rPr>
          <w:b/>
          <w:sz w:val="24"/>
          <w:szCs w:val="24"/>
        </w:rPr>
      </w:pPr>
    </w:p>
    <w:p w14:paraId="66791EB2" w14:textId="77777777" w:rsidR="005D4504"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effectiveness or success of any organisation can be credited its culture, made up of the values and beliefs of its individual parts. In the context of policing, those individual parts include the officers that are the face of any police force that aims to create and maintain safe and healthy communities.   As an officer with newly gained Independent Patrol Status, recognising the importance and benefit of reflection is key to continuing development and the enhancement of existing skills, as well as a pivotal way of gaining new skills and experience. Reflection, according to Bolton &amp; </w:t>
      </w:r>
      <w:proofErr w:type="spellStart"/>
      <w:r w:rsidRPr="00341F5D">
        <w:rPr>
          <w:rFonts w:asciiTheme="minorHAnsi" w:eastAsiaTheme="minorHAnsi" w:hAnsiTheme="minorHAnsi" w:cstheme="minorBidi"/>
          <w:color w:val="auto"/>
          <w:kern w:val="2"/>
          <w:sz w:val="22"/>
          <w:szCs w:val="22"/>
          <w:lang w:eastAsia="en-US"/>
          <w14:ligatures w14:val="standardContextual"/>
        </w:rPr>
        <w:t>Delderfield</w:t>
      </w:r>
      <w:proofErr w:type="spellEnd"/>
      <w:r w:rsidRPr="00341F5D">
        <w:rPr>
          <w:rFonts w:asciiTheme="minorHAnsi" w:eastAsiaTheme="minorHAnsi" w:hAnsiTheme="minorHAnsi" w:cstheme="minorBidi"/>
          <w:color w:val="auto"/>
          <w:kern w:val="2"/>
          <w:sz w:val="22"/>
          <w:szCs w:val="22"/>
          <w:lang w:eastAsia="en-US"/>
          <w14:ligatures w14:val="standardContextual"/>
        </w:rPr>
        <w:t xml:space="preserve"> (2018) helps to understand complex situations and to develop further what we know, as well as helping understand and gain knowledge about that which is not known, adding that reflection can help reduce stress, associated with work and life in general, and to increase employability in a modern lifestyle. </w:t>
      </w:r>
    </w:p>
    <w:p w14:paraId="1D1F0EAE" w14:textId="77777777" w:rsidR="005D4504"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00CBB20A" w14:textId="4F9B8A8C"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Using Rolfe’s reflective model of What, So What, Now What (Rolfe, Jasper &amp; Freshwater, 2010), will help to focus the situation, to analyse the evidence and ultimately understand what, if anything, needs to happen next </w:t>
      </w:r>
      <w:proofErr w:type="gramStart"/>
      <w:r w:rsidRPr="00341F5D">
        <w:rPr>
          <w:rFonts w:asciiTheme="minorHAnsi" w:eastAsiaTheme="minorHAnsi" w:hAnsiTheme="minorHAnsi" w:cstheme="minorBidi"/>
          <w:color w:val="auto"/>
          <w:kern w:val="2"/>
          <w:sz w:val="22"/>
          <w:szCs w:val="22"/>
          <w:lang w:eastAsia="en-US"/>
          <w14:ligatures w14:val="standardContextual"/>
        </w:rPr>
        <w:t>in order to</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develop.  </w:t>
      </w:r>
    </w:p>
    <w:p w14:paraId="75D7C36D"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2179D997" w14:textId="77777777"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WHAT?</w:t>
      </w:r>
    </w:p>
    <w:p w14:paraId="5A9D32EC" w14:textId="1D088195"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culture of an organisation may be defined as the way in which business is conducted and may include unwritten practices that have an influence upon behaviours, both of groups and of individuals (Henderson, 2014). Cultural change, according to Moyce (2015) is a powerful implement in the transformation, improvement and enhancement of any business or service and requires the robust utilisation of team members to be successful. Change should be communicated effectively and safely </w:t>
      </w:r>
      <w:r w:rsidRPr="00341F5D">
        <w:rPr>
          <w:rFonts w:asciiTheme="minorHAnsi" w:eastAsiaTheme="minorHAnsi" w:hAnsiTheme="minorHAnsi" w:cstheme="minorBidi"/>
          <w:color w:val="auto"/>
          <w:kern w:val="2"/>
          <w:sz w:val="22"/>
          <w:szCs w:val="22"/>
          <w:lang w:eastAsia="en-US"/>
          <w14:ligatures w14:val="standardContextual"/>
        </w:rPr>
        <w:lastRenderedPageBreak/>
        <w:t>and should be focussed upon skills and knowledge. Cultural change can be a risk to any service but undertaken carefully and thoroughly will increase levels of success and promote well-being and resilience in the</w:t>
      </w:r>
      <w:r w:rsidR="005D4504">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workforce.</w:t>
      </w:r>
    </w:p>
    <w:p w14:paraId="7C58F9E6"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5BB76E7F" w14:textId="77777777"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Culture within the police service is reflected in the guidance and standards set out in the Code of Practice for Ethical Policing (College of Policing, 2023), which lays down expectations of officers in their duties and aims to promote and support professional behaviour that is supplemented by individual ethics and morals. Whilst ethics and principles of most organisations remain constant over time, expectations and standards can be fluid and will change to meet the expectations of stakeholders. In the case of the police service, the needs of the public and the communities where they live. </w:t>
      </w:r>
    </w:p>
    <w:p w14:paraId="1F698429"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2716EFBB" w14:textId="77777777"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Transformational change within the police service is a key factor in understanding the drivers to performance, the identification of self-ability, as a service, and the creation of innovative practice that allows the service to adapt and continually improve to ensure sustainability and provide consistent practice, in delivering services that meet the needs of communities (College of Policing, 2022). </w:t>
      </w:r>
    </w:p>
    <w:p w14:paraId="4B2794F9"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35F79A7F" w14:textId="77777777"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current Gwent Police Leadership Strategic Plan (2021) outlines the vision of maintaining culture standards and beliefs within the force and focusses upon wide ranging leadership qualities, </w:t>
      </w:r>
      <w:proofErr w:type="gramStart"/>
      <w:r w:rsidRPr="00341F5D">
        <w:rPr>
          <w:rFonts w:asciiTheme="minorHAnsi" w:eastAsiaTheme="minorHAnsi" w:hAnsiTheme="minorHAnsi" w:cstheme="minorBidi"/>
          <w:color w:val="auto"/>
          <w:kern w:val="2"/>
          <w:sz w:val="22"/>
          <w:szCs w:val="22"/>
          <w:lang w:eastAsia="en-US"/>
          <w14:ligatures w14:val="standardContextual"/>
        </w:rPr>
        <w:t>skills</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and experience of all of the force’s members at all levels. This vision, it is considered, will support effective policing to meet contemporary community challenges and to ensure cultural beliefs are maintained and enhanced. </w:t>
      </w:r>
    </w:p>
    <w:p w14:paraId="1706D2B6"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76EED180" w14:textId="77777777"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SO WHAT?</w:t>
      </w:r>
    </w:p>
    <w:p w14:paraId="42E813C3" w14:textId="0C8DC955"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Many theories and concept thinking around organisational culture and the change within that culture that is often required to ensure sustainability, have a common theme of employee and individual well-being and resilience as a core concept to success (Alvesson, 2015). Well-being and resilience can be negatively affected by organisational change, especially when greater expectations are placed upon teams, </w:t>
      </w:r>
      <w:proofErr w:type="gramStart"/>
      <w:r w:rsidRPr="00341F5D">
        <w:rPr>
          <w:rFonts w:asciiTheme="minorHAnsi" w:eastAsiaTheme="minorHAnsi" w:hAnsiTheme="minorHAnsi" w:cstheme="minorBidi"/>
          <w:color w:val="auto"/>
          <w:kern w:val="2"/>
          <w:sz w:val="22"/>
          <w:szCs w:val="22"/>
          <w:lang w:eastAsia="en-US"/>
          <w14:ligatures w14:val="standardContextual"/>
        </w:rPr>
        <w:t>groups</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and individuals to achieve the expectations and outcomes of the organisation (Kowalski &amp; Loretto, 2017). However, evidence demonstrates that, in some situations, individual well-being, in relation to change, can be more positive when there is robust engagement with organisational change and that performance can be optimised as a result (Truss, Shantz, Soane et al, 2013). It is important to </w:t>
      </w:r>
      <w:r w:rsidRPr="00341F5D">
        <w:rPr>
          <w:rFonts w:asciiTheme="minorHAnsi" w:eastAsiaTheme="minorHAnsi" w:hAnsiTheme="minorHAnsi" w:cstheme="minorBidi"/>
          <w:color w:val="auto"/>
          <w:kern w:val="2"/>
          <w:sz w:val="22"/>
          <w:szCs w:val="22"/>
          <w:lang w:eastAsia="en-US"/>
          <w14:ligatures w14:val="standardContextual"/>
        </w:rPr>
        <w:lastRenderedPageBreak/>
        <w:t xml:space="preserve">recognise, however, that in an organisation such as the police service, due to resources, this </w:t>
      </w:r>
      <w:r w:rsidR="005D4504" w:rsidRPr="00341F5D">
        <w:rPr>
          <w:rFonts w:asciiTheme="minorHAnsi" w:eastAsiaTheme="minorHAnsi" w:hAnsiTheme="minorHAnsi" w:cstheme="minorBidi"/>
          <w:color w:val="auto"/>
          <w:kern w:val="2"/>
          <w:sz w:val="22"/>
          <w:szCs w:val="22"/>
          <w:lang w:eastAsia="en-US"/>
          <w14:ligatures w14:val="standardContextual"/>
        </w:rPr>
        <w:t>cannot</w:t>
      </w:r>
      <w:r w:rsidRPr="00341F5D">
        <w:rPr>
          <w:rFonts w:asciiTheme="minorHAnsi" w:eastAsiaTheme="minorHAnsi" w:hAnsiTheme="minorHAnsi" w:cstheme="minorBidi"/>
          <w:color w:val="auto"/>
          <w:kern w:val="2"/>
          <w:sz w:val="22"/>
          <w:szCs w:val="22"/>
          <w:lang w:eastAsia="en-US"/>
          <w14:ligatures w14:val="standardContextual"/>
        </w:rPr>
        <w:t xml:space="preserve"> easily and readily be achieved.  </w:t>
      </w:r>
    </w:p>
    <w:p w14:paraId="3656C99C"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5C4AE7D8" w14:textId="77777777"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The theme of officer well-being and the link to resilience, motivation and subsequent individual performance is key in supporting culture changes and developing initiatives and innovation to ensure forces are delivering force expectations and visions (College of Policing, 2022). Ellinas, Allan &amp; Johansson (2017) suggest that the beliefs of officers and staff, influenced often by peer pressure and social status, can have harmful effects upon change processes and the culture conforms within which the service wishes or needs to operate.</w:t>
      </w:r>
    </w:p>
    <w:p w14:paraId="3ADEEA04" w14:textId="77777777" w:rsidR="002C786A" w:rsidRPr="00341F5D"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40AD38AA" w14:textId="4E4AC1A3"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Individual beliefs, morals and values can serve as an individual set of standards that can influence behaviour and actions that are predominantly permanent but can be transient depending upon priorities (</w:t>
      </w:r>
      <w:proofErr w:type="spellStart"/>
      <w:r w:rsidRPr="00341F5D">
        <w:rPr>
          <w:rFonts w:asciiTheme="minorHAnsi" w:eastAsiaTheme="minorHAnsi" w:hAnsiTheme="minorHAnsi" w:cstheme="minorBidi"/>
          <w:color w:val="auto"/>
          <w:kern w:val="2"/>
          <w:sz w:val="22"/>
          <w:szCs w:val="22"/>
          <w:lang w:eastAsia="en-US"/>
          <w14:ligatures w14:val="standardContextual"/>
        </w:rPr>
        <w:t>Ertosun</w:t>
      </w:r>
      <w:proofErr w:type="spellEnd"/>
      <w:r w:rsidRPr="00341F5D">
        <w:rPr>
          <w:rFonts w:asciiTheme="minorHAnsi" w:eastAsiaTheme="minorHAnsi" w:hAnsiTheme="minorHAnsi" w:cstheme="minorBidi"/>
          <w:color w:val="auto"/>
          <w:kern w:val="2"/>
          <w:sz w:val="22"/>
          <w:szCs w:val="22"/>
          <w:lang w:eastAsia="en-US"/>
          <w14:ligatures w14:val="standardContextual"/>
        </w:rPr>
        <w:t xml:space="preserve"> &amp; </w:t>
      </w:r>
      <w:proofErr w:type="spellStart"/>
      <w:r w:rsidRPr="00341F5D">
        <w:rPr>
          <w:rFonts w:asciiTheme="minorHAnsi" w:eastAsiaTheme="minorHAnsi" w:hAnsiTheme="minorHAnsi" w:cstheme="minorBidi"/>
          <w:color w:val="auto"/>
          <w:kern w:val="2"/>
          <w:sz w:val="22"/>
          <w:szCs w:val="22"/>
          <w:lang w:eastAsia="en-US"/>
          <w14:ligatures w14:val="standardContextual"/>
        </w:rPr>
        <w:t>Adiguzel</w:t>
      </w:r>
      <w:proofErr w:type="spellEnd"/>
      <w:r w:rsidRPr="00341F5D">
        <w:rPr>
          <w:rFonts w:asciiTheme="minorHAnsi" w:eastAsiaTheme="minorHAnsi" w:hAnsiTheme="minorHAnsi" w:cstheme="minorBidi"/>
          <w:color w:val="auto"/>
          <w:kern w:val="2"/>
          <w:sz w:val="22"/>
          <w:szCs w:val="22"/>
          <w:lang w:eastAsia="en-US"/>
          <w14:ligatures w14:val="standardContextual"/>
        </w:rPr>
        <w:t xml:space="preserve">, 2018). Whilst individual beliefs and morals can be detrimental to organisational culture and change, evidence also adds that these principles can intrinsically support individuals to deal with the impact of culture and change (Smollan, 2017). Whilst the service as a whole and individual forces provide wide ranging support and benefits for officer well-being, through local toolkits (Gwent Police, 2024) and national support such as Oscar Kilo, the National Police Well-being Hub (2024), these should service to supplement individual coping through personal morals and values. Wolter, Santa Maria, </w:t>
      </w:r>
      <w:proofErr w:type="spellStart"/>
      <w:r w:rsidRPr="00341F5D">
        <w:rPr>
          <w:rFonts w:asciiTheme="minorHAnsi" w:eastAsiaTheme="minorHAnsi" w:hAnsiTheme="minorHAnsi" w:cstheme="minorBidi"/>
          <w:color w:val="auto"/>
          <w:kern w:val="2"/>
          <w:sz w:val="22"/>
          <w:szCs w:val="22"/>
          <w:lang w:eastAsia="en-US"/>
          <w14:ligatures w14:val="standardContextual"/>
        </w:rPr>
        <w:t>Worfel</w:t>
      </w:r>
      <w:proofErr w:type="spellEnd"/>
      <w:r w:rsidRPr="00341F5D">
        <w:rPr>
          <w:rFonts w:asciiTheme="minorHAnsi" w:eastAsiaTheme="minorHAnsi" w:hAnsiTheme="minorHAnsi" w:cstheme="minorBidi"/>
          <w:color w:val="auto"/>
          <w:kern w:val="2"/>
          <w:sz w:val="22"/>
          <w:szCs w:val="22"/>
          <w:lang w:eastAsia="en-US"/>
          <w14:ligatures w14:val="standardContextual"/>
        </w:rPr>
        <w:t xml:space="preserve"> et al (2017) conducted studies of serving police officers and their related resources and demands within their service and concluded that the correlation between role demands, available resource and well-being were negatively impacted if demands were </w:t>
      </w:r>
      <w:proofErr w:type="gramStart"/>
      <w:r w:rsidRPr="00341F5D">
        <w:rPr>
          <w:rFonts w:asciiTheme="minorHAnsi" w:eastAsiaTheme="minorHAnsi" w:hAnsiTheme="minorHAnsi" w:cstheme="minorBidi"/>
          <w:color w:val="auto"/>
          <w:kern w:val="2"/>
          <w:sz w:val="22"/>
          <w:szCs w:val="22"/>
          <w:lang w:eastAsia="en-US"/>
          <w14:ligatures w14:val="standardContextual"/>
        </w:rPr>
        <w:t>high</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and resources were limited. Additionally, the quantitative research that used questionnaires to gather data highlighted that organisational culture and fairness, with emphasis on openness and transparency through change processes, added to well-being factors, either positively or negatively, depending upon the behaviour observed. Whilst this data was sourced from German police services and can be argued that it may not be relevant in Wales, there is little deviation away </w:t>
      </w:r>
      <w:r w:rsidR="002C786A" w:rsidRPr="00341F5D">
        <w:rPr>
          <w:rFonts w:asciiTheme="minorHAnsi" w:eastAsiaTheme="minorHAnsi" w:hAnsiTheme="minorHAnsi" w:cstheme="minorBidi"/>
          <w:color w:val="auto"/>
          <w:kern w:val="2"/>
          <w:sz w:val="22"/>
          <w:szCs w:val="22"/>
          <w:lang w:eastAsia="en-US"/>
          <w14:ligatures w14:val="standardContextual"/>
        </w:rPr>
        <w:t>from</w:t>
      </w:r>
      <w:r w:rsidRPr="00341F5D">
        <w:rPr>
          <w:rFonts w:asciiTheme="minorHAnsi" w:eastAsiaTheme="minorHAnsi" w:hAnsiTheme="minorHAnsi" w:cstheme="minorBidi"/>
          <w:color w:val="auto"/>
          <w:kern w:val="2"/>
          <w:sz w:val="22"/>
          <w:szCs w:val="22"/>
          <w:lang w:eastAsia="en-US"/>
          <w14:ligatures w14:val="standardContextual"/>
        </w:rPr>
        <w:t xml:space="preserve"> the commonality between activity, resources and job demands seen between the two nations. </w:t>
      </w:r>
    </w:p>
    <w:p w14:paraId="629FD141" w14:textId="77777777" w:rsidR="002C786A"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182B7BBE" w14:textId="6AB5FC60"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NOW WHAT?</w:t>
      </w:r>
    </w:p>
    <w:p w14:paraId="5736EDEE" w14:textId="77777777"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Police Code of Ethics (College of Policing 2024) guides officers through their actions and behaviour throughout their career pathway. It will inevitably, in most situations, compliment officers’ personal doctrine, especially in relation to trust, compassion, kindness and selflessness, but additional linked to </w:t>
      </w:r>
      <w:r w:rsidRPr="00341F5D">
        <w:rPr>
          <w:rFonts w:asciiTheme="minorHAnsi" w:eastAsiaTheme="minorHAnsi" w:hAnsiTheme="minorHAnsi" w:cstheme="minorBidi"/>
          <w:color w:val="auto"/>
          <w:kern w:val="2"/>
          <w:sz w:val="22"/>
          <w:szCs w:val="22"/>
          <w:lang w:eastAsia="en-US"/>
          <w14:ligatures w14:val="standardContextual"/>
        </w:rPr>
        <w:lastRenderedPageBreak/>
        <w:t xml:space="preserve">doing one’s best in a public role, acting in non-discriminatory manners and demonstrating strong work ethics, motivation, commitment and professionalism. However, organisational culture and the expectations and role demands associated with it can have significant impacts upon officer well-being and personal versus organisational values may, occasionally, or otherwise, result in intrinsic conflict that may have impacts upon performance, </w:t>
      </w:r>
      <w:proofErr w:type="gramStart"/>
      <w:r w:rsidRPr="00341F5D">
        <w:rPr>
          <w:rFonts w:asciiTheme="minorHAnsi" w:eastAsiaTheme="minorHAnsi" w:hAnsiTheme="minorHAnsi" w:cstheme="minorBidi"/>
          <w:color w:val="auto"/>
          <w:kern w:val="2"/>
          <w:sz w:val="22"/>
          <w:szCs w:val="22"/>
          <w:lang w:eastAsia="en-US"/>
          <w14:ligatures w14:val="standardContextual"/>
        </w:rPr>
        <w:t>motivation</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and resilience. Police forces and higher leadership levels of management recognise the importance of well-being and have a role to play in promoting and supporting this. However, evidence shows that openness and candour when steering a service through organisational change to meet the ever-evolving demands of policing, and which inevitably have a subsequent impact on officers’ role demands, contributes to being more successful and less negatively impactful and subsequently getting the best from serving officers when the values and beliefs of both parties are either aligned or respected. </w:t>
      </w:r>
    </w:p>
    <w:p w14:paraId="2B5C6718" w14:textId="77777777" w:rsidR="002C786A" w:rsidRPr="00341F5D"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7C88B52A" w14:textId="57771EA6" w:rsidR="002C786A"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In conclusion of the reflection included, </w:t>
      </w:r>
      <w:proofErr w:type="gramStart"/>
      <w:r w:rsidRPr="00341F5D">
        <w:rPr>
          <w:rFonts w:asciiTheme="minorHAnsi" w:eastAsiaTheme="minorHAnsi" w:hAnsiTheme="minorHAnsi" w:cstheme="minorBidi"/>
          <w:color w:val="auto"/>
          <w:kern w:val="2"/>
          <w:sz w:val="22"/>
          <w:szCs w:val="22"/>
          <w:lang w:eastAsia="en-US"/>
          <w14:ligatures w14:val="standardContextual"/>
        </w:rPr>
        <w:t>it is clear that personal</w:t>
      </w:r>
      <w:proofErr w:type="gramEnd"/>
      <w:r w:rsidRPr="00341F5D">
        <w:rPr>
          <w:rFonts w:asciiTheme="minorHAnsi" w:eastAsiaTheme="minorHAnsi" w:hAnsiTheme="minorHAnsi" w:cstheme="minorBidi"/>
          <w:color w:val="auto"/>
          <w:kern w:val="2"/>
          <w:sz w:val="22"/>
          <w:szCs w:val="22"/>
          <w:lang w:eastAsia="en-US"/>
          <w14:ligatures w14:val="standardContextual"/>
        </w:rPr>
        <w:t xml:space="preserve"> beliefs, morals and values can sometimes conflict with the same culture components of the organisation as a whole. Whilst a significant challenge, due to limitations upon resources, engagement in change within the police force can support personal well-being and uphold resilience to ensure emotional health is optimised.  Personal well-being is currently supported by a work-life balance and by seeking and utilising the support of available well-being services and by ensuring access to established peer groups, who have empirical experience of culture practices and changes and be an effective support to emotional health by ensuring motivation and drive and to ensure there is sound recognition and justification for thought processes around conflict between values and beliefs.  </w:t>
      </w:r>
    </w:p>
    <w:p w14:paraId="6D7F2B9E" w14:textId="67F2F188" w:rsidR="00341F5D" w:rsidRPr="00341F5D" w:rsidRDefault="005D4504" w:rsidP="00341F5D">
      <w:pPr>
        <w:overflowPunct/>
        <w:autoSpaceDE/>
        <w:autoSpaceDN/>
        <w:adjustRightInd/>
        <w:spacing w:after="160" w:line="360" w:lineRule="auto"/>
        <w:textAlignment w:val="auto"/>
        <w:rPr>
          <w:rFonts w:asciiTheme="minorHAnsi" w:eastAsiaTheme="minorHAnsi" w:hAnsiTheme="minorHAnsi" w:cstheme="minorBidi"/>
          <w:b/>
          <w:bCs/>
          <w:color w:val="auto"/>
          <w:kern w:val="2"/>
          <w:sz w:val="22"/>
          <w:szCs w:val="22"/>
          <w:lang w:eastAsia="en-US"/>
          <w14:ligatures w14:val="standardContextual"/>
        </w:rPr>
      </w:pPr>
      <w:r>
        <w:rPr>
          <w:rFonts w:asciiTheme="minorHAnsi" w:eastAsiaTheme="minorHAnsi" w:hAnsiTheme="minorHAnsi" w:cstheme="minorBidi"/>
          <w:b/>
          <w:bCs/>
          <w:color w:val="auto"/>
          <w:kern w:val="2"/>
          <w:sz w:val="22"/>
          <w:szCs w:val="22"/>
          <w:lang w:eastAsia="en-US"/>
          <w14:ligatures w14:val="standardContextual"/>
        </w:rPr>
        <w:t>WORD COUNT:</w:t>
      </w:r>
      <w:r w:rsidR="002C786A">
        <w:rPr>
          <w:rFonts w:asciiTheme="minorHAnsi" w:eastAsiaTheme="minorHAnsi" w:hAnsiTheme="minorHAnsi" w:cstheme="minorBidi"/>
          <w:b/>
          <w:bCs/>
          <w:color w:val="auto"/>
          <w:kern w:val="2"/>
          <w:sz w:val="22"/>
          <w:szCs w:val="22"/>
          <w:lang w:eastAsia="en-US"/>
          <w14:ligatures w14:val="standardContextual"/>
        </w:rPr>
        <w:t xml:space="preserve"> 1289</w:t>
      </w:r>
      <w:r>
        <w:rPr>
          <w:rFonts w:asciiTheme="minorHAnsi" w:eastAsiaTheme="minorHAnsi" w:hAnsiTheme="minorHAnsi" w:cstheme="minorBidi"/>
          <w:b/>
          <w:bCs/>
          <w:color w:val="auto"/>
          <w:kern w:val="2"/>
          <w:sz w:val="22"/>
          <w:szCs w:val="22"/>
          <w:lang w:eastAsia="en-US"/>
          <w14:ligatures w14:val="standardContextual"/>
        </w:rPr>
        <w:t xml:space="preserve"> </w:t>
      </w:r>
    </w:p>
    <w:p w14:paraId="71A72710" w14:textId="77777777" w:rsidR="00BF4743" w:rsidRPr="0075217E" w:rsidRDefault="00BF4743" w:rsidP="00BF4743"/>
    <w:p w14:paraId="349272BF" w14:textId="77777777" w:rsidR="00BF4743" w:rsidRDefault="00BF4743" w:rsidP="00BF4743"/>
    <w:p w14:paraId="29F8D2D1" w14:textId="77777777" w:rsidR="009F710E" w:rsidRPr="00025650" w:rsidRDefault="009F710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441C3">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629BD652" w14:textId="77777777" w:rsidR="00E6274B" w:rsidRDefault="00E6274B"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E6274B">
        <w:rPr>
          <w:rFonts w:asciiTheme="minorHAnsi" w:eastAsiaTheme="minorHAnsi" w:hAnsiTheme="minorHAnsi" w:cstheme="minorBidi"/>
          <w:color w:val="auto"/>
          <w:kern w:val="2"/>
          <w:sz w:val="22"/>
          <w:szCs w:val="22"/>
          <w:lang w:eastAsia="en-US"/>
          <w14:ligatures w14:val="standardContextual"/>
        </w:rPr>
        <w:t xml:space="preserve">Reflection is a reliable way to support the analysis of evidence-based, up-to-date information and data, to both confirm good practice and to identify changes to practices that are required to ensure both personal and professional development and to support current or future decision-making (Bassot, 2023). This view reinforces Delves-Yates (2021) consideration that reflective practice allows us to pay attention to personal actions and interventions that require additional learning and experience </w:t>
      </w:r>
      <w:proofErr w:type="gramStart"/>
      <w:r w:rsidRPr="00E6274B">
        <w:rPr>
          <w:rFonts w:asciiTheme="minorHAnsi" w:eastAsiaTheme="minorHAnsi" w:hAnsiTheme="minorHAnsi" w:cstheme="minorBidi"/>
          <w:color w:val="auto"/>
          <w:kern w:val="2"/>
          <w:sz w:val="22"/>
          <w:szCs w:val="22"/>
          <w:lang w:eastAsia="en-US"/>
          <w14:ligatures w14:val="standardContextual"/>
        </w:rPr>
        <w:t>in order to</w:t>
      </w:r>
      <w:proofErr w:type="gramEnd"/>
      <w:r w:rsidRPr="00E6274B">
        <w:rPr>
          <w:rFonts w:asciiTheme="minorHAnsi" w:eastAsiaTheme="minorHAnsi" w:hAnsiTheme="minorHAnsi" w:cstheme="minorBidi"/>
          <w:color w:val="auto"/>
          <w:kern w:val="2"/>
          <w:sz w:val="22"/>
          <w:szCs w:val="22"/>
          <w:lang w:eastAsia="en-US"/>
          <w14:ligatures w14:val="standardContextual"/>
        </w:rPr>
        <w:t xml:space="preserve"> ensure positive outcomes, which, in the context of neighbourhood policing can result in safer communities and neighbourhoods for those living in them. </w:t>
      </w:r>
    </w:p>
    <w:p w14:paraId="6BF2C61A" w14:textId="77777777" w:rsidR="00E6274B" w:rsidRPr="00E6274B" w:rsidRDefault="00E6274B"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0F7A0034" w14:textId="1DB623EA"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eastAsiaTheme="minorHAnsi" w:hAnsiTheme="minorHAnsi" w:cstheme="minorBidi"/>
          <w:noProof/>
          <w:color w:val="auto"/>
          <w:kern w:val="2"/>
          <w:sz w:val="22"/>
          <w:szCs w:val="22"/>
          <w:lang w:eastAsia="en-US"/>
          <w14:ligatures w14:val="standardContextual"/>
        </w:rPr>
        <w:drawing>
          <wp:anchor distT="0" distB="0" distL="114300" distR="114300" simplePos="0" relativeHeight="251660288" behindDoc="0" locked="0" layoutInCell="1" allowOverlap="1" wp14:anchorId="253CD11E" wp14:editId="409859C6">
            <wp:simplePos x="0" y="0"/>
            <wp:positionH relativeFrom="margin">
              <wp:align>left</wp:align>
            </wp:positionH>
            <wp:positionV relativeFrom="page">
              <wp:posOffset>8417853</wp:posOffset>
            </wp:positionV>
            <wp:extent cx="2236763" cy="2074887"/>
            <wp:effectExtent l="0" t="0" r="0" b="1905"/>
            <wp:wrapNone/>
            <wp:docPr id="649573496" name="Picture 1"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73496" name="Picture 1" descr="A diagram of ethics values and professional standard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36763" cy="20748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274B">
        <w:rPr>
          <w:rFonts w:asciiTheme="minorHAnsi" w:eastAsiaTheme="minorHAnsi" w:hAnsiTheme="minorHAnsi" w:cstheme="minorBidi"/>
          <w:color w:val="auto"/>
          <w:kern w:val="2"/>
          <w:sz w:val="22"/>
          <w:szCs w:val="22"/>
          <w:lang w:eastAsia="en-US"/>
          <w14:ligatures w14:val="standardContextual"/>
        </w:rPr>
        <w:t xml:space="preserve">Reflecting upon the described incident, allows consideration of the National Decision Model </w:t>
      </w:r>
      <w:r w:rsidRPr="00E6274B">
        <w:rPr>
          <w:rFonts w:asciiTheme="minorHAnsi" w:hAnsiTheme="minorHAnsi" w:cstheme="minorHAnsi"/>
          <w:sz w:val="22"/>
          <w:szCs w:val="22"/>
        </w:rPr>
        <w:t xml:space="preserve">(NDM), (College of Policing, 2024), providing robust and evidence-based support to officers immediate and planned actions, with </w:t>
      </w:r>
      <w:proofErr w:type="spellStart"/>
      <w:r w:rsidRPr="00E6274B">
        <w:rPr>
          <w:rFonts w:asciiTheme="minorHAnsi" w:hAnsiTheme="minorHAnsi" w:cstheme="minorHAnsi"/>
          <w:sz w:val="22"/>
          <w:szCs w:val="22"/>
        </w:rPr>
        <w:t>it’s</w:t>
      </w:r>
      <w:proofErr w:type="spellEnd"/>
      <w:r w:rsidRPr="00E6274B">
        <w:rPr>
          <w:rFonts w:asciiTheme="minorHAnsi" w:hAnsiTheme="minorHAnsi" w:cstheme="minorHAnsi"/>
          <w:sz w:val="22"/>
          <w:szCs w:val="22"/>
        </w:rPr>
        <w:t xml:space="preserve"> core concept aligned with the Code of Practice for Ethical Policing (College of Policing, 2023) and The Human Rights Act (1998) (Smith, 2022).</w:t>
      </w:r>
    </w:p>
    <w:p w14:paraId="56667A65" w14:textId="3DA41EF5"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49A84A32" w14:textId="00F9D0D3"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4BB68401" w14:textId="0ACCDDDC"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hAnsiTheme="minorHAnsi" w:cstheme="minorHAnsi"/>
          <w:noProof/>
          <w:sz w:val="22"/>
          <w:szCs w:val="22"/>
          <w14:ligatures w14:val="standardContextual"/>
        </w:rPr>
        <mc:AlternateContent>
          <mc:Choice Requires="wps">
            <w:drawing>
              <wp:anchor distT="0" distB="0" distL="114300" distR="114300" simplePos="0" relativeHeight="251662336" behindDoc="0" locked="0" layoutInCell="1" allowOverlap="1" wp14:anchorId="758D5F55" wp14:editId="7B47DB17">
                <wp:simplePos x="0" y="0"/>
                <wp:positionH relativeFrom="column">
                  <wp:posOffset>2250830</wp:posOffset>
                </wp:positionH>
                <wp:positionV relativeFrom="page">
                  <wp:posOffset>9750864</wp:posOffset>
                </wp:positionV>
                <wp:extent cx="2370406" cy="576775"/>
                <wp:effectExtent l="0" t="0" r="0" b="0"/>
                <wp:wrapNone/>
                <wp:docPr id="355421790" name="Text Box 2"/>
                <wp:cNvGraphicFramePr/>
                <a:graphic xmlns:a="http://schemas.openxmlformats.org/drawingml/2006/main">
                  <a:graphicData uri="http://schemas.microsoft.com/office/word/2010/wordprocessingShape">
                    <wps:wsp>
                      <wps:cNvSpPr txBox="1"/>
                      <wps:spPr>
                        <a:xfrm>
                          <a:off x="0" y="0"/>
                          <a:ext cx="2370406" cy="576775"/>
                        </a:xfrm>
                        <a:prstGeom prst="rect">
                          <a:avLst/>
                        </a:prstGeom>
                        <a:solidFill>
                          <a:sysClr val="window" lastClr="FFFFFF"/>
                        </a:solidFill>
                        <a:ln w="6350">
                          <a:noFill/>
                        </a:ln>
                      </wps:spPr>
                      <wps:txbx>
                        <w:txbxContent>
                          <w:p w14:paraId="3CF69BB2" w14:textId="77777777" w:rsidR="00E6274B" w:rsidRPr="00F71284" w:rsidRDefault="00E6274B" w:rsidP="00E6274B">
                            <w:r w:rsidRPr="00F71284">
                              <w:t>The National Decision Model (NDM)</w:t>
                            </w:r>
                          </w:p>
                          <w:p w14:paraId="5BBFDCEB" w14:textId="77777777" w:rsidR="00E6274B" w:rsidRPr="00F71284" w:rsidRDefault="00E6274B" w:rsidP="00E6274B">
                            <w:pPr>
                              <w:rPr>
                                <w:sz w:val="18"/>
                                <w:szCs w:val="18"/>
                              </w:rPr>
                            </w:pPr>
                            <w:r w:rsidRPr="00F71284">
                              <w:rPr>
                                <w:sz w:val="18"/>
                                <w:szCs w:val="18"/>
                              </w:rPr>
                              <w:t>(College of Policing,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D5F55" id="_x0000_t202" coordsize="21600,21600" o:spt="202" path="m,l,21600r21600,l21600,xe">
                <v:stroke joinstyle="miter"/>
                <v:path gradientshapeok="t" o:connecttype="rect"/>
              </v:shapetype>
              <v:shape id="Text Box 2" o:spid="_x0000_s1026" type="#_x0000_t202" style="position:absolute;left:0;text-align:left;margin-left:177.25pt;margin-top:767.8pt;width:186.65pt;height:4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" fillcolor="window" stroked="f" strokeweight=".5pt">
                <v:textbox>
                  <w:txbxContent>
                    <w:p w14:paraId="3CF69BB2" w14:textId="77777777" w:rsidR="00E6274B" w:rsidRPr="00F71284" w:rsidRDefault="00E6274B" w:rsidP="00E6274B">
                      <w:r w:rsidRPr="00F71284">
                        <w:t>The National Decision Model (NDM)</w:t>
                      </w:r>
                    </w:p>
                    <w:p w14:paraId="5BBFDCEB" w14:textId="77777777" w:rsidR="00E6274B" w:rsidRPr="00F71284" w:rsidRDefault="00E6274B" w:rsidP="00E6274B">
                      <w:pPr>
                        <w:rPr>
                          <w:sz w:val="18"/>
                          <w:szCs w:val="18"/>
                        </w:rPr>
                      </w:pPr>
                      <w:r w:rsidRPr="00F71284">
                        <w:rPr>
                          <w:sz w:val="18"/>
                          <w:szCs w:val="18"/>
                        </w:rPr>
                        <w:t>(College of Policing, 2024)</w:t>
                      </w:r>
                    </w:p>
                  </w:txbxContent>
                </v:textbox>
                <w10:wrap anchory="page"/>
              </v:shape>
            </w:pict>
          </mc:Fallback>
        </mc:AlternateContent>
      </w:r>
    </w:p>
    <w:p w14:paraId="7611B6FA" w14:textId="359F57C3"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hAnsiTheme="minorHAnsi" w:cstheme="minorHAnsi"/>
          <w:sz w:val="22"/>
          <w:szCs w:val="22"/>
        </w:rPr>
        <w:lastRenderedPageBreak/>
        <w:t xml:space="preserve">To provide a structure for reflection upon the incident described Rolfe’s model </w:t>
      </w:r>
      <w:r w:rsidRPr="00E6274B">
        <w:rPr>
          <w:rFonts w:asciiTheme="minorHAnsi" w:eastAsiaTheme="minorHAnsi" w:hAnsiTheme="minorHAnsi" w:cstheme="minorBidi"/>
          <w:color w:val="auto"/>
          <w:kern w:val="2"/>
          <w:sz w:val="22"/>
          <w:szCs w:val="22"/>
          <w:lang w:eastAsia="en-US"/>
          <w14:ligatures w14:val="standardContextual"/>
        </w:rPr>
        <w:t xml:space="preserve">(Rolfe, Jasper &amp; Freshwater, 2010) </w:t>
      </w:r>
      <w:r w:rsidRPr="00E6274B">
        <w:rPr>
          <w:rFonts w:asciiTheme="minorHAnsi" w:hAnsiTheme="minorHAnsi" w:cstheme="minorHAnsi"/>
          <w:sz w:val="22"/>
          <w:szCs w:val="22"/>
        </w:rPr>
        <w:t xml:space="preserve">will be utilised, where reflection will be broken down into three stages of “What?” (description), “So What?” (analysis) and “Now What?” (actions). This model will allow consideration and analysis of the incident to be reflected upon and allows opportunity to understand what is required to confirm good practice or to change future practice and the subsequent outcomes. </w:t>
      </w:r>
    </w:p>
    <w:p w14:paraId="0DF35982" w14:textId="77777777"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20A593FA"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b/>
          <w:bCs/>
          <w:color w:val="auto"/>
          <w:kern w:val="2"/>
          <w:sz w:val="22"/>
          <w:szCs w:val="22"/>
          <w:lang w:eastAsia="en-US"/>
          <w14:ligatures w14:val="standardContextual"/>
        </w:rPr>
      </w:pPr>
      <w:r w:rsidRPr="00E6274B">
        <w:rPr>
          <w:rFonts w:asciiTheme="minorHAnsi" w:eastAsiaTheme="minorHAnsi" w:hAnsiTheme="minorHAnsi" w:cstheme="minorHAnsi"/>
          <w:b/>
          <w:bCs/>
          <w:color w:val="auto"/>
          <w:kern w:val="2"/>
          <w:sz w:val="22"/>
          <w:szCs w:val="22"/>
          <w:lang w:eastAsia="en-US"/>
          <w14:ligatures w14:val="standardContextual"/>
        </w:rPr>
        <w:t>WHAT?</w:t>
      </w:r>
    </w:p>
    <w:p w14:paraId="0B2A9ABE" w14:textId="789926E3"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 xml:space="preserve">Neighbourhood response policing is an </w:t>
      </w:r>
      <w:proofErr w:type="gramStart"/>
      <w:r w:rsidRPr="00E6274B">
        <w:rPr>
          <w:rFonts w:asciiTheme="minorHAnsi" w:eastAsiaTheme="minorHAnsi" w:hAnsiTheme="minorHAnsi" w:cstheme="minorHAnsi"/>
          <w:color w:val="auto"/>
          <w:kern w:val="2"/>
          <w:sz w:val="22"/>
          <w:szCs w:val="22"/>
          <w:lang w:eastAsia="en-US"/>
          <w14:ligatures w14:val="standardContextual"/>
        </w:rPr>
        <w:t>often unpredictable</w:t>
      </w:r>
      <w:proofErr w:type="gramEnd"/>
      <w:r w:rsidRPr="00E6274B">
        <w:rPr>
          <w:rFonts w:asciiTheme="minorHAnsi" w:eastAsiaTheme="minorHAnsi" w:hAnsiTheme="minorHAnsi" w:cstheme="minorHAnsi"/>
          <w:color w:val="auto"/>
          <w:kern w:val="2"/>
          <w:sz w:val="22"/>
          <w:szCs w:val="22"/>
          <w:lang w:eastAsia="en-US"/>
          <w14:ligatures w14:val="standardContextual"/>
        </w:rPr>
        <w:t xml:space="preserve"> role and requires a common sense, ethical approach alongside the processes in place for safe, appropriate and responsive policing (Longstaff, Willer et al, 2015). Individual officers in this field are responsible for amalgamating their values with recognised frameworks to reach sound judgments and subsequent outcomes. Dynamic risk assessment, defined by the Health and Safety Executive as active observation, </w:t>
      </w:r>
      <w:proofErr w:type="gramStart"/>
      <w:r w:rsidRPr="00E6274B">
        <w:rPr>
          <w:rFonts w:asciiTheme="minorHAnsi" w:eastAsiaTheme="minorHAnsi" w:hAnsiTheme="minorHAnsi" w:cstheme="minorHAnsi"/>
          <w:color w:val="auto"/>
          <w:kern w:val="2"/>
          <w:sz w:val="22"/>
          <w:szCs w:val="22"/>
          <w:lang w:eastAsia="en-US"/>
          <w14:ligatures w14:val="standardContextual"/>
        </w:rPr>
        <w:t>assessment</w:t>
      </w:r>
      <w:proofErr w:type="gramEnd"/>
      <w:r w:rsidRPr="00E6274B">
        <w:rPr>
          <w:rFonts w:asciiTheme="minorHAnsi" w:eastAsiaTheme="minorHAnsi" w:hAnsiTheme="minorHAnsi" w:cstheme="minorHAnsi"/>
          <w:color w:val="auto"/>
          <w:kern w:val="2"/>
          <w:sz w:val="22"/>
          <w:szCs w:val="22"/>
          <w:lang w:eastAsia="en-US"/>
          <w14:ligatures w14:val="standardContextual"/>
        </w:rPr>
        <w:t xml:space="preserve"> and analysis of any given situation whilst it is ongoing to identify risk and inform actions to reduce the actual or potential risk to self and others (Health and Safety Executive, 2024). In the context of policing and particularly in respect of emergency response, that dynamic can change rapidly and regularly in a short period of time. Frameworks are, therefore, an integral factor in decision making for officers to ensure safe outcomes that are ethical, justifiable and for which individuals can be held accountable for (Masters &amp; Kebbell, 2023). </w:t>
      </w:r>
    </w:p>
    <w:p w14:paraId="43973DDA"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b/>
          <w:bCs/>
          <w:color w:val="auto"/>
          <w:kern w:val="2"/>
          <w:sz w:val="22"/>
          <w:szCs w:val="22"/>
          <w:lang w:eastAsia="en-US"/>
          <w14:ligatures w14:val="standardContextual"/>
        </w:rPr>
      </w:pPr>
    </w:p>
    <w:p w14:paraId="7C7F11FC" w14:textId="77777777"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During a recent period of duty, an emergency call arose in relation to a domestic violence situation between a young couple. The female, who had contacted the police had disclosed to the call handler that her partner had smashed a glass in her house and pushed her over onto the floor causing an injury.</w:t>
      </w:r>
    </w:p>
    <w:p w14:paraId="10B84087"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31E1DBC5"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Upon arrival at the address, it appeared to be deserted with no lights and no evident sight or sound of movement from within. After the front entry door was knocked several times, a male answered and explained that only he and his partner resided at the address, and that there had been no incident. After being questioned on the doorstep for several minutes, about his partner, the male began to become abrupt and having requested to be let inside the property on several occasions, to which he was initially resistant, the male eventually agreed.</w:t>
      </w:r>
    </w:p>
    <w:p w14:paraId="40B8EBB5" w14:textId="77777777"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lastRenderedPageBreak/>
        <w:t xml:space="preserve">Having entered the address there was immediate evidence of shattered glass to the floor. The male stated that his partner was upstairs in the bedroom, who was then questioned about the incident that was reported. The female appeared was upset but refused to speak about the call she made to the police. Despite attempts to engage with the female, she refused to engage in conversation, with the exception of confirming her details and having sat with her for some time, the more irate the male was becoming with officers downstairs, where he could be heard shouting and screaming towards the officers that were with him. </w:t>
      </w:r>
    </w:p>
    <w:p w14:paraId="6195ED84"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1137621D" w14:textId="77777777"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Despite the female’s reluctance to disclose the events of the incident, based upon the initial call to the police and the evidence that the male was acting very irate towards officers, the decision was made to arrest the male on suspicion of Comon Assault and Criminal Damage, especially given the additional evidence of broken glass inside the property and on the basis of Positive Action, that as officers, provides a basis of training and often has critical bearing upon decisions made.</w:t>
      </w:r>
    </w:p>
    <w:p w14:paraId="729E2CC1"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14BBA078" w14:textId="77777777" w:rsidR="00E6274B" w:rsidRPr="00E6274B" w:rsidRDefault="00E6274B" w:rsidP="004E2EF8">
      <w:pPr>
        <w:spacing w:line="360" w:lineRule="auto"/>
        <w:jc w:val="both"/>
        <w:rPr>
          <w:rFonts w:asciiTheme="minorHAnsi" w:hAnsiTheme="minorHAnsi" w:cstheme="minorHAnsi"/>
          <w:b/>
          <w:bCs/>
          <w:sz w:val="22"/>
          <w:szCs w:val="22"/>
        </w:rPr>
      </w:pPr>
      <w:r w:rsidRPr="00E6274B">
        <w:rPr>
          <w:rFonts w:asciiTheme="minorHAnsi" w:hAnsiTheme="minorHAnsi" w:cstheme="minorHAnsi"/>
          <w:b/>
          <w:bCs/>
          <w:sz w:val="22"/>
          <w:szCs w:val="22"/>
        </w:rPr>
        <w:t>NOW WHAT?</w:t>
      </w:r>
    </w:p>
    <w:p w14:paraId="319C8052" w14:textId="062DD232" w:rsidR="00E6274B" w:rsidRDefault="00E6274B" w:rsidP="004E2EF8">
      <w:pPr>
        <w:spacing w:line="360" w:lineRule="auto"/>
        <w:jc w:val="both"/>
        <w:rPr>
          <w:rFonts w:asciiTheme="minorHAnsi" w:hAnsiTheme="minorHAnsi" w:cstheme="minorHAnsi"/>
          <w:sz w:val="22"/>
          <w:szCs w:val="22"/>
        </w:rPr>
      </w:pPr>
      <w:r w:rsidRPr="00E6274B">
        <w:rPr>
          <w:rFonts w:asciiTheme="minorHAnsi" w:hAnsiTheme="minorHAnsi" w:cstheme="minorHAnsi"/>
          <w:sz w:val="22"/>
          <w:szCs w:val="22"/>
        </w:rPr>
        <w:t xml:space="preserve">When considering the concept of decision making in the context of the described incident, </w:t>
      </w:r>
      <w:proofErr w:type="spellStart"/>
      <w:r w:rsidRPr="00E6274B">
        <w:rPr>
          <w:rFonts w:asciiTheme="minorHAnsi" w:hAnsiTheme="minorHAnsi" w:cstheme="minorHAnsi"/>
          <w:sz w:val="22"/>
          <w:szCs w:val="22"/>
        </w:rPr>
        <w:t>Weatheritt</w:t>
      </w:r>
      <w:proofErr w:type="spellEnd"/>
      <w:r w:rsidRPr="00E6274B">
        <w:rPr>
          <w:rFonts w:asciiTheme="minorHAnsi" w:hAnsiTheme="minorHAnsi" w:cstheme="minorHAnsi"/>
          <w:sz w:val="22"/>
          <w:szCs w:val="22"/>
        </w:rPr>
        <w:t xml:space="preserve"> (2023) states that decision making is a critical factor in the qualities and skills of police officers, when considering the unpredictable nature of the stressful situations that can arise and escalate during any period of duty. Fridman et al (2019) applied a theoretical approach to decision-making, surmising that it can be pivotal in gathering evidence, securing arrests and convictions and can ultimately have significant impacts, either positive or negative, upon both the victim and the perpetrator. This decision-making, aligned with individual discretion and personal values and beliefs can be instrumental in achieving positive outcomes and, importantly, ensuring officers can be justifiably accountable for their actions (Rowe, 2020). </w:t>
      </w:r>
    </w:p>
    <w:p w14:paraId="4A63AFAB" w14:textId="77777777" w:rsidR="00E6274B" w:rsidRPr="00E6274B" w:rsidRDefault="00E6274B" w:rsidP="004E2EF8">
      <w:pPr>
        <w:spacing w:line="360" w:lineRule="auto"/>
        <w:jc w:val="both"/>
        <w:rPr>
          <w:rFonts w:asciiTheme="minorHAnsi" w:hAnsiTheme="minorHAnsi" w:cstheme="minorHAnsi"/>
          <w:sz w:val="22"/>
          <w:szCs w:val="22"/>
        </w:rPr>
      </w:pPr>
    </w:p>
    <w:p w14:paraId="5BF3A2BA" w14:textId="77777777" w:rsidR="00E6274B" w:rsidRPr="00E6274B" w:rsidRDefault="00E6274B" w:rsidP="004E2EF8">
      <w:pPr>
        <w:spacing w:line="360" w:lineRule="auto"/>
        <w:jc w:val="both"/>
        <w:rPr>
          <w:rFonts w:asciiTheme="minorHAnsi" w:hAnsiTheme="minorHAnsi" w:cstheme="minorHAnsi"/>
          <w:sz w:val="22"/>
          <w:szCs w:val="22"/>
        </w:rPr>
      </w:pPr>
      <w:r w:rsidRPr="00E6274B">
        <w:rPr>
          <w:rFonts w:asciiTheme="minorHAnsi" w:hAnsiTheme="minorHAnsi" w:cstheme="minorHAnsi"/>
          <w:sz w:val="22"/>
          <w:szCs w:val="22"/>
        </w:rPr>
        <w:t xml:space="preserve">A fundamental and often critical tool in supporting officers with decision making is the National Decision Model (NDM), (College of Policing, 2024), which can be safely and appropriately used for all policing situations, from those that are unpredictable to those that are planned and scheduled. The framework, which is evidence-based upon current research and practice, and thus provides added cohesion to its process (Mitchell &amp; Lewis, 2017), places the Code of Practice for Ethical Policing (College of Policing, 2023) at its core, giving it robustness, and advocates a staged approach to officers’ decision making, from information gathering through to review processes, with assessment and knowledge of policy and law between. This, along with personal values and principles that include </w:t>
      </w:r>
      <w:r w:rsidRPr="00E6274B">
        <w:rPr>
          <w:rFonts w:asciiTheme="minorHAnsi" w:hAnsiTheme="minorHAnsi" w:cstheme="minorHAnsi"/>
          <w:sz w:val="22"/>
          <w:szCs w:val="22"/>
        </w:rPr>
        <w:lastRenderedPageBreak/>
        <w:t xml:space="preserve">integrity, </w:t>
      </w:r>
      <w:proofErr w:type="gramStart"/>
      <w:r w:rsidRPr="00E6274B">
        <w:rPr>
          <w:rFonts w:asciiTheme="minorHAnsi" w:hAnsiTheme="minorHAnsi" w:cstheme="minorHAnsi"/>
          <w:sz w:val="22"/>
          <w:szCs w:val="22"/>
        </w:rPr>
        <w:t>impartiality</w:t>
      </w:r>
      <w:proofErr w:type="gramEnd"/>
      <w:r w:rsidRPr="00E6274B">
        <w:rPr>
          <w:rFonts w:asciiTheme="minorHAnsi" w:hAnsiTheme="minorHAnsi" w:cstheme="minorHAnsi"/>
          <w:sz w:val="22"/>
          <w:szCs w:val="22"/>
        </w:rPr>
        <w:t xml:space="preserve"> and professionalism, should eliminate any bias in any given situation an officer finds themselves in and should result in a rational and balanced outcome (Roycroft, 2019). This unbiased approach, according to Cooper (2023), whose qualitative study of interviewing high level officials in a small number of policing areas, is something that can be vital when considering the contemporary need for policing and policing actions to be scrutinised and examined, especially after an event has transpired. Maile &amp; Ritzenthaler et al (2023) add that personal ethics and values contribute to officer discretion when making arrests. The qualitative study that elicited the views, through semi-structured interviews, of UK officers that had operational experience in the past 2-3 years demonstrates that contemporary policing policies, processes and training programmes should encourage the use of ethical consideration and any reviewing and amending of current policies and procedures, including the Code of Practice should have ethics and values as a core factor. The study admits limitations in that it depended upon volunteers for the research and the authors feel that those volunteers may have chosen to participate due to positive experiences in their role. </w:t>
      </w:r>
    </w:p>
    <w:p w14:paraId="2CB6AAB7" w14:textId="77777777" w:rsidR="00E6274B" w:rsidRPr="00E6274B" w:rsidRDefault="00E6274B" w:rsidP="004E2EF8">
      <w:pPr>
        <w:spacing w:line="360" w:lineRule="auto"/>
        <w:jc w:val="both"/>
        <w:rPr>
          <w:rFonts w:asciiTheme="minorHAnsi" w:hAnsiTheme="minorHAnsi" w:cstheme="minorHAnsi"/>
          <w:sz w:val="22"/>
          <w:szCs w:val="22"/>
        </w:rPr>
      </w:pPr>
    </w:p>
    <w:p w14:paraId="76BFEC98"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b/>
          <w:bCs/>
          <w:sz w:val="22"/>
          <w:szCs w:val="22"/>
        </w:rPr>
      </w:pPr>
      <w:r w:rsidRPr="00E6274B">
        <w:rPr>
          <w:rFonts w:asciiTheme="minorHAnsi" w:hAnsiTheme="minorHAnsi" w:cstheme="minorHAnsi"/>
          <w:b/>
          <w:bCs/>
          <w:sz w:val="22"/>
          <w:szCs w:val="22"/>
        </w:rPr>
        <w:t>SO WHAT?</w:t>
      </w:r>
    </w:p>
    <w:p w14:paraId="3BE47350" w14:textId="77777777" w:rsid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sz w:val="22"/>
          <w:szCs w:val="22"/>
        </w:rPr>
      </w:pPr>
      <w:r w:rsidRPr="00E6274B">
        <w:rPr>
          <w:rFonts w:asciiTheme="minorHAnsi" w:hAnsiTheme="minorHAnsi" w:cstheme="minorHAnsi"/>
          <w:sz w:val="22"/>
          <w:szCs w:val="22"/>
        </w:rPr>
        <w:t xml:space="preserve">The use of the NDM, supported by personal values and ethics, informed the decision made to arrest the male at the scene. Professional curiosity, coupled with instinct or intuition, both interchangeable terms, that is underpinned by an evidence base can lead to judgements that are based upon discretion and experience (Christopher, 2015). Whilst policy and law remain relatively static in policing neighbourhoods and communities the dynamic of the human factor can cause complexities and challenges for officers (Schon, 1991) and it is vital, therefore, according to Charles (2000) that creativity and innovation are used by officers in situations such as that described, in order to successfully deal with the dilemmas posed. </w:t>
      </w:r>
    </w:p>
    <w:p w14:paraId="3E3A5AD1"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sz w:val="22"/>
          <w:szCs w:val="22"/>
        </w:rPr>
      </w:pPr>
    </w:p>
    <w:p w14:paraId="462893B6" w14:textId="77777777" w:rsidR="00E6274B"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hAnsiTheme="minorHAnsi" w:cstheme="minorHAnsi"/>
          <w:sz w:val="22"/>
          <w:szCs w:val="22"/>
        </w:rPr>
        <w:t xml:space="preserve">In the context of the incident described, </w:t>
      </w:r>
      <w:r w:rsidRPr="00E6274B">
        <w:rPr>
          <w:rFonts w:asciiTheme="minorHAnsi" w:eastAsiaTheme="minorHAnsi" w:hAnsiTheme="minorHAnsi" w:cstheme="minorHAnsi"/>
          <w:color w:val="auto"/>
          <w:kern w:val="2"/>
          <w:sz w:val="22"/>
          <w:szCs w:val="22"/>
          <w:lang w:eastAsia="en-US"/>
          <w14:ligatures w14:val="standardContextual"/>
        </w:rPr>
        <w:t xml:space="preserve">after officers left the scene and took the male to custody, the female was revisited at the scene, questioned further and subsequently provided a statement that an assault </w:t>
      </w:r>
      <w:proofErr w:type="gramStart"/>
      <w:r w:rsidRPr="00E6274B">
        <w:rPr>
          <w:rFonts w:asciiTheme="minorHAnsi" w:eastAsiaTheme="minorHAnsi" w:hAnsiTheme="minorHAnsi" w:cstheme="minorHAnsi"/>
          <w:color w:val="auto"/>
          <w:kern w:val="2"/>
          <w:sz w:val="22"/>
          <w:szCs w:val="22"/>
          <w:lang w:eastAsia="en-US"/>
          <w14:ligatures w14:val="standardContextual"/>
        </w:rPr>
        <w:t>actually took</w:t>
      </w:r>
      <w:proofErr w:type="gramEnd"/>
      <w:r w:rsidRPr="00E6274B">
        <w:rPr>
          <w:rFonts w:asciiTheme="minorHAnsi" w:eastAsiaTheme="minorHAnsi" w:hAnsiTheme="minorHAnsi" w:cstheme="minorHAnsi"/>
          <w:color w:val="auto"/>
          <w:kern w:val="2"/>
          <w:sz w:val="22"/>
          <w:szCs w:val="22"/>
          <w:lang w:eastAsia="en-US"/>
          <w14:ligatures w14:val="standardContextual"/>
        </w:rPr>
        <w:t xml:space="preserve"> place. This affirmed the decision-making process that took place, utilising the elements of the NDM and eliciting personal values, </w:t>
      </w:r>
      <w:proofErr w:type="gramStart"/>
      <w:r w:rsidRPr="00E6274B">
        <w:rPr>
          <w:rFonts w:asciiTheme="minorHAnsi" w:eastAsiaTheme="minorHAnsi" w:hAnsiTheme="minorHAnsi" w:cstheme="minorHAnsi"/>
          <w:color w:val="auto"/>
          <w:kern w:val="2"/>
          <w:sz w:val="22"/>
          <w:szCs w:val="22"/>
          <w:lang w:eastAsia="en-US"/>
          <w14:ligatures w14:val="standardContextual"/>
        </w:rPr>
        <w:t>ethics</w:t>
      </w:r>
      <w:proofErr w:type="gramEnd"/>
      <w:r w:rsidRPr="00E6274B">
        <w:rPr>
          <w:rFonts w:asciiTheme="minorHAnsi" w:eastAsiaTheme="minorHAnsi" w:hAnsiTheme="minorHAnsi" w:cstheme="minorHAnsi"/>
          <w:color w:val="auto"/>
          <w:kern w:val="2"/>
          <w:sz w:val="22"/>
          <w:szCs w:val="22"/>
          <w:lang w:eastAsia="en-US"/>
          <w14:ligatures w14:val="standardContextual"/>
        </w:rPr>
        <w:t xml:space="preserve"> and intuition, resulting in a situation whereby the perpetrator paid the consequences of his actions. </w:t>
      </w:r>
    </w:p>
    <w:p w14:paraId="1F6473AB" w14:textId="77777777" w:rsidR="00E6274B" w:rsidRPr="00E6274B"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p>
    <w:p w14:paraId="1DB78A2E" w14:textId="2D12E2C2" w:rsidR="00E6274B"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 xml:space="preserve">The decision-making process is a critical skill for police officers and evokes sometimes intense, post-incident scrutiny. To reflect upon this has offered an opportunity to consider the incident described </w:t>
      </w:r>
      <w:r w:rsidRPr="00E6274B">
        <w:rPr>
          <w:rFonts w:asciiTheme="minorHAnsi" w:eastAsiaTheme="minorHAnsi" w:hAnsiTheme="minorHAnsi" w:cstheme="minorHAnsi"/>
          <w:color w:val="auto"/>
          <w:kern w:val="2"/>
          <w:sz w:val="22"/>
          <w:szCs w:val="22"/>
          <w:lang w:eastAsia="en-US"/>
          <w14:ligatures w14:val="standardContextual"/>
        </w:rPr>
        <w:lastRenderedPageBreak/>
        <w:t xml:space="preserve">and the actions taken in the context of the dynamic situation that transpired. Neighbourhood and response policing is an unpredictable practice that requires innovation and fast-paced decision making to ensure justifiable actions and positive outcomes that maintain the safety of communities and that ensure the police officer is held accountable through that scrutiny process that has become more common in modern and contemporary policing </w:t>
      </w:r>
      <w:r w:rsidR="00F36084" w:rsidRPr="00E6274B">
        <w:rPr>
          <w:rFonts w:asciiTheme="minorHAnsi" w:eastAsiaTheme="minorHAnsi" w:hAnsiTheme="minorHAnsi" w:cstheme="minorHAnsi"/>
          <w:color w:val="auto"/>
          <w:kern w:val="2"/>
          <w:sz w:val="22"/>
          <w:szCs w:val="22"/>
          <w:lang w:eastAsia="en-US"/>
          <w14:ligatures w14:val="standardContextual"/>
        </w:rPr>
        <w:t>practice</w:t>
      </w:r>
      <w:r w:rsidRPr="00E6274B">
        <w:rPr>
          <w:rFonts w:asciiTheme="minorHAnsi" w:eastAsiaTheme="minorHAnsi" w:hAnsiTheme="minorHAnsi" w:cstheme="minorHAnsi"/>
          <w:color w:val="auto"/>
          <w:kern w:val="2"/>
          <w:sz w:val="22"/>
          <w:szCs w:val="22"/>
          <w:lang w:eastAsia="en-US"/>
          <w14:ligatures w14:val="standardContextual"/>
        </w:rPr>
        <w:t>. Using frameworks such as the NDM offers structure, as well as an evidence-base for practice and when supplemented by an officer’s</w:t>
      </w:r>
      <w:r w:rsidR="00B95793">
        <w:rPr>
          <w:rFonts w:asciiTheme="minorHAnsi" w:eastAsiaTheme="minorHAnsi" w:hAnsiTheme="minorHAnsi" w:cstheme="minorHAnsi"/>
          <w:color w:val="auto"/>
          <w:kern w:val="2"/>
          <w:sz w:val="22"/>
          <w:szCs w:val="22"/>
          <w:lang w:eastAsia="en-US"/>
          <w14:ligatures w14:val="standardContextual"/>
        </w:rPr>
        <w:t xml:space="preserve">, or team of officers, </w:t>
      </w:r>
      <w:r w:rsidRPr="00E6274B">
        <w:rPr>
          <w:rFonts w:asciiTheme="minorHAnsi" w:eastAsiaTheme="minorHAnsi" w:hAnsiTheme="minorHAnsi" w:cstheme="minorHAnsi"/>
          <w:color w:val="auto"/>
          <w:kern w:val="2"/>
          <w:sz w:val="22"/>
          <w:szCs w:val="22"/>
          <w:lang w:eastAsia="en-US"/>
          <w14:ligatures w14:val="standardContextual"/>
        </w:rPr>
        <w:t xml:space="preserve">own beliefs and value sets, and further considered alongside the standards of the police code of practice and laws such as The Human Rights Act (1998) provide a basis for sound and safe judgement in addressing criminal activity. The reflection has demonstrated that an unbiased approach to policing is pivotal in ensuring safety of all involved and that there is sound consideration of facts, assessment of risk and the potential outcome to officers, </w:t>
      </w:r>
      <w:proofErr w:type="gramStart"/>
      <w:r w:rsidRPr="00E6274B">
        <w:rPr>
          <w:rFonts w:asciiTheme="minorHAnsi" w:eastAsiaTheme="minorHAnsi" w:hAnsiTheme="minorHAnsi" w:cstheme="minorHAnsi"/>
          <w:color w:val="auto"/>
          <w:kern w:val="2"/>
          <w:sz w:val="22"/>
          <w:szCs w:val="22"/>
          <w:lang w:eastAsia="en-US"/>
          <w14:ligatures w14:val="standardContextual"/>
        </w:rPr>
        <w:t>victims</w:t>
      </w:r>
      <w:proofErr w:type="gramEnd"/>
      <w:r w:rsidRPr="00E6274B">
        <w:rPr>
          <w:rFonts w:asciiTheme="minorHAnsi" w:eastAsiaTheme="minorHAnsi" w:hAnsiTheme="minorHAnsi" w:cstheme="minorHAnsi"/>
          <w:color w:val="auto"/>
          <w:kern w:val="2"/>
          <w:sz w:val="22"/>
          <w:szCs w:val="22"/>
          <w:lang w:eastAsia="en-US"/>
          <w14:ligatures w14:val="standardContextual"/>
        </w:rPr>
        <w:t xml:space="preserve"> and perpetrators. Having moved through the reflective model and analysed actions and evidence it was not only evident that the correct decision had been made in the incident described, but the actions taken were commensurate with the aforementioned frameworks, standards and law and that the outcome, therefore, was positive, successful and, most importantly, justified.   </w:t>
      </w:r>
    </w:p>
    <w:p w14:paraId="48EFBA29" w14:textId="77B4C535" w:rsidR="00E6274B" w:rsidRPr="00E6274B" w:rsidRDefault="00112D51" w:rsidP="00E6274B">
      <w:pPr>
        <w:overflowPunct/>
        <w:autoSpaceDE/>
        <w:autoSpaceDN/>
        <w:adjustRightInd/>
        <w:spacing w:after="160" w:line="360" w:lineRule="auto"/>
        <w:ind w:right="237"/>
        <w:textAlignment w:val="auto"/>
        <w:rPr>
          <w:rFonts w:asciiTheme="minorHAnsi" w:eastAsiaTheme="minorHAnsi" w:hAnsiTheme="minorHAnsi" w:cstheme="minorHAnsi"/>
          <w:b/>
          <w:bCs/>
          <w:color w:val="auto"/>
          <w:kern w:val="2"/>
          <w:sz w:val="22"/>
          <w:szCs w:val="22"/>
          <w:lang w:eastAsia="en-US"/>
          <w14:ligatures w14:val="standardContextual"/>
        </w:rPr>
      </w:pPr>
      <w:r>
        <w:rPr>
          <w:rFonts w:asciiTheme="minorHAnsi" w:eastAsiaTheme="minorHAnsi" w:hAnsiTheme="minorHAnsi" w:cstheme="minorHAnsi"/>
          <w:b/>
          <w:bCs/>
          <w:color w:val="auto"/>
          <w:kern w:val="2"/>
          <w:sz w:val="22"/>
          <w:szCs w:val="22"/>
          <w:lang w:eastAsia="en-US"/>
          <w14:ligatures w14:val="standardContextual"/>
        </w:rPr>
        <w:t xml:space="preserve">WORD COUNT: </w:t>
      </w:r>
      <w:r w:rsidR="00B95793">
        <w:rPr>
          <w:rFonts w:asciiTheme="minorHAnsi" w:eastAsiaTheme="minorHAnsi" w:hAnsiTheme="minorHAnsi" w:cstheme="minorHAnsi"/>
          <w:b/>
          <w:bCs/>
          <w:color w:val="auto"/>
          <w:kern w:val="2"/>
          <w:sz w:val="22"/>
          <w:szCs w:val="22"/>
          <w:lang w:eastAsia="en-US"/>
          <w14:ligatures w14:val="standardContextual"/>
        </w:rPr>
        <w:t>1577</w:t>
      </w:r>
    </w:p>
    <w:p w14:paraId="650A7C4C" w14:textId="77777777" w:rsidR="00F01456" w:rsidRDefault="00F01456" w:rsidP="00F01456">
      <w:pPr>
        <w:ind w:right="237"/>
        <w:rPr>
          <w:rFonts w:cstheme="minorHAnsi"/>
        </w:rPr>
      </w:pPr>
    </w:p>
    <w:p w14:paraId="0C8AE97E" w14:textId="77777777" w:rsidR="00BF4743" w:rsidRPr="00270EEB" w:rsidRDefault="00BF4743"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FF3A10" w14:textId="77777777" w:rsidR="002C0925"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Being a safe, </w:t>
      </w:r>
      <w:proofErr w:type="gramStart"/>
      <w:r w:rsidRPr="00980AFE">
        <w:rPr>
          <w:rFonts w:asciiTheme="minorHAnsi" w:eastAsiaTheme="minorHAnsi" w:hAnsiTheme="minorHAnsi" w:cstheme="minorBidi"/>
          <w:color w:val="auto"/>
          <w:kern w:val="2"/>
          <w:sz w:val="22"/>
          <w:szCs w:val="22"/>
          <w:lang w:eastAsia="en-US"/>
          <w14:ligatures w14:val="standardContextual"/>
        </w:rPr>
        <w:t>effective</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and proactive police officer can be dependent upon the surrounding team and the teamwork that exists within that team. The Police Code of Ethics (College of Policing, 2023), outlining standards that are expected to be met by individual police officers and resultingly by the teams that they are a part of, seeks to justify actions and behaviour of officers and the alignment of these standards with actions allow policing teams to make robust decisions based upon personal and professional judgements, values and ethics. </w:t>
      </w:r>
      <w:proofErr w:type="gramStart"/>
      <w:r w:rsidRPr="00980AFE">
        <w:rPr>
          <w:rFonts w:asciiTheme="minorHAnsi" w:eastAsiaTheme="minorHAnsi" w:hAnsiTheme="minorHAnsi" w:cstheme="minorBidi"/>
          <w:color w:val="auto"/>
          <w:kern w:val="2"/>
          <w:sz w:val="22"/>
          <w:szCs w:val="22"/>
          <w:lang w:eastAsia="en-US"/>
          <w14:ligatures w14:val="standardContextual"/>
        </w:rPr>
        <w:t>In order to</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enable these ethics, The College of Policing emphasises the importance of team cohesion and dynamics as a concept to improve collaboration, build effectiveness and support resilience (College of Policing, 2022). Team development is considered a key element of robustness and effectiveness in any team in a vast range of industries, </w:t>
      </w:r>
      <w:proofErr w:type="gramStart"/>
      <w:r w:rsidRPr="00980AFE">
        <w:rPr>
          <w:rFonts w:asciiTheme="minorHAnsi" w:eastAsiaTheme="minorHAnsi" w:hAnsiTheme="minorHAnsi" w:cstheme="minorBidi"/>
          <w:color w:val="auto"/>
          <w:kern w:val="2"/>
          <w:sz w:val="22"/>
          <w:szCs w:val="22"/>
          <w:lang w:eastAsia="en-US"/>
          <w14:ligatures w14:val="standardContextual"/>
        </w:rPr>
        <w:t>services</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and organisations (Dutton &amp; Ragins, 2017). It could be argued that team development is never more critical than throughout a team of police officers, when considering the potential high-risk nature of police responsibilities and roles, making team dynamics and team cohesion a critical element in successful, </w:t>
      </w:r>
      <w:proofErr w:type="gramStart"/>
      <w:r w:rsidRPr="00980AFE">
        <w:rPr>
          <w:rFonts w:asciiTheme="minorHAnsi" w:eastAsiaTheme="minorHAnsi" w:hAnsiTheme="minorHAnsi" w:cstheme="minorBidi"/>
          <w:color w:val="auto"/>
          <w:kern w:val="2"/>
          <w:sz w:val="22"/>
          <w:szCs w:val="22"/>
          <w:lang w:eastAsia="en-US"/>
          <w14:ligatures w14:val="standardContextual"/>
        </w:rPr>
        <w:t>safe</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and effective policing of communities.</w:t>
      </w:r>
    </w:p>
    <w:p w14:paraId="14B5C905" w14:textId="77777777" w:rsidR="002C0925"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51DCDE89" w14:textId="19636210"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As a response officer and, what is considered, a first-line leader, there are expectations, both organisational and from oneself, to possess, develop, </w:t>
      </w:r>
      <w:proofErr w:type="gramStart"/>
      <w:r w:rsidRPr="00980AFE">
        <w:rPr>
          <w:rFonts w:asciiTheme="minorHAnsi" w:eastAsiaTheme="minorHAnsi" w:hAnsiTheme="minorHAnsi" w:cstheme="minorBidi"/>
          <w:color w:val="auto"/>
          <w:kern w:val="2"/>
          <w:sz w:val="22"/>
          <w:szCs w:val="22"/>
          <w:lang w:eastAsia="en-US"/>
          <w14:ligatures w14:val="standardContextual"/>
        </w:rPr>
        <w:t>maintain</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and enhance particular qualities in order to be an effective officer in an effective organisation. These qualities include, but are not limited to, standards of professional conduct, challenging unprofessional and unsafe behaviour </w:t>
      </w:r>
      <w:r w:rsidRPr="00980AFE">
        <w:rPr>
          <w:rFonts w:asciiTheme="minorHAnsi" w:eastAsiaTheme="minorHAnsi" w:hAnsiTheme="minorHAnsi" w:cstheme="minorBidi"/>
          <w:color w:val="auto"/>
          <w:kern w:val="2"/>
          <w:sz w:val="22"/>
          <w:szCs w:val="22"/>
          <w:lang w:eastAsia="en-US"/>
          <w14:ligatures w14:val="standardContextual"/>
        </w:rPr>
        <w:lastRenderedPageBreak/>
        <w:t xml:space="preserve">within the organisation and amongst peers, build rapport and trust, be a safe and effective role model, pay articulate attention to personal development and well-being and recognise the need for change and improvement. It is considered that, when practising with these standards, there is a better success at team building and team cohesion (College of Policing, 2023). </w:t>
      </w:r>
    </w:p>
    <w:p w14:paraId="5FD5E844"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21520331"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There is a vast plethora of team development, team building and team working models that theorise and guide teams, and the individuals within them, as to how best to be the most effective, such as the Situational Leadership Model, the Agile Team Development Model and the Lencioni Model (Mathieu &amp; Tannenbaum et al, 2014). One of the more well-known models of team development and team working is that of Tuckman’s 1965 model of Stages of Group Development (Rojas, 2021), where developmental factors of any given team are segmented into 4 parts: Forming, where team members initially become acquainted with each other; Storming, the point where boundaries and expectations are considered and develop; Norming, the point where an element of cohesion is achieved and individual team members begin to understand their and other’s roles within the team; Performing – where eventually, team cohesion becomes most robust and outcomes are achieved and efficacy grows and is maintained (Vaida &amp; Serban, 2021). There is general positivity surrounding Tuckman’s model (Natvig &amp; Stark, 2016), although some criticisms have been made including that of Jones (2019), who suggests that, not unlike many models, the Tuckman model is situational and does not fit all team structures and aims. </w:t>
      </w:r>
    </w:p>
    <w:p w14:paraId="24426D1F"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625124F9"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Team cohesion is a critical element in team performance and effectiveness and a lack of cohesion, especially in teams that are relatively new, can result in conflict, poor motivation and have a negative impact on individual and team well-being and resilience (Braun, Kozlowski et al, 2020). Salas, Grossman et al (2015) conducted a literature review that concluded that team cohesion in effectiveness and output is a key component that organisations consider when evaluating team performances and outcomes. These thoughts are reinforced by quantitative research (Van der Voet &amp; Steijn, 2021), where it is suggested that even in multi-disciplinary teams, cohesion can affect performance outcomes and that strong and visionary leadership supports and enhances cohesion. There is research, however, that concludes that team helping behaviour is not always linked to cohesion, can be informal and, in respect of diversity, can be stronger across a team with different age ranges (Liang, Shih &amp; Chiang, 2014). Collins, Gibson, Quigley et al (2016) undertook a review of available literature and findings to add that measuring the growth of a team over time, even with consideration of membership changes, can demonstrate the effectiveness and cohesion of a team. </w:t>
      </w:r>
      <w:r w:rsidRPr="00980AFE">
        <w:rPr>
          <w:rFonts w:asciiTheme="minorHAnsi" w:eastAsiaTheme="minorHAnsi" w:hAnsiTheme="minorHAnsi" w:cstheme="minorBidi"/>
          <w:color w:val="auto"/>
          <w:kern w:val="2"/>
          <w:sz w:val="22"/>
          <w:szCs w:val="22"/>
          <w:lang w:eastAsia="en-US"/>
          <w14:ligatures w14:val="standardContextual"/>
        </w:rPr>
        <w:lastRenderedPageBreak/>
        <w:t xml:space="preserve">Filho (2019) proposed a theoretical model that suggests that a team dynamics theory can explain how teams can be cohesive, </w:t>
      </w:r>
      <w:proofErr w:type="gramStart"/>
      <w:r w:rsidRPr="00980AFE">
        <w:rPr>
          <w:rFonts w:asciiTheme="minorHAnsi" w:eastAsiaTheme="minorHAnsi" w:hAnsiTheme="minorHAnsi" w:cstheme="minorBidi"/>
          <w:color w:val="auto"/>
          <w:kern w:val="2"/>
          <w:sz w:val="22"/>
          <w:szCs w:val="22"/>
          <w:lang w:eastAsia="en-US"/>
          <w14:ligatures w14:val="standardContextual"/>
        </w:rPr>
        <w:t>motivated</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and effective and confirms the perspective of resilience in a cohesive team structure.</w:t>
      </w:r>
    </w:p>
    <w:p w14:paraId="5E315743"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5E044ACF"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When considering the required outcomes in relation to safety and the lowering of risk within teams of police officers, effectiveness and cohesion needs to be optimised. One factor in achieving this is the elimination of conflict between team individuals. It is imperative that conflict is both minimised and, if present, identified and addressed at the earliest opportunity. This would have the desired outcome of ensuring output and efficacy amongst policing teams is as positive as is achievable and, when conflict is present, careful consideration of individualism and character, with a problem-solving attitude, is required for a favourable conclusion (Corcoran, 2014). However, there is an additional school of thought that conflict amongst teams can be an advantage and can increase performance and the likelihood of positive outcomes, </w:t>
      </w:r>
      <w:proofErr w:type="gramStart"/>
      <w:r w:rsidRPr="00980AFE">
        <w:rPr>
          <w:rFonts w:asciiTheme="minorHAnsi" w:eastAsiaTheme="minorHAnsi" w:hAnsiTheme="minorHAnsi" w:cstheme="minorBidi"/>
          <w:color w:val="auto"/>
          <w:kern w:val="2"/>
          <w:sz w:val="22"/>
          <w:szCs w:val="22"/>
          <w:lang w:eastAsia="en-US"/>
          <w14:ligatures w14:val="standardContextual"/>
        </w:rPr>
        <w:t>as long as</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the conflict is identified, and robust action is taken to find resolutions (O’Neill &amp; McLarnon, 2018). Nicholson-Crotty &amp; Li (2024) performed a quantitative study that demonstrates diversity within a team as being positive and relate this not only to race, </w:t>
      </w:r>
      <w:proofErr w:type="gramStart"/>
      <w:r w:rsidRPr="00980AFE">
        <w:rPr>
          <w:rFonts w:asciiTheme="minorHAnsi" w:eastAsiaTheme="minorHAnsi" w:hAnsiTheme="minorHAnsi" w:cstheme="minorBidi"/>
          <w:color w:val="auto"/>
          <w:kern w:val="2"/>
          <w:sz w:val="22"/>
          <w:szCs w:val="22"/>
          <w:lang w:eastAsia="en-US"/>
          <w14:ligatures w14:val="standardContextual"/>
        </w:rPr>
        <w:t>culture</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or age but also from the perspective of knowledge and skill mix, experience and that of individual characteristics. When considering the models that some police forces use to develop newly recruited police officers, this can be related to, from a point of view of apprenticeship models and that of recruits being integrated into </w:t>
      </w:r>
      <w:proofErr w:type="spellStart"/>
      <w:r w:rsidRPr="00980AFE">
        <w:rPr>
          <w:rFonts w:asciiTheme="minorHAnsi" w:eastAsiaTheme="minorHAnsi" w:hAnsiTheme="minorHAnsi" w:cstheme="minorBidi"/>
          <w:color w:val="auto"/>
          <w:kern w:val="2"/>
          <w:sz w:val="22"/>
          <w:szCs w:val="22"/>
          <w:lang w:eastAsia="en-US"/>
          <w14:ligatures w14:val="standardContextual"/>
        </w:rPr>
        <w:t>well established</w:t>
      </w:r>
      <w:proofErr w:type="spellEnd"/>
      <w:r w:rsidRPr="00980AFE">
        <w:rPr>
          <w:rFonts w:asciiTheme="minorHAnsi" w:eastAsiaTheme="minorHAnsi" w:hAnsiTheme="minorHAnsi" w:cstheme="minorBidi"/>
          <w:color w:val="auto"/>
          <w:kern w:val="2"/>
          <w:sz w:val="22"/>
          <w:szCs w:val="22"/>
          <w:lang w:eastAsia="en-US"/>
          <w14:ligatures w14:val="standardContextual"/>
        </w:rPr>
        <w:t xml:space="preserve"> teams in any </w:t>
      </w:r>
      <w:proofErr w:type="gramStart"/>
      <w:r w:rsidRPr="00980AFE">
        <w:rPr>
          <w:rFonts w:asciiTheme="minorHAnsi" w:eastAsiaTheme="minorHAnsi" w:hAnsiTheme="minorHAnsi" w:cstheme="minorBidi"/>
          <w:color w:val="auto"/>
          <w:kern w:val="2"/>
          <w:sz w:val="22"/>
          <w:szCs w:val="22"/>
          <w:lang w:eastAsia="en-US"/>
          <w14:ligatures w14:val="standardContextual"/>
        </w:rPr>
        <w:t>particular station</w:t>
      </w:r>
      <w:proofErr w:type="gramEnd"/>
      <w:r w:rsidRPr="00980AFE">
        <w:rPr>
          <w:rFonts w:asciiTheme="minorHAnsi" w:eastAsiaTheme="minorHAnsi" w:hAnsiTheme="minorHAnsi" w:cstheme="minorBidi"/>
          <w:color w:val="auto"/>
          <w:kern w:val="2"/>
          <w:sz w:val="22"/>
          <w:szCs w:val="22"/>
          <w:lang w:eastAsia="en-US"/>
          <w14:ligatures w14:val="standardContextual"/>
        </w:rPr>
        <w:t xml:space="preserve"> or setting. The study is limited, however, by admission of the authors, whereby the research was performed in a singular setting and hence needs to be applied to a wider context. </w:t>
      </w:r>
    </w:p>
    <w:p w14:paraId="278D4756"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757E7F40" w14:textId="77777777" w:rsidR="002C0925"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When considering the benefits and disadvantages of conflict amongst teams, O’Neill, Allen &amp; Hastings (2013) suggest that the separate influences of team and individual tasks, relationships amongst team members and processes that the team adhere to are factors that can positive or negative upon performance. Their meta-analysis concludes that relationship and process conflict can be beneficial to performance but the negligible outcome of the study in relation to task conflict means that there may result a positive component to team cohesion when training and support may be implemented to address the conflict. Additional research (Humphrey, Federico et al, 2017) supports an element of this, whereby this quantitative study demonstrates that the correlation between task and relationship conflict is a complex concept, although evidence suggests that conflict between individual relationships can be disruptive to the sharing of information, whereby a positive level of information exchange can usually resolve task conflict within teams. The authors </w:t>
      </w:r>
      <w:r w:rsidRPr="00980AFE">
        <w:rPr>
          <w:rFonts w:asciiTheme="minorHAnsi" w:eastAsiaTheme="minorHAnsi" w:hAnsiTheme="minorHAnsi" w:cstheme="minorBidi"/>
          <w:color w:val="auto"/>
          <w:kern w:val="2"/>
          <w:sz w:val="22"/>
          <w:szCs w:val="22"/>
          <w:lang w:eastAsia="en-US"/>
          <w14:ligatures w14:val="standardContextual"/>
        </w:rPr>
        <w:lastRenderedPageBreak/>
        <w:t>recognise limitations to their study, however, in that a student population were enrolled as a sample, although there is consideration that the results can still be applied to a more general study population</w:t>
      </w:r>
      <w:r w:rsidR="002C0925" w:rsidRPr="00980AFE">
        <w:rPr>
          <w:rFonts w:asciiTheme="minorHAnsi" w:eastAsiaTheme="minorHAnsi" w:hAnsiTheme="minorHAnsi" w:cstheme="minorBidi"/>
          <w:color w:val="auto"/>
          <w:kern w:val="2"/>
          <w:sz w:val="22"/>
          <w:szCs w:val="22"/>
          <w:lang w:eastAsia="en-US"/>
          <w14:ligatures w14:val="standardContextual"/>
        </w:rPr>
        <w:t xml:space="preserve">. </w:t>
      </w:r>
      <w:r w:rsidRPr="00980AFE">
        <w:rPr>
          <w:rFonts w:asciiTheme="minorHAnsi" w:eastAsiaTheme="minorHAnsi" w:hAnsiTheme="minorHAnsi" w:cstheme="minorBidi"/>
          <w:color w:val="auto"/>
          <w:kern w:val="2"/>
          <w:sz w:val="22"/>
          <w:szCs w:val="22"/>
          <w:lang w:eastAsia="en-US"/>
          <w14:ligatures w14:val="standardContextual"/>
        </w:rPr>
        <w:t xml:space="preserve"> </w:t>
      </w:r>
    </w:p>
    <w:p w14:paraId="65B6C5AF" w14:textId="774A3920" w:rsidR="00980AFE" w:rsidRP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 </w:t>
      </w:r>
    </w:p>
    <w:p w14:paraId="2FCAA64A"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Trust is a fundamental concept in any team dynamic and when considering critical components of team cohesion and the effects on a team of police officers and their effectiveness and performance, trust may be considered a more pivotal element to success and, in this context, safety (De Jong, Dirks &amp; Gillespie, 2016). This analysis of 112 studies suggests that trusting relationships are key not only within peer groups but in relation to leaders, who must be vigilant against complacency and be continually mindful of nurturing and enhancing trust across all boundaries. Maynard, Kennedy &amp; </w:t>
      </w:r>
      <w:proofErr w:type="spellStart"/>
      <w:r w:rsidRPr="00980AFE">
        <w:rPr>
          <w:rFonts w:asciiTheme="minorHAnsi" w:eastAsiaTheme="minorHAnsi" w:hAnsiTheme="minorHAnsi" w:cstheme="minorBidi"/>
          <w:color w:val="auto"/>
          <w:kern w:val="2"/>
          <w:sz w:val="22"/>
          <w:szCs w:val="22"/>
          <w:lang w:eastAsia="en-US"/>
          <w14:ligatures w14:val="standardContextual"/>
        </w:rPr>
        <w:t>Resick</w:t>
      </w:r>
      <w:proofErr w:type="spellEnd"/>
      <w:r w:rsidRPr="00980AFE">
        <w:rPr>
          <w:rFonts w:asciiTheme="minorHAnsi" w:eastAsiaTheme="minorHAnsi" w:hAnsiTheme="minorHAnsi" w:cstheme="minorBidi"/>
          <w:color w:val="auto"/>
          <w:kern w:val="2"/>
          <w:sz w:val="22"/>
          <w:szCs w:val="22"/>
          <w:lang w:eastAsia="en-US"/>
          <w14:ligatures w14:val="standardContextual"/>
        </w:rPr>
        <w:t xml:space="preserve"> (2018) add that team cohesion and performance effectiveness is particularly important in policing teams, especially in circumstances and situations where there are extremes away from the norm, such as police response in communities where violent crime is prevalent and rates are high. Their review suggests that team cohesion, trust and resulting output can vary over time, where consideration for extrinsic factors such as new additions to the team, a change in process or the need to undertake tasks that are novel, need to be upheld and that leaders should flux the formality of management and leading depending upon need and circumstances and to optimise the performance of teams that are led and managed.</w:t>
      </w:r>
    </w:p>
    <w:p w14:paraId="31AF4771"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0C5A24F3" w14:textId="471ABDA2" w:rsidR="00980AFE" w:rsidRDefault="00C7739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In conclusion, </w:t>
      </w:r>
      <w:r w:rsidR="002F3CC8">
        <w:rPr>
          <w:rFonts w:asciiTheme="minorHAnsi" w:eastAsiaTheme="minorHAnsi" w:hAnsiTheme="minorHAnsi" w:cstheme="minorBidi"/>
          <w:color w:val="auto"/>
          <w:kern w:val="2"/>
          <w:sz w:val="22"/>
          <w:szCs w:val="22"/>
          <w:lang w:eastAsia="en-US"/>
          <w14:ligatures w14:val="standardContextual"/>
        </w:rPr>
        <w:t xml:space="preserve">safe and lawful policing by individual officers and, in the most part, by teams of officers is a critical element of effective policing. </w:t>
      </w:r>
      <w:r w:rsidR="00980AFE" w:rsidRPr="00980AFE">
        <w:rPr>
          <w:rFonts w:asciiTheme="minorHAnsi" w:eastAsiaTheme="minorHAnsi" w:hAnsiTheme="minorHAnsi" w:cstheme="minorBidi"/>
          <w:color w:val="auto"/>
          <w:kern w:val="2"/>
          <w:sz w:val="22"/>
          <w:szCs w:val="22"/>
          <w:lang w:eastAsia="en-US"/>
          <w14:ligatures w14:val="standardContextual"/>
        </w:rPr>
        <w:t xml:space="preserve">When a team operates with good quality cohesion, understanding and consideration of each, performance and output is often optimised. Policing teams that enforce the law and deter criminal activity are no different. There is, however, a more critical need within teams of police officers, in that their safety and that of their peers and the wider community is critical in the ethos of what they aim to achieve </w:t>
      </w:r>
      <w:proofErr w:type="gramStart"/>
      <w:r w:rsidR="00980AFE" w:rsidRPr="00980AFE">
        <w:rPr>
          <w:rFonts w:asciiTheme="minorHAnsi" w:eastAsiaTheme="minorHAnsi" w:hAnsiTheme="minorHAnsi" w:cstheme="minorBidi"/>
          <w:color w:val="auto"/>
          <w:kern w:val="2"/>
          <w:sz w:val="22"/>
          <w:szCs w:val="22"/>
          <w:lang w:eastAsia="en-US"/>
          <w14:ligatures w14:val="standardContextual"/>
        </w:rPr>
        <w:t>on a daily basis</w:t>
      </w:r>
      <w:proofErr w:type="gramEnd"/>
      <w:r w:rsidR="00980AFE" w:rsidRPr="00980AFE">
        <w:rPr>
          <w:rFonts w:asciiTheme="minorHAnsi" w:eastAsiaTheme="minorHAnsi" w:hAnsiTheme="minorHAnsi" w:cstheme="minorBidi"/>
          <w:color w:val="auto"/>
          <w:kern w:val="2"/>
          <w:sz w:val="22"/>
          <w:szCs w:val="22"/>
          <w:lang w:eastAsia="en-US"/>
          <w14:ligatures w14:val="standardContextual"/>
        </w:rPr>
        <w:t xml:space="preserve">. The Police Code of Ethics (College of Policing, 2023) and many of the standards outlined within, that are expected of officers and police staff, may be considered as being </w:t>
      </w:r>
      <w:proofErr w:type="spellStart"/>
      <w:r w:rsidR="00980AFE" w:rsidRPr="00980AFE">
        <w:rPr>
          <w:rFonts w:asciiTheme="minorHAnsi" w:eastAsiaTheme="minorHAnsi" w:hAnsiTheme="minorHAnsi" w:cstheme="minorBidi"/>
          <w:color w:val="auto"/>
          <w:kern w:val="2"/>
          <w:sz w:val="22"/>
          <w:szCs w:val="22"/>
          <w:lang w:eastAsia="en-US"/>
          <w14:ligatures w14:val="standardContextual"/>
        </w:rPr>
        <w:t>dependant</w:t>
      </w:r>
      <w:proofErr w:type="spellEnd"/>
      <w:r w:rsidR="00980AFE" w:rsidRPr="00980AFE">
        <w:rPr>
          <w:rFonts w:asciiTheme="minorHAnsi" w:eastAsiaTheme="minorHAnsi" w:hAnsiTheme="minorHAnsi" w:cstheme="minorBidi"/>
          <w:color w:val="auto"/>
          <w:kern w:val="2"/>
          <w:sz w:val="22"/>
          <w:szCs w:val="22"/>
          <w:lang w:eastAsia="en-US"/>
          <w14:ligatures w14:val="standardContextual"/>
        </w:rPr>
        <w:t xml:space="preserve"> upon officers working cohesively with one and other and reliant upon good quality and effective team dynamics in order for these to be achieved. As well as recognised leaders and managers, each officer has a role to play in leadership of their particular team, from the perspective of role modelling and being supportive, and when teamwork is robust and reliable, it is more likely to result in safe decision-making, sound justification for action and an optimisation in the execution of the officers’, and subsequently, the teams’ lawful duty.</w:t>
      </w:r>
    </w:p>
    <w:p w14:paraId="0DA0CBD9" w14:textId="019E9E21" w:rsidR="002F3CC8" w:rsidRPr="00980AFE" w:rsidRDefault="00B3448C" w:rsidP="00980AFE">
      <w:pPr>
        <w:overflowPunct/>
        <w:autoSpaceDE/>
        <w:autoSpaceDN/>
        <w:adjustRightInd/>
        <w:spacing w:after="160" w:line="360" w:lineRule="auto"/>
        <w:ind w:right="238"/>
        <w:textAlignment w:val="auto"/>
        <w:rPr>
          <w:rFonts w:asciiTheme="minorHAnsi" w:eastAsiaTheme="minorHAnsi" w:hAnsiTheme="minorHAnsi" w:cstheme="minorBidi"/>
          <w:b/>
          <w:bCs/>
          <w:color w:val="auto"/>
          <w:kern w:val="2"/>
          <w:sz w:val="22"/>
          <w:szCs w:val="22"/>
          <w:lang w:eastAsia="en-US"/>
          <w14:ligatures w14:val="standardContextual"/>
        </w:rPr>
      </w:pPr>
      <w:r>
        <w:rPr>
          <w:rFonts w:asciiTheme="minorHAnsi" w:eastAsiaTheme="minorHAnsi" w:hAnsiTheme="minorHAnsi" w:cstheme="minorBidi"/>
          <w:b/>
          <w:bCs/>
          <w:color w:val="auto"/>
          <w:kern w:val="2"/>
          <w:sz w:val="22"/>
          <w:szCs w:val="22"/>
          <w:lang w:eastAsia="en-US"/>
          <w14:ligatures w14:val="standardContextual"/>
        </w:rPr>
        <w:lastRenderedPageBreak/>
        <w:t>WORD COUNT: 1603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416BE82"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The disruption of significant and prevalent criminal activity that poses significant threat to the health, well-being and safety of individuals and wider communities is high on every police force’s agenda. Criminals participating in organised crime that includes human trafficking, drug smuggling and provision and child sexual exploitation are utilising advances in technology to enhance their success and profit and to evade detection and arrest. Modern policing, therefore, must subsequently rely upon robust and legitimate information and intelligence to address the issue.</w:t>
      </w:r>
    </w:p>
    <w:p w14:paraId="258EDF15" w14:textId="77777777" w:rsidR="00C727CA" w:rsidRPr="00B25C0F" w:rsidRDefault="00C727CA" w:rsidP="004E2EF8">
      <w:pPr>
        <w:spacing w:line="360" w:lineRule="auto"/>
        <w:ind w:right="238"/>
        <w:jc w:val="both"/>
        <w:rPr>
          <w:rFonts w:asciiTheme="minorHAnsi" w:hAnsiTheme="minorHAnsi" w:cstheme="minorHAnsi"/>
          <w:color w:val="auto"/>
          <w:sz w:val="22"/>
          <w:szCs w:val="22"/>
        </w:rPr>
      </w:pPr>
    </w:p>
    <w:p w14:paraId="7797221E" w14:textId="77777777" w:rsidR="00B25C0F" w:rsidRP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Evidence and statistics demonstrate that the success of many organised crime groups and the illicit activities that form part of their businesses, primarily rely upon movement of goods, </w:t>
      </w:r>
      <w:proofErr w:type="gramStart"/>
      <w:r w:rsidRPr="00B25C0F">
        <w:rPr>
          <w:rFonts w:asciiTheme="minorHAnsi" w:hAnsiTheme="minorHAnsi" w:cstheme="minorHAnsi"/>
          <w:sz w:val="22"/>
          <w:szCs w:val="22"/>
        </w:rPr>
        <w:t>funds</w:t>
      </w:r>
      <w:proofErr w:type="gramEnd"/>
      <w:r w:rsidRPr="00B25C0F">
        <w:rPr>
          <w:rFonts w:asciiTheme="minorHAnsi" w:hAnsiTheme="minorHAnsi" w:cstheme="minorHAnsi"/>
          <w:sz w:val="22"/>
          <w:szCs w:val="22"/>
        </w:rPr>
        <w:t xml:space="preserve"> and people, either offenders or victims from either one part of the country to another or, more locally, across borders and boundaries. This movement is planned and is undertaken in a way that relies upon evasion of detection by police. When considering the intricate mechanics of County Lines, for example (National Crime Agency, 2019), in </w:t>
      </w:r>
      <w:proofErr w:type="gramStart"/>
      <w:r w:rsidRPr="00B25C0F">
        <w:rPr>
          <w:rFonts w:asciiTheme="minorHAnsi" w:hAnsiTheme="minorHAnsi" w:cstheme="minorHAnsi"/>
          <w:sz w:val="22"/>
          <w:szCs w:val="22"/>
        </w:rPr>
        <w:t>the majority of</w:t>
      </w:r>
      <w:proofErr w:type="gramEnd"/>
      <w:r w:rsidRPr="00B25C0F">
        <w:rPr>
          <w:rFonts w:asciiTheme="minorHAnsi" w:hAnsiTheme="minorHAnsi" w:cstheme="minorHAnsi"/>
          <w:sz w:val="22"/>
          <w:szCs w:val="22"/>
        </w:rPr>
        <w:t xml:space="preserve"> cases movements are made by means of the national rail network with criminal activity by road placing close behind in the statistics. The effective policing of highways to support the disruption of activity in this way is pivotal in the success of police forces to tackle organised crime. To enable this, strategies such as the National Intelligence Model (NIM) (National Criminal Intelligence Service, 2000) and the most recent National Roads Policing Strategy (National Police Chiefs Council, 2022) are developed and produced to outline the critical processes in place that are utilised nationwide by forces.  </w:t>
      </w:r>
    </w:p>
    <w:p w14:paraId="7C04CF22"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There is a broad plethora of concerning statistics around serious and organised crime in England and Wales that, when considered in the context of recruitment and retention challenges faced </w:t>
      </w:r>
      <w:r w:rsidRPr="00B25C0F">
        <w:rPr>
          <w:rFonts w:asciiTheme="minorHAnsi" w:hAnsiTheme="minorHAnsi" w:cstheme="minorHAnsi"/>
          <w:sz w:val="22"/>
          <w:szCs w:val="22"/>
        </w:rPr>
        <w:lastRenderedPageBreak/>
        <w:t xml:space="preserve">across both nations (Police Federation, 2021), result in the need for </w:t>
      </w:r>
      <w:proofErr w:type="gramStart"/>
      <w:r w:rsidRPr="00B25C0F">
        <w:rPr>
          <w:rFonts w:asciiTheme="minorHAnsi" w:hAnsiTheme="minorHAnsi" w:cstheme="minorHAnsi"/>
          <w:sz w:val="22"/>
          <w:szCs w:val="22"/>
        </w:rPr>
        <w:t>technology based</w:t>
      </w:r>
      <w:proofErr w:type="gramEnd"/>
      <w:r w:rsidRPr="00B25C0F">
        <w:rPr>
          <w:rFonts w:asciiTheme="minorHAnsi" w:hAnsiTheme="minorHAnsi" w:cstheme="minorHAnsi"/>
          <w:sz w:val="22"/>
          <w:szCs w:val="22"/>
        </w:rPr>
        <w:t xml:space="preserve"> crime disruption activities now more than ever. The National Crime Agency (2020) state that there are 350,000 individuals across almost 5000 known organised crime groups in the UK, resulting in a cost to the UK economy of £37 billion. The same report confirms there were almost 8,000 children and young people under safeguarding measures in the context of child sexual exploitation and that modern slavery, admittedly under-reported, increased by over 15% at the end of the last decade.   </w:t>
      </w:r>
    </w:p>
    <w:p w14:paraId="24589855" w14:textId="77777777" w:rsidR="00A83DAF" w:rsidRPr="00B25C0F" w:rsidRDefault="00A83DAF" w:rsidP="004E2EF8">
      <w:pPr>
        <w:spacing w:line="360" w:lineRule="auto"/>
        <w:ind w:right="238"/>
        <w:jc w:val="both"/>
        <w:rPr>
          <w:rFonts w:asciiTheme="minorHAnsi" w:hAnsiTheme="minorHAnsi" w:cstheme="minorHAnsi"/>
          <w:sz w:val="22"/>
          <w:szCs w:val="22"/>
        </w:rPr>
      </w:pPr>
    </w:p>
    <w:p w14:paraId="5F8B3D77"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Despite this identified need for an uptick of technology </w:t>
      </w:r>
      <w:proofErr w:type="gramStart"/>
      <w:r w:rsidRPr="00B25C0F">
        <w:rPr>
          <w:rFonts w:asciiTheme="minorHAnsi" w:hAnsiTheme="minorHAnsi" w:cstheme="minorHAnsi"/>
          <w:sz w:val="22"/>
          <w:szCs w:val="22"/>
        </w:rPr>
        <w:t>in order to</w:t>
      </w:r>
      <w:proofErr w:type="gramEnd"/>
      <w:r w:rsidRPr="00B25C0F">
        <w:rPr>
          <w:rFonts w:asciiTheme="minorHAnsi" w:hAnsiTheme="minorHAnsi" w:cstheme="minorHAnsi"/>
          <w:sz w:val="22"/>
          <w:szCs w:val="22"/>
        </w:rPr>
        <w:t xml:space="preserve"> effectively police the roads and disrupt activity of this nature, Thompson and Manning (2021) suggest that police forces in England and Wales are poorly equipped, from a technology and intelligence perspective, to effectively manage the complex nature of contemporary crime, especially in relation to organised crime and the groups that implement it.  County lines criminality over the past 10 years has become more focussed upon the use of young people exploitation and the more technologically driven advancement in information technology and social media platforms (Harding, 2023), leading modern policing strategies to evolve </w:t>
      </w:r>
      <w:proofErr w:type="gramStart"/>
      <w:r w:rsidRPr="00B25C0F">
        <w:rPr>
          <w:rFonts w:asciiTheme="minorHAnsi" w:hAnsiTheme="minorHAnsi" w:cstheme="minorHAnsi"/>
          <w:sz w:val="22"/>
          <w:szCs w:val="22"/>
        </w:rPr>
        <w:t>in order to</w:t>
      </w:r>
      <w:proofErr w:type="gramEnd"/>
      <w:r w:rsidRPr="00B25C0F">
        <w:rPr>
          <w:rFonts w:asciiTheme="minorHAnsi" w:hAnsiTheme="minorHAnsi" w:cstheme="minorHAnsi"/>
          <w:sz w:val="22"/>
          <w:szCs w:val="22"/>
        </w:rPr>
        <w:t xml:space="preserve"> be more reactive in similar methods. Forces have traditionally used mapping models to predict crime and support policing resource but there is some consideration that an update to these mapping methods is required to maintain momentum in disrupting criminality across a wide gamut of activities (Rosser &amp; Davies et al, 2017).  </w:t>
      </w:r>
    </w:p>
    <w:p w14:paraId="18BBC350" w14:textId="77777777" w:rsidR="00A83DAF" w:rsidRPr="00B25C0F" w:rsidRDefault="00A83DAF" w:rsidP="004E2EF8">
      <w:pPr>
        <w:spacing w:line="360" w:lineRule="auto"/>
        <w:ind w:right="238"/>
        <w:jc w:val="both"/>
        <w:rPr>
          <w:rFonts w:asciiTheme="minorHAnsi" w:hAnsiTheme="minorHAnsi" w:cstheme="minorHAnsi"/>
          <w:sz w:val="22"/>
          <w:szCs w:val="22"/>
        </w:rPr>
      </w:pPr>
    </w:p>
    <w:p w14:paraId="7BC1F0A5"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At strategic levels, published policies and processes assert the objective of disrupting the way in which road networks are exploited for criminal gain (National Police Chiefs’ Council, 2022). The National Roads Policing Strategy (National Police Chiefs’ Council, 2022) outlines ways in which innovation and intelligence, supported by evidence bases can prevent crime in this arena. Road safety has always been a key to saving lives but in a less traditional sense, standard road policing can incidentally, and more often in contemporary policing, purposefully, uncover criminal activity on a large scale and disrupt those criminals responsible (The Police Foundation, 2022). An example of such is the cross-border route of the M74 in Scotland, where intelligence and effective road policing was successful in leading to the seizure of significant amounts of illegal substances and cash generated from criminal activities (Police Scotland, 2016).</w:t>
      </w:r>
    </w:p>
    <w:p w14:paraId="26517726" w14:textId="77777777" w:rsidR="00A83DAF" w:rsidRPr="00B25C0F" w:rsidRDefault="00A83DAF" w:rsidP="004E2EF8">
      <w:pPr>
        <w:spacing w:line="360" w:lineRule="auto"/>
        <w:ind w:right="238"/>
        <w:jc w:val="both"/>
        <w:rPr>
          <w:rFonts w:asciiTheme="minorHAnsi" w:hAnsiTheme="minorHAnsi" w:cstheme="minorHAnsi"/>
          <w:sz w:val="22"/>
          <w:szCs w:val="22"/>
        </w:rPr>
      </w:pPr>
    </w:p>
    <w:p w14:paraId="5A39D1CA"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A key component of effective road policing is the implementation, </w:t>
      </w:r>
      <w:proofErr w:type="gramStart"/>
      <w:r w:rsidRPr="00B25C0F">
        <w:rPr>
          <w:rFonts w:asciiTheme="minorHAnsi" w:hAnsiTheme="minorHAnsi" w:cstheme="minorHAnsi"/>
          <w:sz w:val="22"/>
          <w:szCs w:val="22"/>
        </w:rPr>
        <w:t>development</w:t>
      </w:r>
      <w:proofErr w:type="gramEnd"/>
      <w:r w:rsidRPr="00B25C0F">
        <w:rPr>
          <w:rFonts w:asciiTheme="minorHAnsi" w:hAnsiTheme="minorHAnsi" w:cstheme="minorHAnsi"/>
          <w:sz w:val="22"/>
          <w:szCs w:val="22"/>
        </w:rPr>
        <w:t xml:space="preserve"> and optimisation of Automatic Number Plate Recognition (ANPR). On average, there are around 60 million ANPR engagements in the UK (Police.UK, 2024) by means of a system that uses highly technological cameras and systems to reference car registration numbers against a national database of vehicles </w:t>
      </w:r>
      <w:r w:rsidRPr="00B25C0F">
        <w:rPr>
          <w:rFonts w:asciiTheme="minorHAnsi" w:hAnsiTheme="minorHAnsi" w:cstheme="minorHAnsi"/>
          <w:sz w:val="22"/>
          <w:szCs w:val="22"/>
        </w:rPr>
        <w:lastRenderedPageBreak/>
        <w:t>of interest, with the vehicle, the owner or both, having potential or actual links to criminal activity (Police.UK, 2024). Although heavily supported in police organisations with robust law and policy (Home Office, 2022), The Police Foundation (2022) argue, however, that to ensure ANPR is used to its best extent, resource must be invested to ensure adequate numbers, with the required skills, are utilised to act upon alerts activated by the system. Green (2020) noted a decrease in the number of fixed penalty notices issued in the latter part of the last decade but considers this to be a result of a reduction in the capacity of road policing and the replacement of some responsibilities by highway officers. Wells (2016) concurs in her literature review, noting that despite roads and highways being the most common place for any member of the public to commit a crime and experience engagement with the police and enforcement, road policing, amongst other tasks has been considered something seen to be superfluous and much accountability shifted to partner agencies such the highways agency. If this is theoretically correlated into the context of organised crime, that opportunity to disrupt activity may induce a potential loss in effectiveness. However, policy makers foresee the need to work collaboratively with industry, academia, the public and research groups to support development and enhancement of systems to enforce road policing for the future (</w:t>
      </w:r>
      <w:proofErr w:type="spellStart"/>
      <w:r w:rsidRPr="00B25C0F">
        <w:rPr>
          <w:rFonts w:asciiTheme="minorHAnsi" w:hAnsiTheme="minorHAnsi" w:cstheme="minorHAnsi"/>
          <w:sz w:val="22"/>
          <w:szCs w:val="22"/>
        </w:rPr>
        <w:t>Halkon</w:t>
      </w:r>
      <w:proofErr w:type="spellEnd"/>
      <w:r w:rsidRPr="00B25C0F">
        <w:rPr>
          <w:rFonts w:asciiTheme="minorHAnsi" w:hAnsiTheme="minorHAnsi" w:cstheme="minorHAnsi"/>
          <w:sz w:val="22"/>
          <w:szCs w:val="22"/>
        </w:rPr>
        <w:t xml:space="preserve"> &amp; Muir, 2022), helping to evolve systems and eradicate obstacles such as the reduction in effectiveness of ANPR when it is compromised by a broad-ranging variation in the design of number plates, for example, or the use of cloned number plates to evade detection (National Crime Agency, 2019) and how accurate cameras have the potential to be in order to optimise success (Gurney &amp; Rhead et al, 2012). A pilot study commissioned by a consulting group with close historic links with police forces highlighted ANPR effectiveness in that over a </w:t>
      </w:r>
      <w:proofErr w:type="gramStart"/>
      <w:r w:rsidRPr="00B25C0F">
        <w:rPr>
          <w:rFonts w:asciiTheme="minorHAnsi" w:hAnsiTheme="minorHAnsi" w:cstheme="minorHAnsi"/>
          <w:sz w:val="22"/>
          <w:szCs w:val="22"/>
        </w:rPr>
        <w:t>6 month</w:t>
      </w:r>
      <w:proofErr w:type="gramEnd"/>
      <w:r w:rsidRPr="00B25C0F">
        <w:rPr>
          <w:rFonts w:asciiTheme="minorHAnsi" w:hAnsiTheme="minorHAnsi" w:cstheme="minorHAnsi"/>
          <w:sz w:val="22"/>
          <w:szCs w:val="22"/>
        </w:rPr>
        <w:t xml:space="preserve"> period, across nine police forces, stolen vehicles and goods and seized illegal substances to the value of almost £100,000 were recovered, as well as firearms and offensive weapons (Gains, Henderson &amp; Goyal, 2024).   </w:t>
      </w:r>
    </w:p>
    <w:p w14:paraId="33670FDC" w14:textId="77777777" w:rsidR="00A83DAF" w:rsidRPr="00B25C0F" w:rsidRDefault="00A83DAF" w:rsidP="004E2EF8">
      <w:pPr>
        <w:spacing w:line="360" w:lineRule="auto"/>
        <w:ind w:right="238"/>
        <w:jc w:val="both"/>
        <w:rPr>
          <w:rFonts w:asciiTheme="minorHAnsi" w:hAnsiTheme="minorHAnsi" w:cstheme="minorHAnsi"/>
          <w:sz w:val="22"/>
          <w:szCs w:val="22"/>
        </w:rPr>
      </w:pPr>
    </w:p>
    <w:p w14:paraId="7732294A"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Given the mixed effectiveness of ANPR as a method of successful road policing in the UK, it is critical to supplement this with other strategies and innovations. Technological advances in the use of deterrents and detection across methods that include CCTV, vehicle tracking, roadside </w:t>
      </w:r>
      <w:proofErr w:type="gramStart"/>
      <w:r w:rsidRPr="00B25C0F">
        <w:rPr>
          <w:rFonts w:asciiTheme="minorHAnsi" w:hAnsiTheme="minorHAnsi" w:cstheme="minorHAnsi"/>
          <w:sz w:val="22"/>
          <w:szCs w:val="22"/>
        </w:rPr>
        <w:t>fingerprinting</w:t>
      </w:r>
      <w:proofErr w:type="gramEnd"/>
      <w:r w:rsidRPr="00B25C0F">
        <w:rPr>
          <w:rFonts w:asciiTheme="minorHAnsi" w:hAnsiTheme="minorHAnsi" w:cstheme="minorHAnsi"/>
          <w:sz w:val="22"/>
          <w:szCs w:val="22"/>
        </w:rPr>
        <w:t xml:space="preserve"> and facial recognition, used in unison with the Facial Images National Database (FIND), give opportunities to officers for stop and search action. This is utilised using powers under a variety of acts including The Road Traffic Act (1998), the Police and Criminal Evidence Act (1984), the Criminal Justice and Public Order Act (1994) and the Terrorism Act (2000) and can be successfully disruptive to organised crime groups and preventing significant activity such as County Lines, modern day slavery and human trafficking (College of Policing, 2023). </w:t>
      </w:r>
    </w:p>
    <w:p w14:paraId="67BF21F2" w14:textId="77777777" w:rsidR="00A83DAF" w:rsidRPr="00B25C0F" w:rsidRDefault="00A83DAF" w:rsidP="004E2EF8">
      <w:pPr>
        <w:spacing w:line="360" w:lineRule="auto"/>
        <w:ind w:right="238"/>
        <w:jc w:val="both"/>
        <w:rPr>
          <w:rFonts w:asciiTheme="minorHAnsi" w:hAnsiTheme="minorHAnsi" w:cstheme="minorHAnsi"/>
          <w:sz w:val="22"/>
          <w:szCs w:val="22"/>
        </w:rPr>
      </w:pPr>
    </w:p>
    <w:p w14:paraId="5A670633" w14:textId="77777777" w:rsidR="00B25C0F" w:rsidRDefault="00B25C0F" w:rsidP="004E2EF8">
      <w:pPr>
        <w:spacing w:line="360" w:lineRule="auto"/>
        <w:ind w:right="238"/>
        <w:jc w:val="both"/>
      </w:pPr>
      <w:r w:rsidRPr="00B25C0F">
        <w:rPr>
          <w:rFonts w:asciiTheme="minorHAnsi" w:hAnsiTheme="minorHAnsi" w:cstheme="minorHAnsi"/>
          <w:sz w:val="22"/>
          <w:szCs w:val="22"/>
        </w:rPr>
        <w:t xml:space="preserve">National and local data demonstrates that organised and serious crime, such as county lines drug movement and dealing, human trafficking and terrorism form part of the threat to the health, </w:t>
      </w:r>
      <w:proofErr w:type="gramStart"/>
      <w:r w:rsidRPr="00B25C0F">
        <w:rPr>
          <w:rFonts w:asciiTheme="minorHAnsi" w:hAnsiTheme="minorHAnsi" w:cstheme="minorHAnsi"/>
          <w:sz w:val="22"/>
          <w:szCs w:val="22"/>
        </w:rPr>
        <w:t>well-being</w:t>
      </w:r>
      <w:proofErr w:type="gramEnd"/>
      <w:r w:rsidRPr="00B25C0F">
        <w:rPr>
          <w:rFonts w:asciiTheme="minorHAnsi" w:hAnsiTheme="minorHAnsi" w:cstheme="minorHAnsi"/>
          <w:sz w:val="22"/>
          <w:szCs w:val="22"/>
        </w:rPr>
        <w:t xml:space="preserve"> and safety of communities across the country and the individuals that live in those communities. There is almost entire reliance upon effective policing to counter these activities and to utilise available technology to support those fighting criminal activity. Much organised crime relies heavily upon movement via a range of transport methods and the road network around the UK is a main artery for this interchange of funds, </w:t>
      </w:r>
      <w:proofErr w:type="gramStart"/>
      <w:r w:rsidRPr="00B25C0F">
        <w:rPr>
          <w:rFonts w:asciiTheme="minorHAnsi" w:hAnsiTheme="minorHAnsi" w:cstheme="minorHAnsi"/>
          <w:sz w:val="22"/>
          <w:szCs w:val="22"/>
        </w:rPr>
        <w:t>commodities</w:t>
      </w:r>
      <w:proofErr w:type="gramEnd"/>
      <w:r w:rsidRPr="00B25C0F">
        <w:rPr>
          <w:rFonts w:asciiTheme="minorHAnsi" w:hAnsiTheme="minorHAnsi" w:cstheme="minorHAnsi"/>
          <w:sz w:val="22"/>
          <w:szCs w:val="22"/>
        </w:rPr>
        <w:t xml:space="preserve"> and people. The effective policing of the road network is a significant deterrent and reactive force in addressing crime of this nature and a skilled workforce as well as the most up-to-date technology is key to its success. ANPR is a significant weapon in the fight against organised crime groups and although there is a school of thought that the system is sub-standard due to a lack of resource to respond to positive engagements, anecdotal and research evidence demonstrate success in a range of arenas. Challenges around numbers of general and specialist police officers may have a negative influence on the effectiveness of road policing and despite partnership working and collaboration with other agencies seen as a successful method of implementation, there are arguments that the delegation of some policing tasks, to highways agencies, for example, can lead to a reduction in engagement with criminals using the road network to undertake illicit activity in the name of serious crime. Ultimately, regardless of advances in technology, including monitoring activity and database accuracy and reliability and how they evolve over time, ongoing investment is required to ensure not only the most up-to-date equipment is made available to forces, but that the individuals are available, trained and experienced in supporting the technology. This technology and the equipment used alongside it, enables officers to utilise appropriate laws to disrupt criminals and to ensure serious and organised crime activity is reduced in a sustainable way and that, in turn, neighbourhoods, communities and the people that live and work in them are kept safe.</w:t>
      </w:r>
      <w:r>
        <w:t xml:space="preserve">  </w:t>
      </w:r>
    </w:p>
    <w:p w14:paraId="21A79F9E" w14:textId="77777777" w:rsidR="00B25C0F" w:rsidRDefault="00B25C0F" w:rsidP="00B25C0F">
      <w:pPr>
        <w:spacing w:line="360" w:lineRule="auto"/>
        <w:ind w:right="238"/>
      </w:pPr>
    </w:p>
    <w:p w14:paraId="304FE440" w14:textId="000B93BB" w:rsidR="00B25C0F" w:rsidRPr="00B25C0F" w:rsidRDefault="00B25C0F" w:rsidP="00B25C0F">
      <w:pPr>
        <w:spacing w:line="360" w:lineRule="auto"/>
        <w:ind w:right="238"/>
        <w:rPr>
          <w:b/>
          <w:bCs/>
        </w:rPr>
      </w:pPr>
      <w:r>
        <w:rPr>
          <w:b/>
          <w:bCs/>
        </w:rPr>
        <w:t>WORD COUNT: 1580</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8441C3">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08DFE7C" w14:textId="05CFE548" w:rsidR="00354F23" w:rsidRPr="00354F23" w:rsidRDefault="00FE5420" w:rsidP="00354F23">
      <w:pPr>
        <w:overflowPunct/>
        <w:autoSpaceDE/>
        <w:autoSpaceDN/>
        <w:adjustRightInd/>
        <w:ind w:right="225"/>
        <w:jc w:val="both"/>
        <w:rPr>
          <w:rFonts w:asciiTheme="majorHAnsi" w:hAnsiTheme="majorHAnsi" w:cstheme="majorHAnsi"/>
          <w:sz w:val="22"/>
          <w:szCs w:val="22"/>
        </w:rPr>
      </w:pPr>
      <w:r w:rsidRPr="00354F23">
        <w:rPr>
          <w:rFonts w:asciiTheme="majorHAnsi" w:hAnsiTheme="majorHAnsi" w:cstheme="majorHAnsi"/>
          <w:sz w:val="22"/>
          <w:szCs w:val="22"/>
          <w:lang w:eastAsia="zh-TW"/>
        </w:rPr>
        <w:t> </w:t>
      </w:r>
      <w:r w:rsidR="00354F23" w:rsidRPr="00354F23">
        <w:rPr>
          <w:rFonts w:asciiTheme="majorHAnsi" w:hAnsiTheme="majorHAnsi" w:cstheme="majorHAnsi"/>
          <w:sz w:val="22"/>
          <w:szCs w:val="22"/>
        </w:rPr>
        <w:t xml:space="preserve">Since completing my first year as a Police Officer, there are some areas in my role that I believe I need to develop. In this table I will talk about the areas I believe need developing, where I believe the force perceives I should be on a rating of that area and how I can improve my knowledge, skills, and experience. </w:t>
      </w:r>
    </w:p>
    <w:p w14:paraId="565670B9" w14:textId="77777777" w:rsidR="00354F23" w:rsidRPr="00354F23" w:rsidRDefault="00354F23" w:rsidP="00354F23">
      <w:pPr>
        <w:overflowPunct/>
        <w:autoSpaceDE/>
        <w:autoSpaceDN/>
        <w:adjustRightInd/>
        <w:ind w:right="225"/>
        <w:jc w:val="both"/>
        <w:rPr>
          <w:rFonts w:asciiTheme="majorHAnsi" w:hAnsiTheme="majorHAnsi" w:cstheme="majorHAnsi"/>
          <w:sz w:val="22"/>
          <w:szCs w:val="22"/>
          <w:lang w:eastAsia="zh-TW"/>
        </w:rPr>
      </w:pPr>
    </w:p>
    <w:tbl>
      <w:tblPr>
        <w:tblStyle w:val="TableGrid"/>
        <w:tblW w:w="10348" w:type="dxa"/>
        <w:tblInd w:w="-572" w:type="dxa"/>
        <w:tblLook w:val="04A0" w:firstRow="1" w:lastRow="0" w:firstColumn="1" w:lastColumn="0" w:noHBand="0" w:noVBand="1"/>
      </w:tblPr>
      <w:tblGrid>
        <w:gridCol w:w="1701"/>
        <w:gridCol w:w="1276"/>
        <w:gridCol w:w="992"/>
        <w:gridCol w:w="2410"/>
        <w:gridCol w:w="2410"/>
        <w:gridCol w:w="1559"/>
      </w:tblGrid>
      <w:tr w:rsidR="00354F23" w:rsidRPr="00354F23" w14:paraId="09109F49" w14:textId="77777777" w:rsidTr="00C37904">
        <w:tc>
          <w:tcPr>
            <w:tcW w:w="1701" w:type="dxa"/>
          </w:tcPr>
          <w:p w14:paraId="7268C8D0"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 xml:space="preserve">Area of Development </w:t>
            </w:r>
          </w:p>
        </w:tc>
        <w:tc>
          <w:tcPr>
            <w:tcW w:w="1276" w:type="dxa"/>
          </w:tcPr>
          <w:p w14:paraId="38ECD7BD"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Force Rating</w:t>
            </w:r>
          </w:p>
        </w:tc>
        <w:tc>
          <w:tcPr>
            <w:tcW w:w="992" w:type="dxa"/>
          </w:tcPr>
          <w:p w14:paraId="711D3105"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Personal Rating</w:t>
            </w:r>
          </w:p>
        </w:tc>
        <w:tc>
          <w:tcPr>
            <w:tcW w:w="2410" w:type="dxa"/>
          </w:tcPr>
          <w:p w14:paraId="07EE71F9"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 xml:space="preserve">What I want to Achieve </w:t>
            </w:r>
          </w:p>
        </w:tc>
        <w:tc>
          <w:tcPr>
            <w:tcW w:w="2410" w:type="dxa"/>
          </w:tcPr>
          <w:p w14:paraId="61971953"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 xml:space="preserve">How I will Achieve it </w:t>
            </w:r>
          </w:p>
        </w:tc>
        <w:tc>
          <w:tcPr>
            <w:tcW w:w="1559" w:type="dxa"/>
          </w:tcPr>
          <w:p w14:paraId="7CB36402" w14:textId="77777777" w:rsidR="00354F23" w:rsidRPr="00354F23" w:rsidRDefault="00354F23" w:rsidP="00C37904">
            <w:pPr>
              <w:rPr>
                <w:rFonts w:asciiTheme="majorHAnsi" w:hAnsiTheme="majorHAnsi" w:cstheme="majorHAnsi"/>
                <w:b/>
                <w:bCs/>
                <w:sz w:val="22"/>
                <w:szCs w:val="22"/>
              </w:rPr>
            </w:pPr>
            <w:r w:rsidRPr="00354F23">
              <w:rPr>
                <w:rFonts w:asciiTheme="majorHAnsi" w:hAnsiTheme="majorHAnsi" w:cstheme="majorHAnsi"/>
                <w:b/>
                <w:bCs/>
                <w:sz w:val="22"/>
                <w:szCs w:val="22"/>
              </w:rPr>
              <w:t xml:space="preserve">Time frame </w:t>
            </w:r>
          </w:p>
        </w:tc>
      </w:tr>
      <w:tr w:rsidR="00354F23" w:rsidRPr="00354F23" w14:paraId="03BAC9C0" w14:textId="77777777" w:rsidTr="00C37904">
        <w:tc>
          <w:tcPr>
            <w:tcW w:w="1701" w:type="dxa"/>
          </w:tcPr>
          <w:p w14:paraId="5DBB5F0D"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Understanding and completing different styles of Case Files </w:t>
            </w:r>
          </w:p>
        </w:tc>
        <w:tc>
          <w:tcPr>
            <w:tcW w:w="1276" w:type="dxa"/>
          </w:tcPr>
          <w:p w14:paraId="783A6404"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5-7 </w:t>
            </w:r>
          </w:p>
        </w:tc>
        <w:tc>
          <w:tcPr>
            <w:tcW w:w="992" w:type="dxa"/>
          </w:tcPr>
          <w:p w14:paraId="731BD5AD"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1-4</w:t>
            </w:r>
          </w:p>
        </w:tc>
        <w:tc>
          <w:tcPr>
            <w:tcW w:w="2410" w:type="dxa"/>
          </w:tcPr>
          <w:p w14:paraId="0DE1412A"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When tasked with Case Files, I believe my general knowledge of the different types of Case Files utilised within police routine is inadequate. I do not feel as though at any stage in my career thus far has been focused on a Case File. When tasked with a Case File or asked by a line manager to complete one, I have limited experience and would not feel confident </w:t>
            </w:r>
            <w:r w:rsidRPr="00354F23">
              <w:rPr>
                <w:rFonts w:asciiTheme="majorHAnsi" w:hAnsiTheme="majorHAnsi" w:cstheme="majorHAnsi"/>
                <w:sz w:val="22"/>
                <w:szCs w:val="22"/>
              </w:rPr>
              <w:lastRenderedPageBreak/>
              <w:t xml:space="preserve">completing one independently. </w:t>
            </w:r>
          </w:p>
          <w:p w14:paraId="158DB0B7"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I would like to be able to achieve at minimum the basic knowledge on how to complete a Case File. Furthermore, this would enable me to get on with files that are relevant to my own workload. Consequently, I will be able to send them off to our Case File team for them to get the file ready before reaching the Crown Prosecution. </w:t>
            </w:r>
          </w:p>
        </w:tc>
        <w:tc>
          <w:tcPr>
            <w:tcW w:w="2410" w:type="dxa"/>
          </w:tcPr>
          <w:p w14:paraId="77C128C1"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lastRenderedPageBreak/>
              <w:t>Historically, to build my basic knowledge on Case Files, I have sought advice from my more experienced colleagues.</w:t>
            </w:r>
          </w:p>
          <w:p w14:paraId="484570DE"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Upon reflection, although this has been helpful to achieve the task in the short term, I do not believe this is a beneficial long-term solution. This is primarily because I have not retained the process from verbal instruction and recognise that I may need to create a </w:t>
            </w:r>
            <w:r w:rsidRPr="00354F23">
              <w:rPr>
                <w:rFonts w:asciiTheme="majorHAnsi" w:hAnsiTheme="majorHAnsi" w:cstheme="majorHAnsi"/>
                <w:sz w:val="22"/>
                <w:szCs w:val="22"/>
              </w:rPr>
              <w:lastRenderedPageBreak/>
              <w:t>template or make written notes of the Case File process.</w:t>
            </w:r>
          </w:p>
          <w:p w14:paraId="2B07DF20"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After speaking with my Sergeant, she has informed me that I am able to book on to an attachment with our Force Case File team. This would be a short attachment with personnel who are specifically trained to complete files for response Officers and to make sure everything is correct before being sent to Court. I believe booking on to one of these attachments will help expand my knowledge and hopefully retain information when completing another file. </w:t>
            </w:r>
          </w:p>
        </w:tc>
        <w:tc>
          <w:tcPr>
            <w:tcW w:w="1559" w:type="dxa"/>
          </w:tcPr>
          <w:p w14:paraId="6807865F"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lastRenderedPageBreak/>
              <w:t xml:space="preserve">I believe all of this will be achievable in the next 6 – 12 months. Booking an attachment will require a day where staffing levels are not below minimum. </w:t>
            </w:r>
          </w:p>
        </w:tc>
      </w:tr>
      <w:tr w:rsidR="00354F23" w:rsidRPr="00354F23" w14:paraId="7E42B140" w14:textId="77777777" w:rsidTr="00C37904">
        <w:trPr>
          <w:trHeight w:val="794"/>
        </w:trPr>
        <w:tc>
          <w:tcPr>
            <w:tcW w:w="1701" w:type="dxa"/>
          </w:tcPr>
          <w:p w14:paraId="2FDA790F"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Handovers/ Interviewing Suspects </w:t>
            </w:r>
          </w:p>
        </w:tc>
        <w:tc>
          <w:tcPr>
            <w:tcW w:w="1276" w:type="dxa"/>
          </w:tcPr>
          <w:p w14:paraId="6B62F1AA"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8-10 </w:t>
            </w:r>
          </w:p>
        </w:tc>
        <w:tc>
          <w:tcPr>
            <w:tcW w:w="992" w:type="dxa"/>
          </w:tcPr>
          <w:p w14:paraId="4DDDEFF5"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5-7 </w:t>
            </w:r>
          </w:p>
        </w:tc>
        <w:tc>
          <w:tcPr>
            <w:tcW w:w="2410" w:type="dxa"/>
          </w:tcPr>
          <w:p w14:paraId="564B64BE"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Since starting my career as a response officer, I believe my confidence with conducting interviews and handling suspects has grown immensely. I believe I can competently conduct the interview process, converse with solicitors with confidence to provide full disclosure and conclude interviews professionally. On reflection, the aspect of this process I believe I struggle with is the administrative duties such as completing bail/remand applications, formulating interview plans and other associated administrative tasks.</w:t>
            </w:r>
          </w:p>
        </w:tc>
        <w:tc>
          <w:tcPr>
            <w:tcW w:w="2410" w:type="dxa"/>
          </w:tcPr>
          <w:p w14:paraId="2564A597"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Thus far in my career, I have tackled the handovers I have been assigned in a professional but improvised manner. On reflection, as my confidence in my role has increased and rapport with my colleagues grown, I have found asking for completed examples of administrative paper works to be highly beneficial. This is a strategy I believe that if I continue to utilise will increase my ability to confidently handle administrative duties independently. Furthermore, there is a designated specialist team that are assigned handovers that I could </w:t>
            </w:r>
            <w:r w:rsidRPr="00354F23">
              <w:rPr>
                <w:rFonts w:asciiTheme="majorHAnsi" w:hAnsiTheme="majorHAnsi" w:cstheme="majorHAnsi"/>
                <w:sz w:val="22"/>
                <w:szCs w:val="22"/>
              </w:rPr>
              <w:lastRenderedPageBreak/>
              <w:t>liaise with for further information.</w:t>
            </w:r>
          </w:p>
        </w:tc>
        <w:tc>
          <w:tcPr>
            <w:tcW w:w="1559" w:type="dxa"/>
          </w:tcPr>
          <w:p w14:paraId="21316028"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lastRenderedPageBreak/>
              <w:t>I believe all of this will be achievable in the next 6 – 12 months. However, it is important to take note that due to the formation of the designated handover team, there will be fewer routine handovers assigned to myself for the foreseeable future.</w:t>
            </w:r>
          </w:p>
        </w:tc>
      </w:tr>
      <w:tr w:rsidR="00354F23" w:rsidRPr="00354F23" w14:paraId="2C335988" w14:textId="77777777" w:rsidTr="00C37904">
        <w:trPr>
          <w:trHeight w:val="975"/>
        </w:trPr>
        <w:tc>
          <w:tcPr>
            <w:tcW w:w="1701" w:type="dxa"/>
          </w:tcPr>
          <w:p w14:paraId="5F96D278"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Roads Policing </w:t>
            </w:r>
          </w:p>
        </w:tc>
        <w:tc>
          <w:tcPr>
            <w:tcW w:w="1276" w:type="dxa"/>
          </w:tcPr>
          <w:p w14:paraId="381526ED"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5-7</w:t>
            </w:r>
          </w:p>
        </w:tc>
        <w:tc>
          <w:tcPr>
            <w:tcW w:w="992" w:type="dxa"/>
          </w:tcPr>
          <w:p w14:paraId="1E832A11"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1-4</w:t>
            </w:r>
          </w:p>
        </w:tc>
        <w:tc>
          <w:tcPr>
            <w:tcW w:w="2410" w:type="dxa"/>
          </w:tcPr>
          <w:p w14:paraId="28F18B18"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Throughout my progression as a Police Officer, I have not had much experience dealing with Traffic related offences. I believe this is partially due to the fact my stationed location primarily deals with domestic violence incidents. Consequently, I feel as though my knowledge and skills in dealing with roads policing to be limited. Thus far, the only authentic experience I have of managing this is when I was involved in an organised operation concerned with specifically targeting motor offences. Since this experience, I haven’t had any incidents of dealing with traffic offences and due to high call demand have not had the opportunity to seek them independently. </w:t>
            </w:r>
          </w:p>
        </w:tc>
        <w:tc>
          <w:tcPr>
            <w:tcW w:w="2410" w:type="dxa"/>
          </w:tcPr>
          <w:p w14:paraId="5571E50B"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I recognise I may need to be more proactive to engaging in roads policing to further my own experience. This may take shape in enrolling onto a traffic attachment to allow myself the opportunity to develop my skills. Furthermore, I can be more engaged in my own area by volunteering for nighttime patrols and completing the patrol diary. This is a record of areas most vulnerable to vehicle crime. Furthermore, I intend to be more vigilant in my working hours to ensure I am seeking, challenging, and documenting persons engaging in road traffic offences.</w:t>
            </w:r>
          </w:p>
        </w:tc>
        <w:tc>
          <w:tcPr>
            <w:tcW w:w="1559" w:type="dxa"/>
          </w:tcPr>
          <w:p w14:paraId="0D6CC239"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I believe all of this will be achievable in the next 6 – 12 months.</w:t>
            </w:r>
          </w:p>
          <w:p w14:paraId="2063B56A" w14:textId="77777777" w:rsidR="00354F23" w:rsidRPr="00354F23" w:rsidRDefault="00354F23" w:rsidP="00C37904">
            <w:pPr>
              <w:rPr>
                <w:rFonts w:asciiTheme="majorHAnsi" w:hAnsiTheme="majorHAnsi" w:cstheme="majorHAnsi"/>
                <w:sz w:val="22"/>
                <w:szCs w:val="22"/>
              </w:rPr>
            </w:pPr>
            <w:r w:rsidRPr="00354F23">
              <w:rPr>
                <w:rFonts w:asciiTheme="majorHAnsi" w:hAnsiTheme="majorHAnsi" w:cstheme="majorHAnsi"/>
                <w:sz w:val="22"/>
                <w:szCs w:val="22"/>
              </w:rPr>
              <w:t xml:space="preserve">I believe this may be achieved sooner if I am able to be more proactive day to day. </w:t>
            </w:r>
          </w:p>
        </w:tc>
      </w:tr>
    </w:tbl>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288D610" w14:textId="77777777" w:rsidR="00522EE5"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0E895796" w14:textId="77777777" w:rsidR="00522EE5" w:rsidRDefault="00522EE5" w:rsidP="0EB17B2B">
      <w:pPr>
        <w:pStyle w:val="paragraph"/>
        <w:spacing w:before="0" w:beforeAutospacing="0" w:after="0" w:afterAutospacing="0"/>
        <w:rPr>
          <w:b/>
          <w:bCs/>
        </w:rPr>
      </w:pPr>
    </w:p>
    <w:p w14:paraId="6A63C4FC" w14:textId="77777777" w:rsidR="00522EE5" w:rsidRDefault="00522EE5" w:rsidP="0EB17B2B">
      <w:pPr>
        <w:pStyle w:val="paragraph"/>
        <w:spacing w:before="0" w:beforeAutospacing="0" w:after="0" w:afterAutospacing="0"/>
        <w:rPr>
          <w:b/>
          <w:bCs/>
        </w:rPr>
      </w:pPr>
    </w:p>
    <w:p w14:paraId="6E4278B3" w14:textId="77777777" w:rsidR="00522EE5" w:rsidRDefault="00522EE5" w:rsidP="0EB17B2B">
      <w:pPr>
        <w:pStyle w:val="paragraph"/>
        <w:spacing w:before="0" w:beforeAutospacing="0" w:after="0" w:afterAutospacing="0"/>
        <w:rPr>
          <w:b/>
          <w:bCs/>
        </w:rPr>
      </w:pPr>
    </w:p>
    <w:p w14:paraId="0D6B5669" w14:textId="77777777" w:rsidR="00522EE5" w:rsidRDefault="00522EE5" w:rsidP="0EB17B2B">
      <w:pPr>
        <w:pStyle w:val="paragraph"/>
        <w:spacing w:before="0" w:beforeAutospacing="0" w:after="0" w:afterAutospacing="0"/>
        <w:rPr>
          <w:b/>
          <w:bCs/>
        </w:rPr>
      </w:pPr>
    </w:p>
    <w:p w14:paraId="1EA35F57" w14:textId="77777777" w:rsidR="00522EE5" w:rsidRDefault="00522EE5" w:rsidP="0EB17B2B">
      <w:pPr>
        <w:pStyle w:val="paragraph"/>
        <w:spacing w:before="0" w:beforeAutospacing="0" w:after="0" w:afterAutospacing="0"/>
        <w:rPr>
          <w:b/>
          <w:bCs/>
        </w:rPr>
      </w:pPr>
    </w:p>
    <w:p w14:paraId="5621A649" w14:textId="77777777" w:rsidR="00522EE5" w:rsidRDefault="00522EE5" w:rsidP="0EB17B2B">
      <w:pPr>
        <w:pStyle w:val="paragraph"/>
        <w:spacing w:before="0" w:beforeAutospacing="0" w:after="0" w:afterAutospacing="0"/>
        <w:rPr>
          <w:b/>
          <w:bCs/>
        </w:rPr>
      </w:pPr>
    </w:p>
    <w:p w14:paraId="4E4C80BB" w14:textId="77777777" w:rsidR="00522EE5" w:rsidRDefault="00522EE5" w:rsidP="0EB17B2B">
      <w:pPr>
        <w:pStyle w:val="paragraph"/>
        <w:spacing w:before="0" w:beforeAutospacing="0" w:after="0" w:afterAutospacing="0"/>
        <w:rPr>
          <w:b/>
          <w:bCs/>
        </w:rPr>
      </w:pPr>
    </w:p>
    <w:p w14:paraId="7D271230" w14:textId="77777777" w:rsidR="00522EE5" w:rsidRDefault="00522EE5" w:rsidP="0EB17B2B">
      <w:pPr>
        <w:pStyle w:val="paragraph"/>
        <w:spacing w:before="0" w:beforeAutospacing="0" w:after="0" w:afterAutospacing="0"/>
        <w:rPr>
          <w:b/>
          <w:bCs/>
        </w:rPr>
      </w:pPr>
    </w:p>
    <w:p w14:paraId="78682EF7" w14:textId="77777777" w:rsidR="00522EE5" w:rsidRDefault="00522EE5" w:rsidP="0EB17B2B">
      <w:pPr>
        <w:pStyle w:val="paragraph"/>
        <w:spacing w:before="0" w:beforeAutospacing="0" w:after="0" w:afterAutospacing="0"/>
        <w:rPr>
          <w:b/>
          <w:bCs/>
        </w:rPr>
      </w:pPr>
    </w:p>
    <w:p w14:paraId="2A87E5ED" w14:textId="77777777" w:rsidR="00522EE5" w:rsidRDefault="00522EE5" w:rsidP="0EB17B2B">
      <w:pPr>
        <w:pStyle w:val="paragraph"/>
        <w:spacing w:before="0" w:beforeAutospacing="0" w:after="0" w:afterAutospacing="0"/>
        <w:rPr>
          <w:b/>
          <w:bCs/>
        </w:rPr>
      </w:pPr>
    </w:p>
    <w:p w14:paraId="3AC21C7A" w14:textId="77777777" w:rsidR="00522EE5" w:rsidRDefault="00522EE5" w:rsidP="0EB17B2B">
      <w:pPr>
        <w:pStyle w:val="paragraph"/>
        <w:spacing w:before="0" w:beforeAutospacing="0" w:after="0" w:afterAutospacing="0"/>
        <w:rPr>
          <w:b/>
          <w:bCs/>
        </w:rPr>
      </w:pPr>
    </w:p>
    <w:p w14:paraId="6723C7DA" w14:textId="77777777" w:rsidR="00522EE5" w:rsidRDefault="00522EE5" w:rsidP="0EB17B2B">
      <w:pPr>
        <w:pStyle w:val="paragraph"/>
        <w:spacing w:before="0" w:beforeAutospacing="0" w:after="0" w:afterAutospacing="0"/>
        <w:rPr>
          <w:b/>
          <w:bCs/>
        </w:rPr>
      </w:pPr>
    </w:p>
    <w:p w14:paraId="639C9227" w14:textId="0125C8AD" w:rsidR="00FE5420" w:rsidRDefault="00522EE5" w:rsidP="0EB17B2B">
      <w:pPr>
        <w:pStyle w:val="paragraph"/>
        <w:spacing w:before="0" w:beforeAutospacing="0" w:after="0" w:afterAutospacing="0"/>
        <w:rPr>
          <w:b/>
          <w:bCs/>
        </w:rPr>
      </w:pPr>
      <w:r>
        <w:rPr>
          <w:b/>
          <w:bCs/>
        </w:rPr>
        <w:t>WORD COUNT: 854</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F1E71B" w14:textId="77777777" w:rsidR="00057732" w:rsidRDefault="00057732" w:rsidP="0073794E">
      <w:pPr>
        <w:spacing w:line="360" w:lineRule="auto"/>
        <w:rPr>
          <w:sz w:val="24"/>
          <w:szCs w:val="24"/>
        </w:rPr>
      </w:pPr>
    </w:p>
    <w:p w14:paraId="1BA0D009" w14:textId="7C73AE4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Alvesson, M. (2015) </w:t>
      </w:r>
      <w:r w:rsidRPr="0073794E">
        <w:rPr>
          <w:rFonts w:asciiTheme="minorHAnsi" w:hAnsiTheme="minorHAnsi" w:cstheme="minorHAnsi"/>
          <w:i/>
          <w:iCs/>
          <w:sz w:val="22"/>
          <w:szCs w:val="22"/>
        </w:rPr>
        <w:t>Changing Organizational Culture</w:t>
      </w:r>
      <w:r w:rsidRPr="0073794E">
        <w:rPr>
          <w:rFonts w:asciiTheme="minorHAnsi" w:hAnsiTheme="minorHAnsi" w:cstheme="minorHAnsi"/>
          <w:sz w:val="22"/>
          <w:szCs w:val="22"/>
        </w:rPr>
        <w:t>. London. Routledge</w:t>
      </w:r>
    </w:p>
    <w:p w14:paraId="2379D38C" w14:textId="199C2D15"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Bolton, G. &amp; </w:t>
      </w:r>
      <w:proofErr w:type="spellStart"/>
      <w:r w:rsidRPr="0073794E">
        <w:rPr>
          <w:rFonts w:asciiTheme="minorHAnsi" w:hAnsiTheme="minorHAnsi" w:cstheme="minorHAnsi"/>
          <w:sz w:val="22"/>
          <w:szCs w:val="22"/>
        </w:rPr>
        <w:t>Delderfield</w:t>
      </w:r>
      <w:proofErr w:type="spellEnd"/>
      <w:r w:rsidRPr="0073794E">
        <w:rPr>
          <w:rFonts w:asciiTheme="minorHAnsi" w:hAnsiTheme="minorHAnsi" w:cstheme="minorHAnsi"/>
          <w:sz w:val="22"/>
          <w:szCs w:val="22"/>
        </w:rPr>
        <w:t xml:space="preserve">, R. (2018) </w:t>
      </w:r>
      <w:r w:rsidRPr="0073794E">
        <w:rPr>
          <w:rFonts w:asciiTheme="minorHAnsi" w:hAnsiTheme="minorHAnsi" w:cstheme="minorHAnsi"/>
          <w:i/>
          <w:iCs/>
          <w:sz w:val="22"/>
          <w:szCs w:val="22"/>
        </w:rPr>
        <w:t>Reflective Practice: Writing and Professional Development</w:t>
      </w:r>
      <w:r w:rsidRPr="0073794E">
        <w:rPr>
          <w:rFonts w:asciiTheme="minorHAnsi" w:hAnsiTheme="minorHAnsi" w:cstheme="minorHAnsi"/>
          <w:sz w:val="22"/>
          <w:szCs w:val="22"/>
        </w:rPr>
        <w:t>. London. Sage</w:t>
      </w:r>
    </w:p>
    <w:p w14:paraId="4A9E2C5C"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Braun, M., Kozlowski, S., Brown, T &amp; Deshon, R. (2020) Exploring the dynamic team cohesion-performance and co-ordination-performance relationships of a newly formed team. </w:t>
      </w:r>
      <w:r w:rsidRPr="0073794E">
        <w:rPr>
          <w:rFonts w:asciiTheme="minorHAnsi" w:hAnsiTheme="minorHAnsi" w:cstheme="minorHAnsi"/>
          <w:i/>
          <w:iCs/>
          <w:sz w:val="22"/>
          <w:szCs w:val="22"/>
        </w:rPr>
        <w:t>Small Group Research</w:t>
      </w:r>
      <w:r w:rsidRPr="0073794E">
        <w:rPr>
          <w:rFonts w:asciiTheme="minorHAnsi" w:hAnsiTheme="minorHAnsi" w:cstheme="minorHAnsi"/>
          <w:sz w:val="22"/>
          <w:szCs w:val="22"/>
        </w:rPr>
        <w:t>. Vol. 51, 5, p.551-580</w:t>
      </w:r>
    </w:p>
    <w:p w14:paraId="3118AA94"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Charles, M. (2000) </w:t>
      </w:r>
      <w:r w:rsidRPr="0073794E">
        <w:rPr>
          <w:rFonts w:asciiTheme="minorHAnsi" w:hAnsiTheme="minorHAnsi" w:cstheme="minorHAnsi"/>
          <w:i/>
          <w:iCs/>
          <w:sz w:val="22"/>
          <w:szCs w:val="22"/>
        </w:rPr>
        <w:t>Police Training Breaking all the Rules: implementing the adult education model into police training</w:t>
      </w:r>
      <w:r w:rsidRPr="0073794E">
        <w:rPr>
          <w:rFonts w:asciiTheme="minorHAnsi" w:hAnsiTheme="minorHAnsi" w:cstheme="minorHAnsi"/>
          <w:sz w:val="22"/>
          <w:szCs w:val="22"/>
        </w:rPr>
        <w:t>. Springfield. Charles C. Thomas Publishing</w:t>
      </w:r>
    </w:p>
    <w:p w14:paraId="1A54AB7C"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Christopher, S. (2015) The police service can be a critical effective practice…if it wants. </w:t>
      </w:r>
      <w:r w:rsidRPr="0073794E">
        <w:rPr>
          <w:rFonts w:asciiTheme="minorHAnsi" w:hAnsiTheme="minorHAnsi" w:cstheme="minorHAnsi"/>
          <w:i/>
          <w:iCs/>
          <w:sz w:val="22"/>
          <w:szCs w:val="22"/>
        </w:rPr>
        <w:t>Policing: A Journal of Policy and Practice</w:t>
      </w:r>
      <w:r w:rsidRPr="0073794E">
        <w:rPr>
          <w:rFonts w:asciiTheme="minorHAnsi" w:hAnsiTheme="minorHAnsi" w:cstheme="minorHAnsi"/>
          <w:sz w:val="22"/>
          <w:szCs w:val="22"/>
        </w:rPr>
        <w:t>. Vol. 9, 4, p.326-339</w:t>
      </w:r>
    </w:p>
    <w:p w14:paraId="567EC9CC" w14:textId="77777777" w:rsidR="00553AC7" w:rsidRPr="0073794E" w:rsidRDefault="00553AC7"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College of Policing (2024) </w:t>
      </w:r>
      <w:r w:rsidRPr="0073794E">
        <w:rPr>
          <w:rFonts w:asciiTheme="minorHAnsi" w:hAnsiTheme="minorHAnsi" w:cstheme="minorHAnsi"/>
          <w:i/>
          <w:iCs/>
          <w:sz w:val="22"/>
          <w:szCs w:val="22"/>
        </w:rPr>
        <w:t>National Decision Model</w:t>
      </w:r>
      <w:r w:rsidRPr="0073794E">
        <w:rPr>
          <w:rFonts w:asciiTheme="minorHAnsi" w:hAnsiTheme="minorHAnsi" w:cstheme="minorHAnsi"/>
          <w:sz w:val="22"/>
          <w:szCs w:val="22"/>
        </w:rPr>
        <w:t xml:space="preserve">. </w:t>
      </w:r>
      <w:hyperlink r:id="rId16" w:history="1">
        <w:r w:rsidRPr="0073794E">
          <w:rPr>
            <w:rStyle w:val="Hyperlink"/>
            <w:rFonts w:asciiTheme="minorHAnsi" w:hAnsiTheme="minorHAnsi" w:cstheme="minorHAnsi"/>
            <w:sz w:val="22"/>
            <w:szCs w:val="22"/>
          </w:rPr>
          <w:t>National decision model | College of Policing</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02/03/2024</w:t>
      </w:r>
      <w:proofErr w:type="gramEnd"/>
    </w:p>
    <w:p w14:paraId="31DE3441" w14:textId="77777777" w:rsidR="00553AC7" w:rsidRPr="0073794E" w:rsidRDefault="00553AC7"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College of Policing (2024) </w:t>
      </w:r>
      <w:r w:rsidRPr="0073794E">
        <w:rPr>
          <w:rFonts w:asciiTheme="minorHAnsi" w:hAnsiTheme="minorHAnsi" w:cstheme="minorHAnsi"/>
          <w:i/>
          <w:iCs/>
          <w:sz w:val="22"/>
          <w:szCs w:val="22"/>
        </w:rPr>
        <w:t>Guidance for Ethical and Professional Behaviour in Policing</w:t>
      </w:r>
      <w:r w:rsidRPr="0073794E">
        <w:rPr>
          <w:rFonts w:asciiTheme="minorHAnsi" w:hAnsiTheme="minorHAnsi" w:cstheme="minorHAnsi"/>
          <w:sz w:val="22"/>
          <w:szCs w:val="22"/>
        </w:rPr>
        <w:t xml:space="preserve">. </w:t>
      </w:r>
      <w:hyperlink r:id="rId17" w:history="1">
        <w:r w:rsidRPr="0073794E">
          <w:rPr>
            <w:rStyle w:val="Hyperlink"/>
            <w:rFonts w:asciiTheme="minorHAnsi" w:hAnsiTheme="minorHAnsi" w:cstheme="minorHAnsi"/>
            <w:sz w:val="22"/>
            <w:szCs w:val="22"/>
          </w:rPr>
          <w:t>Guidance for ethical and professional behaviour in policing | College of Policing</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02/03/2024</w:t>
      </w:r>
      <w:proofErr w:type="gramEnd"/>
    </w:p>
    <w:p w14:paraId="41FF4CF6" w14:textId="5B881737" w:rsidR="00553AC7" w:rsidRPr="0073794E" w:rsidRDefault="00553AC7"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College of Policing (2023) </w:t>
      </w:r>
      <w:r w:rsidRPr="0073794E">
        <w:rPr>
          <w:rFonts w:asciiTheme="minorHAnsi" w:hAnsiTheme="minorHAnsi" w:cstheme="minorHAnsi"/>
          <w:i/>
          <w:iCs/>
          <w:sz w:val="22"/>
          <w:szCs w:val="22"/>
        </w:rPr>
        <w:t>Leadership Standards</w:t>
      </w:r>
      <w:r w:rsidRPr="0073794E">
        <w:rPr>
          <w:rFonts w:asciiTheme="minorHAnsi" w:hAnsiTheme="minorHAnsi" w:cstheme="minorHAnsi"/>
          <w:sz w:val="22"/>
          <w:szCs w:val="22"/>
        </w:rPr>
        <w:t xml:space="preserve">. </w:t>
      </w:r>
      <w:hyperlink r:id="rId18" w:history="1">
        <w:r w:rsidRPr="0073794E">
          <w:rPr>
            <w:rStyle w:val="Hyperlink"/>
            <w:rFonts w:asciiTheme="minorHAnsi" w:hAnsiTheme="minorHAnsi" w:cstheme="minorHAnsi"/>
            <w:sz w:val="22"/>
            <w:szCs w:val="22"/>
          </w:rPr>
          <w:t>Leadership standards | College of Policing</w:t>
        </w:r>
      </w:hyperlink>
      <w:r w:rsidRPr="0073794E">
        <w:rPr>
          <w:rFonts w:asciiTheme="minorHAnsi" w:hAnsiTheme="minorHAnsi" w:cstheme="minorHAnsi"/>
          <w:sz w:val="22"/>
          <w:szCs w:val="22"/>
        </w:rPr>
        <w:t xml:space="preserve"> </w:t>
      </w:r>
      <w:proofErr w:type="spellStart"/>
      <w:r w:rsidRPr="0073794E">
        <w:rPr>
          <w:rFonts w:asciiTheme="minorHAnsi" w:hAnsiTheme="minorHAnsi" w:cstheme="minorHAnsi"/>
          <w:sz w:val="22"/>
          <w:szCs w:val="22"/>
        </w:rPr>
        <w:t>accesse</w:t>
      </w:r>
      <w:r>
        <w:rPr>
          <w:rFonts w:asciiTheme="minorHAnsi" w:hAnsiTheme="minorHAnsi" w:cstheme="minorHAnsi"/>
          <w:sz w:val="22"/>
          <w:szCs w:val="22"/>
        </w:rPr>
        <w:t>D</w:t>
      </w:r>
      <w:proofErr w:type="spellEnd"/>
      <w:r w:rsidRPr="0073794E">
        <w:rPr>
          <w:rFonts w:asciiTheme="minorHAnsi" w:hAnsiTheme="minorHAnsi" w:cstheme="minorHAnsi"/>
          <w:sz w:val="22"/>
          <w:szCs w:val="22"/>
        </w:rPr>
        <w:t xml:space="preserve"> on </w:t>
      </w:r>
      <w:proofErr w:type="gramStart"/>
      <w:r w:rsidRPr="0073794E">
        <w:rPr>
          <w:rFonts w:asciiTheme="minorHAnsi" w:hAnsiTheme="minorHAnsi" w:cstheme="minorHAnsi"/>
          <w:sz w:val="22"/>
          <w:szCs w:val="22"/>
        </w:rPr>
        <w:t>03/03/2024</w:t>
      </w:r>
      <w:proofErr w:type="gramEnd"/>
      <w:r w:rsidRPr="0073794E">
        <w:rPr>
          <w:rFonts w:asciiTheme="minorHAnsi" w:hAnsiTheme="minorHAnsi" w:cstheme="minorHAnsi"/>
          <w:sz w:val="22"/>
          <w:szCs w:val="22"/>
        </w:rPr>
        <w:t xml:space="preserve"> </w:t>
      </w:r>
    </w:p>
    <w:p w14:paraId="3204B235" w14:textId="77777777" w:rsidR="00553AC7" w:rsidRDefault="00553AC7"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College of Policing (2023) </w:t>
      </w:r>
      <w:r w:rsidRPr="0073794E">
        <w:rPr>
          <w:rFonts w:asciiTheme="minorHAnsi" w:hAnsiTheme="minorHAnsi" w:cstheme="minorHAnsi"/>
          <w:i/>
          <w:iCs/>
          <w:sz w:val="22"/>
          <w:szCs w:val="22"/>
        </w:rPr>
        <w:t>Code of Practice for Ethical Policing</w:t>
      </w:r>
      <w:r w:rsidRPr="0073794E">
        <w:rPr>
          <w:rFonts w:asciiTheme="minorHAnsi" w:hAnsiTheme="minorHAnsi" w:cstheme="minorHAnsi"/>
          <w:sz w:val="22"/>
          <w:szCs w:val="22"/>
        </w:rPr>
        <w:t xml:space="preserve">. </w:t>
      </w:r>
      <w:hyperlink r:id="rId19" w:history="1">
        <w:r w:rsidRPr="0073794E">
          <w:rPr>
            <w:rStyle w:val="Hyperlink"/>
            <w:rFonts w:asciiTheme="minorHAnsi" w:hAnsiTheme="minorHAnsi" w:cstheme="minorHAnsi"/>
            <w:sz w:val="22"/>
            <w:szCs w:val="22"/>
          </w:rPr>
          <w:t>Code of Practice for Ethical Policing | College of Policing</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01/03/2024</w:t>
      </w:r>
      <w:proofErr w:type="gramEnd"/>
    </w:p>
    <w:p w14:paraId="7DFD0B47" w14:textId="5998DD36" w:rsidR="006323EE" w:rsidRPr="0073794E" w:rsidRDefault="006323EE" w:rsidP="006323EE">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College of Policing (2023) </w:t>
      </w:r>
      <w:r w:rsidRPr="00EB4E94">
        <w:rPr>
          <w:rFonts w:asciiTheme="minorHAnsi" w:hAnsiTheme="minorHAnsi" w:cstheme="minorHAnsi"/>
          <w:i/>
          <w:iCs/>
          <w:sz w:val="22"/>
          <w:szCs w:val="22"/>
        </w:rPr>
        <w:t>Disrupting Criminality</w:t>
      </w:r>
      <w:r w:rsidRPr="00EB4E94">
        <w:rPr>
          <w:rFonts w:asciiTheme="minorHAnsi" w:hAnsiTheme="minorHAnsi" w:cstheme="minorHAnsi"/>
          <w:sz w:val="22"/>
          <w:szCs w:val="22"/>
        </w:rPr>
        <w:t xml:space="preserve">. </w:t>
      </w:r>
      <w:hyperlink r:id="rId20" w:history="1">
        <w:r w:rsidRPr="00EB4E94">
          <w:rPr>
            <w:rStyle w:val="Hyperlink"/>
            <w:rFonts w:asciiTheme="minorHAnsi" w:hAnsiTheme="minorHAnsi" w:cstheme="minorHAnsi"/>
            <w:sz w:val="22"/>
            <w:szCs w:val="22"/>
          </w:rPr>
          <w:t>Disrupting criminality | College of Policing</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19/03/2024</w:t>
      </w:r>
      <w:proofErr w:type="gramEnd"/>
      <w:r w:rsidRPr="00EB4E94">
        <w:rPr>
          <w:rFonts w:asciiTheme="minorHAnsi" w:hAnsiTheme="minorHAnsi" w:cstheme="minorHAnsi"/>
          <w:sz w:val="22"/>
          <w:szCs w:val="22"/>
        </w:rPr>
        <w:t xml:space="preserve"> </w:t>
      </w:r>
    </w:p>
    <w:p w14:paraId="3D4384F8"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College of Policing (2022) </w:t>
      </w:r>
      <w:r w:rsidRPr="0073794E">
        <w:rPr>
          <w:rFonts w:asciiTheme="minorHAnsi" w:hAnsiTheme="minorHAnsi" w:cstheme="minorHAnsi"/>
          <w:i/>
          <w:iCs/>
          <w:sz w:val="22"/>
          <w:szCs w:val="22"/>
        </w:rPr>
        <w:t>Building Effective Relationships</w:t>
      </w:r>
      <w:r w:rsidRPr="0073794E">
        <w:rPr>
          <w:rFonts w:asciiTheme="minorHAnsi" w:hAnsiTheme="minorHAnsi" w:cstheme="minorHAnsi"/>
          <w:sz w:val="22"/>
          <w:szCs w:val="22"/>
        </w:rPr>
        <w:t xml:space="preserve">. </w:t>
      </w:r>
      <w:hyperlink r:id="rId21" w:history="1">
        <w:r w:rsidRPr="0073794E">
          <w:rPr>
            <w:rStyle w:val="Hyperlink"/>
            <w:rFonts w:asciiTheme="minorHAnsi" w:hAnsiTheme="minorHAnsi" w:cstheme="minorHAnsi"/>
            <w:sz w:val="22"/>
            <w:szCs w:val="22"/>
          </w:rPr>
          <w:t>Building effective relationships | College of Policing</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21/03/2024</w:t>
      </w:r>
      <w:proofErr w:type="gramEnd"/>
    </w:p>
    <w:p w14:paraId="6250FE86"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College of Policing (2022) </w:t>
      </w:r>
      <w:r w:rsidRPr="0073794E">
        <w:rPr>
          <w:rFonts w:asciiTheme="minorHAnsi" w:hAnsiTheme="minorHAnsi" w:cstheme="minorHAnsi"/>
          <w:i/>
          <w:iCs/>
          <w:sz w:val="22"/>
          <w:szCs w:val="22"/>
        </w:rPr>
        <w:t>Transformation Framework</w:t>
      </w:r>
      <w:r w:rsidRPr="0073794E">
        <w:rPr>
          <w:rFonts w:asciiTheme="minorHAnsi" w:hAnsiTheme="minorHAnsi" w:cstheme="minorHAnsi"/>
          <w:sz w:val="22"/>
          <w:szCs w:val="22"/>
        </w:rPr>
        <w:t xml:space="preserve">. </w:t>
      </w:r>
      <w:hyperlink r:id="rId22" w:history="1">
        <w:r w:rsidRPr="0073794E">
          <w:rPr>
            <w:rStyle w:val="Hyperlink"/>
            <w:rFonts w:asciiTheme="minorHAnsi" w:hAnsiTheme="minorHAnsi" w:cstheme="minorHAnsi"/>
            <w:sz w:val="22"/>
            <w:szCs w:val="22"/>
          </w:rPr>
          <w:t>Transformation framework (college.police.uk)</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01/03/2024</w:t>
      </w:r>
      <w:proofErr w:type="gramEnd"/>
    </w:p>
    <w:p w14:paraId="217A7C2E"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Collins, C., Gibson, C., Quigley, N. &amp; Parker, S. (2016) Unpacking team dynamics with growth modelling: an approach to test, refine, and integrate theory. </w:t>
      </w:r>
      <w:r w:rsidRPr="0073794E">
        <w:rPr>
          <w:rFonts w:asciiTheme="minorHAnsi" w:hAnsiTheme="minorHAnsi" w:cstheme="minorHAnsi"/>
          <w:i/>
          <w:iCs/>
          <w:sz w:val="22"/>
          <w:szCs w:val="22"/>
        </w:rPr>
        <w:t>Organizational Psychology Review</w:t>
      </w:r>
      <w:r w:rsidRPr="0073794E">
        <w:rPr>
          <w:rFonts w:asciiTheme="minorHAnsi" w:hAnsiTheme="minorHAnsi" w:cstheme="minorHAnsi"/>
          <w:sz w:val="22"/>
          <w:szCs w:val="22"/>
        </w:rPr>
        <w:t>. Vol. 6, 1, p.63-91</w:t>
      </w:r>
    </w:p>
    <w:p w14:paraId="1E21D35C" w14:textId="77777777" w:rsidR="00057732"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lastRenderedPageBreak/>
        <w:t xml:space="preserve">Cooper, S. (2023) Police relational accountabilities: the paralysis of police accountability? </w:t>
      </w:r>
      <w:r w:rsidRPr="0073794E">
        <w:rPr>
          <w:rFonts w:asciiTheme="minorHAnsi" w:hAnsiTheme="minorHAnsi" w:cstheme="minorHAnsi"/>
          <w:i/>
          <w:iCs/>
          <w:sz w:val="22"/>
          <w:szCs w:val="22"/>
        </w:rPr>
        <w:t>Policing</w:t>
      </w:r>
      <w:r w:rsidRPr="0073794E">
        <w:rPr>
          <w:rFonts w:asciiTheme="minorHAnsi" w:hAnsiTheme="minorHAnsi" w:cstheme="minorHAnsi"/>
          <w:sz w:val="22"/>
          <w:szCs w:val="22"/>
        </w:rPr>
        <w:t xml:space="preserve">. Vol. 17, p.1-16 </w:t>
      </w:r>
    </w:p>
    <w:p w14:paraId="173137D1" w14:textId="14AF24C2"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Corcoran, D. (2014) How useful is a problem-solving approach to police station conflict management: keeping the peace among police officers. </w:t>
      </w:r>
      <w:r w:rsidRPr="0073794E">
        <w:rPr>
          <w:rFonts w:asciiTheme="minorHAnsi" w:hAnsiTheme="minorHAnsi" w:cstheme="minorHAnsi"/>
          <w:i/>
          <w:iCs/>
          <w:sz w:val="22"/>
          <w:szCs w:val="22"/>
        </w:rPr>
        <w:t>International Journal of Police Science &amp; Management</w:t>
      </w:r>
      <w:r w:rsidRPr="0073794E">
        <w:rPr>
          <w:rFonts w:asciiTheme="minorHAnsi" w:hAnsiTheme="minorHAnsi" w:cstheme="minorHAnsi"/>
          <w:sz w:val="22"/>
          <w:szCs w:val="22"/>
        </w:rPr>
        <w:t xml:space="preserve">. Vol. 16, </w:t>
      </w:r>
      <w:proofErr w:type="gramStart"/>
      <w:r w:rsidRPr="0073794E">
        <w:rPr>
          <w:rFonts w:asciiTheme="minorHAnsi" w:hAnsiTheme="minorHAnsi" w:cstheme="minorHAnsi"/>
          <w:sz w:val="22"/>
          <w:szCs w:val="22"/>
        </w:rPr>
        <w:t>2 ,</w:t>
      </w:r>
      <w:proofErr w:type="gramEnd"/>
      <w:r w:rsidRPr="0073794E">
        <w:rPr>
          <w:rFonts w:asciiTheme="minorHAnsi" w:hAnsiTheme="minorHAnsi" w:cstheme="minorHAnsi"/>
          <w:sz w:val="22"/>
          <w:szCs w:val="22"/>
        </w:rPr>
        <w:t xml:space="preserve"> p.113-123</w:t>
      </w:r>
    </w:p>
    <w:p w14:paraId="5637001A"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De Jong, B., Dirks, K. &amp; Gillespie, N. (2016) Trust and team performance: a meta-analysis of main effects, </w:t>
      </w:r>
      <w:proofErr w:type="gramStart"/>
      <w:r w:rsidRPr="0073794E">
        <w:rPr>
          <w:rFonts w:asciiTheme="minorHAnsi" w:hAnsiTheme="minorHAnsi" w:cstheme="minorHAnsi"/>
          <w:sz w:val="22"/>
          <w:szCs w:val="22"/>
        </w:rPr>
        <w:t>moderators</w:t>
      </w:r>
      <w:proofErr w:type="gramEnd"/>
      <w:r w:rsidRPr="0073794E">
        <w:rPr>
          <w:rFonts w:asciiTheme="minorHAnsi" w:hAnsiTheme="minorHAnsi" w:cstheme="minorHAnsi"/>
          <w:sz w:val="22"/>
          <w:szCs w:val="22"/>
        </w:rPr>
        <w:t xml:space="preserve"> and covariates. </w:t>
      </w:r>
      <w:r w:rsidRPr="0073794E">
        <w:rPr>
          <w:rFonts w:asciiTheme="minorHAnsi" w:hAnsiTheme="minorHAnsi" w:cstheme="minorHAnsi"/>
          <w:i/>
          <w:iCs/>
          <w:sz w:val="22"/>
          <w:szCs w:val="22"/>
        </w:rPr>
        <w:t>Journal of Applied Psychology</w:t>
      </w:r>
      <w:r w:rsidRPr="0073794E">
        <w:rPr>
          <w:rFonts w:asciiTheme="minorHAnsi" w:hAnsiTheme="minorHAnsi" w:cstheme="minorHAnsi"/>
          <w:sz w:val="22"/>
          <w:szCs w:val="22"/>
        </w:rPr>
        <w:t>. VOL. 101, 8, P.1134-1150</w:t>
      </w:r>
    </w:p>
    <w:p w14:paraId="170BC19C"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Dutton, J. &amp; Ragins, B. (2017) </w:t>
      </w:r>
      <w:r w:rsidRPr="0073794E">
        <w:rPr>
          <w:rFonts w:asciiTheme="minorHAnsi" w:hAnsiTheme="minorHAnsi" w:cstheme="minorHAnsi"/>
          <w:i/>
          <w:iCs/>
          <w:sz w:val="22"/>
          <w:szCs w:val="22"/>
        </w:rPr>
        <w:t>Exploring Positive Relationships at Work. Building a Theoretical and Research Foundation</w:t>
      </w:r>
      <w:r w:rsidRPr="0073794E">
        <w:rPr>
          <w:rFonts w:asciiTheme="minorHAnsi" w:hAnsiTheme="minorHAnsi" w:cstheme="minorHAnsi"/>
          <w:sz w:val="22"/>
          <w:szCs w:val="22"/>
        </w:rPr>
        <w:t>. New York. Psychology Press</w:t>
      </w:r>
    </w:p>
    <w:p w14:paraId="390F412F"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Ellinas, C., Allan, N. &amp; Johansson, A. (2017) Dynamics of organizational culture: individual beliefs vs. social conformity. </w:t>
      </w:r>
      <w:proofErr w:type="spellStart"/>
      <w:r w:rsidRPr="0073794E">
        <w:rPr>
          <w:rFonts w:asciiTheme="minorHAnsi" w:hAnsiTheme="minorHAnsi" w:cstheme="minorHAnsi"/>
          <w:i/>
          <w:iCs/>
          <w:sz w:val="22"/>
          <w:szCs w:val="22"/>
        </w:rPr>
        <w:t>PLoS</w:t>
      </w:r>
      <w:proofErr w:type="spellEnd"/>
      <w:r w:rsidRPr="0073794E">
        <w:rPr>
          <w:rFonts w:asciiTheme="minorHAnsi" w:hAnsiTheme="minorHAnsi" w:cstheme="minorHAnsi"/>
          <w:i/>
          <w:iCs/>
          <w:sz w:val="22"/>
          <w:szCs w:val="22"/>
        </w:rPr>
        <w:t xml:space="preserve"> ONE</w:t>
      </w:r>
      <w:r w:rsidRPr="0073794E">
        <w:rPr>
          <w:rFonts w:asciiTheme="minorHAnsi" w:hAnsiTheme="minorHAnsi" w:cstheme="minorHAnsi"/>
          <w:sz w:val="22"/>
          <w:szCs w:val="22"/>
        </w:rPr>
        <w:t>. Vol. 12, 6, p.1-20</w:t>
      </w:r>
    </w:p>
    <w:p w14:paraId="194474CE" w14:textId="77777777" w:rsidR="0073794E" w:rsidRPr="0073794E" w:rsidRDefault="0073794E" w:rsidP="00D03EA2">
      <w:pPr>
        <w:spacing w:line="360" w:lineRule="auto"/>
        <w:rPr>
          <w:rFonts w:asciiTheme="minorHAnsi" w:hAnsiTheme="minorHAnsi" w:cstheme="minorHAnsi"/>
          <w:sz w:val="22"/>
          <w:szCs w:val="22"/>
        </w:rPr>
      </w:pPr>
      <w:proofErr w:type="spellStart"/>
      <w:r w:rsidRPr="0073794E">
        <w:rPr>
          <w:rFonts w:asciiTheme="minorHAnsi" w:hAnsiTheme="minorHAnsi" w:cstheme="minorHAnsi"/>
          <w:sz w:val="22"/>
          <w:szCs w:val="22"/>
        </w:rPr>
        <w:t>Ertosun</w:t>
      </w:r>
      <w:proofErr w:type="spellEnd"/>
      <w:r w:rsidRPr="0073794E">
        <w:rPr>
          <w:rFonts w:asciiTheme="minorHAnsi" w:hAnsiTheme="minorHAnsi" w:cstheme="minorHAnsi"/>
          <w:sz w:val="22"/>
          <w:szCs w:val="22"/>
        </w:rPr>
        <w:t xml:space="preserve">, O. &amp; </w:t>
      </w:r>
      <w:proofErr w:type="spellStart"/>
      <w:r w:rsidRPr="0073794E">
        <w:rPr>
          <w:rFonts w:asciiTheme="minorHAnsi" w:hAnsiTheme="minorHAnsi" w:cstheme="minorHAnsi"/>
          <w:sz w:val="22"/>
          <w:szCs w:val="22"/>
        </w:rPr>
        <w:t>Adiguzel</w:t>
      </w:r>
      <w:proofErr w:type="spellEnd"/>
      <w:r w:rsidRPr="0073794E">
        <w:rPr>
          <w:rFonts w:asciiTheme="minorHAnsi" w:hAnsiTheme="minorHAnsi" w:cstheme="minorHAnsi"/>
          <w:sz w:val="22"/>
          <w:szCs w:val="22"/>
        </w:rPr>
        <w:t xml:space="preserve">, Z. (2018) </w:t>
      </w:r>
      <w:r w:rsidRPr="0073794E">
        <w:rPr>
          <w:rFonts w:asciiTheme="minorHAnsi" w:hAnsiTheme="minorHAnsi" w:cstheme="minorHAnsi"/>
          <w:i/>
          <w:iCs/>
          <w:sz w:val="22"/>
          <w:szCs w:val="22"/>
        </w:rPr>
        <w:t>Leadership, Personal Values and Organizational Culture</w:t>
      </w:r>
      <w:r w:rsidRPr="0073794E">
        <w:rPr>
          <w:rFonts w:asciiTheme="minorHAnsi" w:hAnsiTheme="minorHAnsi" w:cstheme="minorHAnsi"/>
          <w:sz w:val="22"/>
          <w:szCs w:val="22"/>
        </w:rPr>
        <w:t>. New York. Springer</w:t>
      </w:r>
    </w:p>
    <w:p w14:paraId="7241B64F"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Filho, E. (2019) Team dynamics theory: nomological network among cohesion, team, mental models, coordination, and collective efficacy. </w:t>
      </w:r>
      <w:r w:rsidRPr="0073794E">
        <w:rPr>
          <w:rFonts w:asciiTheme="minorHAnsi" w:hAnsiTheme="minorHAnsi" w:cstheme="minorHAnsi"/>
          <w:i/>
          <w:iCs/>
          <w:sz w:val="22"/>
          <w:szCs w:val="22"/>
        </w:rPr>
        <w:t>Sport Sciences for Health</w:t>
      </w:r>
      <w:r w:rsidRPr="0073794E">
        <w:rPr>
          <w:rFonts w:asciiTheme="minorHAnsi" w:hAnsiTheme="minorHAnsi" w:cstheme="minorHAnsi"/>
          <w:sz w:val="22"/>
          <w:szCs w:val="22"/>
        </w:rPr>
        <w:t>. Vol. 15, p.1-20</w:t>
      </w:r>
    </w:p>
    <w:p w14:paraId="5DFBECBC" w14:textId="77777777" w:rsidR="0073794E"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Fridman, J., Feldman-Barrett, L., Wormwood, J. et al (2019) Applying the theory of constructed emotion to police decision making. </w:t>
      </w:r>
      <w:r w:rsidRPr="0073794E">
        <w:rPr>
          <w:rFonts w:asciiTheme="minorHAnsi" w:hAnsiTheme="minorHAnsi" w:cstheme="minorHAnsi"/>
          <w:i/>
          <w:iCs/>
          <w:sz w:val="22"/>
          <w:szCs w:val="22"/>
          <w:shd w:val="clear" w:color="auto" w:fill="FFFFFF"/>
        </w:rPr>
        <w:t>Frontiers in Psychology</w:t>
      </w:r>
      <w:r w:rsidRPr="0073794E">
        <w:rPr>
          <w:rFonts w:asciiTheme="minorHAnsi" w:hAnsiTheme="minorHAnsi" w:cstheme="minorHAnsi"/>
          <w:sz w:val="22"/>
          <w:szCs w:val="22"/>
          <w:shd w:val="clear" w:color="auto" w:fill="FFFFFF"/>
        </w:rPr>
        <w:t xml:space="preserve">. Vol. 10 </w:t>
      </w:r>
    </w:p>
    <w:p w14:paraId="0911E4E4" w14:textId="77777777" w:rsidR="00244668" w:rsidRDefault="00244668" w:rsidP="00244668">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Gains, A., Henderson, C. &amp; Goyal, V. (2024) </w:t>
      </w:r>
      <w:r w:rsidRPr="00EB4E94">
        <w:rPr>
          <w:rFonts w:asciiTheme="minorHAnsi" w:hAnsiTheme="minorHAnsi" w:cstheme="minorHAnsi"/>
          <w:i/>
          <w:iCs/>
          <w:sz w:val="22"/>
          <w:szCs w:val="22"/>
        </w:rPr>
        <w:t>Engaging Criminality – Denying Criminals use of the Roads</w:t>
      </w:r>
      <w:r w:rsidRPr="00EB4E94">
        <w:rPr>
          <w:rFonts w:asciiTheme="minorHAnsi" w:hAnsiTheme="minorHAnsi" w:cstheme="minorHAnsi"/>
          <w:sz w:val="22"/>
          <w:szCs w:val="22"/>
        </w:rPr>
        <w:t xml:space="preserve">. </w:t>
      </w:r>
      <w:hyperlink r:id="rId23" w:history="1">
        <w:r>
          <w:rPr>
            <w:rStyle w:val="Hyperlink"/>
          </w:rPr>
          <w:t>9870 ANPR report qx5 latest 17Sep.qxd (cebcp.org)</w:t>
        </w:r>
      </w:hyperlink>
      <w:r>
        <w:t xml:space="preserve"> accessed on </w:t>
      </w:r>
      <w:proofErr w:type="gramStart"/>
      <w:r>
        <w:t>19/03/2024</w:t>
      </w:r>
      <w:proofErr w:type="gramEnd"/>
      <w:r w:rsidRPr="00EB4E94">
        <w:rPr>
          <w:rFonts w:asciiTheme="minorHAnsi" w:hAnsiTheme="minorHAnsi" w:cstheme="minorHAnsi"/>
          <w:sz w:val="22"/>
          <w:szCs w:val="22"/>
        </w:rPr>
        <w:t xml:space="preserve"> </w:t>
      </w:r>
    </w:p>
    <w:p w14:paraId="06EA0C9B" w14:textId="51F224A2" w:rsidR="00244668" w:rsidRDefault="00244668" w:rsidP="00244668">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Green, S. (2020) </w:t>
      </w:r>
      <w:r w:rsidRPr="00EB4E94">
        <w:rPr>
          <w:rFonts w:asciiTheme="minorHAnsi" w:hAnsiTheme="minorHAnsi" w:cstheme="minorHAnsi"/>
          <w:i/>
          <w:iCs/>
          <w:sz w:val="22"/>
          <w:szCs w:val="22"/>
        </w:rPr>
        <w:t xml:space="preserve">Roads Policing Back to the Future </w:t>
      </w:r>
      <w:hyperlink r:id="rId24" w:history="1">
        <w:r w:rsidRPr="00D915D5">
          <w:rPr>
            <w:rStyle w:val="Hyperlink"/>
            <w:rFonts w:asciiTheme="minorHAnsi" w:hAnsiTheme="minorHAnsi" w:cstheme="minorHAnsi"/>
            <w:sz w:val="22"/>
            <w:szCs w:val="22"/>
          </w:rPr>
          <w:t>https://www.racfoundation.org/wp-content/uploads/Roads_policing_back_to_the_future_Steve_Green_Oct_2020.pdf</w:t>
        </w:r>
        <w:r w:rsidRPr="00D915D5">
          <w:rPr>
            <w:rStyle w:val="Hyperlink"/>
            <w:rFonts w:asciiTheme="minorHAnsi" w:hAnsiTheme="minorHAnsi" w:cstheme="minorHAnsi"/>
            <w:i/>
            <w:iCs/>
            <w:sz w:val="22"/>
            <w:szCs w:val="22"/>
          </w:rPr>
          <w:t xml:space="preserve"> </w:t>
        </w:r>
        <w:r w:rsidRPr="00D915D5">
          <w:rPr>
            <w:rStyle w:val="Hyperlink"/>
            <w:rFonts w:asciiTheme="minorHAnsi" w:hAnsiTheme="minorHAnsi" w:cstheme="minorHAnsi"/>
            <w:sz w:val="22"/>
            <w:szCs w:val="22"/>
          </w:rPr>
          <w:t>accessed on 03/03/2024</w:t>
        </w:r>
      </w:hyperlink>
    </w:p>
    <w:p w14:paraId="62CD6B1D" w14:textId="601EF541" w:rsidR="00244668" w:rsidRPr="00EB4E94" w:rsidRDefault="00807CBD" w:rsidP="00244668">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Gurney, R., Rhead, M., Ramalingam, S. &amp; Cohen, N. (2011) Working towards an international ANPR standard – an initial investigation into the UK standard. </w:t>
      </w:r>
      <w:r w:rsidRPr="00EB4E94">
        <w:rPr>
          <w:rFonts w:asciiTheme="minorHAnsi" w:hAnsiTheme="minorHAnsi" w:cstheme="minorHAnsi"/>
          <w:i/>
          <w:iCs/>
          <w:sz w:val="22"/>
          <w:szCs w:val="22"/>
        </w:rPr>
        <w:t>IEEE International Carnahan Conference on Security Technology</w:t>
      </w:r>
      <w:r w:rsidRPr="00EB4E94">
        <w:rPr>
          <w:rFonts w:asciiTheme="minorHAnsi" w:hAnsiTheme="minorHAnsi" w:cstheme="minorHAnsi"/>
          <w:sz w:val="22"/>
          <w:szCs w:val="22"/>
        </w:rPr>
        <w:t>. P.331-337</w:t>
      </w:r>
    </w:p>
    <w:p w14:paraId="0EF5FE4F" w14:textId="77777777" w:rsidR="00553AC7" w:rsidRPr="0073794E" w:rsidRDefault="00553AC7"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Gwent Police (2024) </w:t>
      </w:r>
      <w:r w:rsidRPr="0073794E">
        <w:rPr>
          <w:rFonts w:asciiTheme="minorHAnsi" w:hAnsiTheme="minorHAnsi" w:cstheme="minorHAnsi"/>
          <w:i/>
          <w:iCs/>
          <w:sz w:val="22"/>
          <w:szCs w:val="22"/>
        </w:rPr>
        <w:t xml:space="preserve">Wellbeing: Staff and Officers Toolkit. </w:t>
      </w:r>
      <w:hyperlink r:id="rId25" w:history="1">
        <w:r w:rsidRPr="0073794E">
          <w:rPr>
            <w:rStyle w:val="Hyperlink"/>
            <w:rFonts w:asciiTheme="minorHAnsi" w:hAnsiTheme="minorHAnsi" w:cstheme="minorHAnsi"/>
            <w:sz w:val="22"/>
            <w:szCs w:val="22"/>
          </w:rPr>
          <w:t>Wellbeing Toolkit.pdf</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01/03/2024</w:t>
      </w:r>
      <w:proofErr w:type="gramEnd"/>
    </w:p>
    <w:p w14:paraId="24B5C1D7"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Gwent Police (2021) </w:t>
      </w:r>
      <w:r w:rsidRPr="0073794E">
        <w:rPr>
          <w:rFonts w:asciiTheme="minorHAnsi" w:hAnsiTheme="minorHAnsi" w:cstheme="minorHAnsi"/>
          <w:i/>
          <w:iCs/>
          <w:sz w:val="22"/>
          <w:szCs w:val="22"/>
        </w:rPr>
        <w:t>Leadership Strategic Plan 2022-2025</w:t>
      </w:r>
      <w:r w:rsidRPr="0073794E">
        <w:rPr>
          <w:rFonts w:asciiTheme="minorHAnsi" w:hAnsiTheme="minorHAnsi" w:cstheme="minorHAnsi"/>
          <w:sz w:val="22"/>
          <w:szCs w:val="22"/>
        </w:rPr>
        <w:t xml:space="preserve">. </w:t>
      </w:r>
      <w:hyperlink r:id="rId26" w:history="1">
        <w:r w:rsidRPr="0073794E">
          <w:rPr>
            <w:rStyle w:val="Hyperlink"/>
            <w:rFonts w:asciiTheme="minorHAnsi" w:hAnsiTheme="minorHAnsi" w:cstheme="minorHAnsi"/>
            <w:sz w:val="22"/>
            <w:szCs w:val="22"/>
          </w:rPr>
          <w:t>3-h-1-leadership-strategic-plan-2022-annex-1.pdf (pcc.police.uk)</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01/03/2024</w:t>
      </w:r>
      <w:proofErr w:type="gramEnd"/>
    </w:p>
    <w:p w14:paraId="3CEBEDB6" w14:textId="77777777" w:rsidR="00807CBD" w:rsidRPr="00EB4E94" w:rsidRDefault="00807CBD" w:rsidP="00807CBD">
      <w:pPr>
        <w:spacing w:line="360" w:lineRule="auto"/>
        <w:ind w:right="238"/>
        <w:rPr>
          <w:rFonts w:asciiTheme="minorHAnsi" w:hAnsiTheme="minorHAnsi" w:cstheme="minorHAnsi"/>
          <w:sz w:val="22"/>
          <w:szCs w:val="22"/>
        </w:rPr>
      </w:pPr>
      <w:proofErr w:type="spellStart"/>
      <w:r w:rsidRPr="00EB4E94">
        <w:rPr>
          <w:rFonts w:asciiTheme="minorHAnsi" w:hAnsiTheme="minorHAnsi" w:cstheme="minorHAnsi"/>
          <w:sz w:val="22"/>
          <w:szCs w:val="22"/>
        </w:rPr>
        <w:t>Halkon</w:t>
      </w:r>
      <w:proofErr w:type="spellEnd"/>
      <w:r w:rsidRPr="00EB4E94">
        <w:rPr>
          <w:rFonts w:asciiTheme="minorHAnsi" w:hAnsiTheme="minorHAnsi" w:cstheme="minorHAnsi"/>
          <w:sz w:val="22"/>
          <w:szCs w:val="22"/>
        </w:rPr>
        <w:t xml:space="preserve">, R. &amp; Muir, R. (2022) </w:t>
      </w:r>
      <w:r w:rsidRPr="00EB4E94">
        <w:rPr>
          <w:rFonts w:asciiTheme="minorHAnsi" w:hAnsiTheme="minorHAnsi" w:cstheme="minorHAnsi"/>
          <w:i/>
          <w:iCs/>
          <w:sz w:val="22"/>
          <w:szCs w:val="22"/>
        </w:rPr>
        <w:t>The Future of Roads Policing</w:t>
      </w:r>
      <w:r w:rsidRPr="00EB4E94">
        <w:rPr>
          <w:rFonts w:asciiTheme="minorHAnsi" w:hAnsiTheme="minorHAnsi" w:cstheme="minorHAnsi"/>
          <w:sz w:val="22"/>
          <w:szCs w:val="22"/>
        </w:rPr>
        <w:t xml:space="preserve">. </w:t>
      </w:r>
      <w:hyperlink r:id="rId27" w:history="1">
        <w:r w:rsidRPr="00EB4E94">
          <w:rPr>
            <w:rStyle w:val="Hyperlink"/>
            <w:rFonts w:asciiTheme="minorHAnsi" w:hAnsiTheme="minorHAnsi" w:cstheme="minorHAnsi"/>
            <w:sz w:val="22"/>
            <w:szCs w:val="22"/>
          </w:rPr>
          <w:t>future_of_roads_policing_FINAL.pdf (police-foundation.org.uk)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01/03/2024</w:t>
      </w:r>
      <w:proofErr w:type="gramEnd"/>
    </w:p>
    <w:p w14:paraId="7AC6EFD6" w14:textId="4E974276" w:rsidR="00807CBD" w:rsidRPr="0073794E" w:rsidRDefault="00807CBD" w:rsidP="00807CBD">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Harding S. (2023) </w:t>
      </w:r>
      <w:r w:rsidRPr="00EB4E94">
        <w:rPr>
          <w:rFonts w:asciiTheme="minorHAnsi" w:hAnsiTheme="minorHAnsi" w:cstheme="minorHAnsi"/>
          <w:i/>
          <w:iCs/>
          <w:sz w:val="22"/>
          <w:szCs w:val="22"/>
        </w:rPr>
        <w:t>County Lines: Dealing in Vulnerability</w:t>
      </w:r>
      <w:r w:rsidRPr="00EB4E94">
        <w:rPr>
          <w:rFonts w:asciiTheme="minorHAnsi" w:hAnsiTheme="minorHAnsi" w:cstheme="minorHAnsi"/>
          <w:sz w:val="22"/>
          <w:szCs w:val="22"/>
        </w:rPr>
        <w:t>. London. Palgrave Macmillan</w:t>
      </w:r>
    </w:p>
    <w:p w14:paraId="26E129CB"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Health and Safety Executive (2024) </w:t>
      </w:r>
      <w:r w:rsidRPr="0073794E">
        <w:rPr>
          <w:rFonts w:asciiTheme="minorHAnsi" w:hAnsiTheme="minorHAnsi" w:cstheme="minorHAnsi"/>
          <w:i/>
          <w:iCs/>
          <w:sz w:val="22"/>
          <w:szCs w:val="22"/>
        </w:rPr>
        <w:t>Managing Risk and Risk Assessment at Work</w:t>
      </w:r>
      <w:r w:rsidRPr="0073794E">
        <w:rPr>
          <w:rFonts w:asciiTheme="minorHAnsi" w:hAnsiTheme="minorHAnsi" w:cstheme="minorHAnsi"/>
          <w:sz w:val="22"/>
          <w:szCs w:val="22"/>
        </w:rPr>
        <w:t xml:space="preserve">. </w:t>
      </w:r>
      <w:hyperlink r:id="rId28" w:history="1">
        <w:r w:rsidRPr="0073794E">
          <w:rPr>
            <w:rStyle w:val="Hyperlink"/>
            <w:rFonts w:asciiTheme="minorHAnsi" w:hAnsiTheme="minorHAnsi" w:cstheme="minorHAnsi"/>
            <w:sz w:val="22"/>
            <w:szCs w:val="22"/>
          </w:rPr>
          <w:t>Managing risks and risk assessment at work – Overview -HSE</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09/03/2024</w:t>
      </w:r>
      <w:proofErr w:type="gramEnd"/>
    </w:p>
    <w:p w14:paraId="270D1D8D"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lastRenderedPageBreak/>
        <w:t xml:space="preserve">Henderson, M. (2014) </w:t>
      </w:r>
      <w:r w:rsidRPr="0073794E">
        <w:rPr>
          <w:rFonts w:asciiTheme="minorHAnsi" w:hAnsiTheme="minorHAnsi" w:cstheme="minorHAnsi"/>
          <w:i/>
          <w:iCs/>
          <w:sz w:val="22"/>
          <w:szCs w:val="22"/>
        </w:rPr>
        <w:t>Above the Line: How to Create a Company Culture that Engages Employees, Delights Customers and Delivers Results</w:t>
      </w:r>
      <w:r w:rsidRPr="0073794E">
        <w:rPr>
          <w:rFonts w:asciiTheme="minorHAnsi" w:hAnsiTheme="minorHAnsi" w:cstheme="minorHAnsi"/>
          <w:sz w:val="22"/>
          <w:szCs w:val="22"/>
        </w:rPr>
        <w:t xml:space="preserve">. Australia. Milton </w:t>
      </w:r>
    </w:p>
    <w:p w14:paraId="121FBEE0" w14:textId="219D67AE" w:rsidR="00737F7F" w:rsidRPr="0073794E" w:rsidRDefault="00737F7F" w:rsidP="00737F7F">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Home Office (2022) </w:t>
      </w:r>
      <w:r w:rsidRPr="00EB4E94">
        <w:rPr>
          <w:rFonts w:asciiTheme="minorHAnsi" w:hAnsiTheme="minorHAnsi" w:cstheme="minorHAnsi"/>
          <w:i/>
          <w:iCs/>
          <w:sz w:val="22"/>
          <w:szCs w:val="22"/>
        </w:rPr>
        <w:t>National ANPR Standards for Policing and Law Enforcements</w:t>
      </w:r>
      <w:r w:rsidRPr="00EB4E94">
        <w:rPr>
          <w:rFonts w:asciiTheme="minorHAnsi" w:hAnsiTheme="minorHAnsi" w:cstheme="minorHAnsi"/>
          <w:sz w:val="22"/>
          <w:szCs w:val="22"/>
        </w:rPr>
        <w:t xml:space="preserve">. </w:t>
      </w:r>
      <w:hyperlink r:id="rId29" w:history="1">
        <w:r w:rsidRPr="00EB4E94">
          <w:rPr>
            <w:rStyle w:val="Hyperlink"/>
            <w:rFonts w:asciiTheme="minorHAnsi" w:hAnsiTheme="minorHAnsi" w:cstheme="minorHAnsi"/>
            <w:sz w:val="22"/>
            <w:szCs w:val="22"/>
          </w:rPr>
          <w:t>National ANPR standards for policing and law enforcement (publishing.service.gov.uk)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21/03/2024</w:t>
      </w:r>
      <w:proofErr w:type="gramEnd"/>
    </w:p>
    <w:p w14:paraId="3D3364AB"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Humphrey, S., Federico, A., Cushenbery, L. et al (2017) Team conflict dynamics: implications of a dyadic view of a conflict for team performance. </w:t>
      </w:r>
      <w:r w:rsidRPr="0073794E">
        <w:rPr>
          <w:rFonts w:asciiTheme="minorHAnsi" w:hAnsiTheme="minorHAnsi" w:cstheme="minorHAnsi"/>
          <w:i/>
          <w:iCs/>
          <w:sz w:val="22"/>
          <w:szCs w:val="22"/>
        </w:rPr>
        <w:t xml:space="preserve">Organizational </w:t>
      </w:r>
      <w:proofErr w:type="spellStart"/>
      <w:r w:rsidRPr="0073794E">
        <w:rPr>
          <w:rFonts w:asciiTheme="minorHAnsi" w:hAnsiTheme="minorHAnsi" w:cstheme="minorHAnsi"/>
          <w:i/>
          <w:iCs/>
          <w:sz w:val="22"/>
          <w:szCs w:val="22"/>
        </w:rPr>
        <w:t>Behavior</w:t>
      </w:r>
      <w:proofErr w:type="spellEnd"/>
      <w:r w:rsidRPr="0073794E">
        <w:rPr>
          <w:rFonts w:asciiTheme="minorHAnsi" w:hAnsiTheme="minorHAnsi" w:cstheme="minorHAnsi"/>
          <w:i/>
          <w:iCs/>
          <w:sz w:val="22"/>
          <w:szCs w:val="22"/>
        </w:rPr>
        <w:t xml:space="preserve"> and Human Decision Processes</w:t>
      </w:r>
      <w:r w:rsidRPr="0073794E">
        <w:rPr>
          <w:rFonts w:asciiTheme="minorHAnsi" w:hAnsiTheme="minorHAnsi" w:cstheme="minorHAnsi"/>
          <w:sz w:val="22"/>
          <w:szCs w:val="22"/>
        </w:rPr>
        <w:t>. Vol. 142, p.58-70</w:t>
      </w:r>
    </w:p>
    <w:p w14:paraId="77A9C1AB"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Jones, A. (2019) The Tuckman’s model implementation, effect, and analysis and the new development of Jones LSI model in a small group. </w:t>
      </w:r>
      <w:r w:rsidRPr="0073794E">
        <w:rPr>
          <w:rFonts w:asciiTheme="minorHAnsi" w:hAnsiTheme="minorHAnsi" w:cstheme="minorHAnsi"/>
          <w:i/>
          <w:iCs/>
          <w:sz w:val="22"/>
          <w:szCs w:val="22"/>
        </w:rPr>
        <w:t>Journal of Management</w:t>
      </w:r>
      <w:r w:rsidRPr="0073794E">
        <w:rPr>
          <w:rFonts w:asciiTheme="minorHAnsi" w:hAnsiTheme="minorHAnsi" w:cstheme="minorHAnsi"/>
          <w:sz w:val="22"/>
          <w:szCs w:val="22"/>
        </w:rPr>
        <w:t>. Vol. 6, 4, p.23-28</w:t>
      </w:r>
    </w:p>
    <w:p w14:paraId="4677BD40"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Liang, H., Shih, H. &amp; Chiang, Y. (2014) Team diversity and team helping </w:t>
      </w:r>
      <w:proofErr w:type="spellStart"/>
      <w:r w:rsidRPr="0073794E">
        <w:rPr>
          <w:rFonts w:asciiTheme="minorHAnsi" w:hAnsiTheme="minorHAnsi" w:cstheme="minorHAnsi"/>
          <w:sz w:val="22"/>
          <w:szCs w:val="22"/>
        </w:rPr>
        <w:t>behavior</w:t>
      </w:r>
      <w:proofErr w:type="spellEnd"/>
      <w:r w:rsidRPr="0073794E">
        <w:rPr>
          <w:rFonts w:asciiTheme="minorHAnsi" w:hAnsiTheme="minorHAnsi" w:cstheme="minorHAnsi"/>
          <w:sz w:val="22"/>
          <w:szCs w:val="22"/>
        </w:rPr>
        <w:t xml:space="preserve">: the mediating roles of team cooperation and team cohesion. </w:t>
      </w:r>
      <w:r w:rsidRPr="0073794E">
        <w:rPr>
          <w:rFonts w:asciiTheme="minorHAnsi" w:hAnsiTheme="minorHAnsi" w:cstheme="minorHAnsi"/>
          <w:i/>
          <w:iCs/>
          <w:sz w:val="22"/>
          <w:szCs w:val="22"/>
        </w:rPr>
        <w:t>European Management Journal</w:t>
      </w:r>
      <w:r w:rsidRPr="0073794E">
        <w:rPr>
          <w:rFonts w:asciiTheme="minorHAnsi" w:hAnsiTheme="minorHAnsi" w:cstheme="minorHAnsi"/>
          <w:sz w:val="22"/>
          <w:szCs w:val="22"/>
        </w:rPr>
        <w:t>. Vol. 33, 1, p.48-59</w:t>
      </w:r>
    </w:p>
    <w:p w14:paraId="5372EC21" w14:textId="77777777" w:rsidR="00057732" w:rsidRDefault="0073794E" w:rsidP="00D03EA2">
      <w:pPr>
        <w:spacing w:line="360" w:lineRule="auto"/>
        <w:jc w:val="both"/>
        <w:rPr>
          <w:rFonts w:asciiTheme="minorHAnsi" w:hAnsiTheme="minorHAnsi" w:cstheme="minorHAnsi"/>
          <w:b/>
          <w:bCs/>
          <w:sz w:val="22"/>
          <w:szCs w:val="22"/>
          <w:shd w:val="clear" w:color="auto" w:fill="FFFFFF"/>
        </w:rPr>
      </w:pPr>
      <w:r w:rsidRPr="0073794E">
        <w:rPr>
          <w:rFonts w:asciiTheme="minorHAnsi" w:hAnsiTheme="minorHAnsi" w:cstheme="minorHAnsi"/>
          <w:sz w:val="22"/>
          <w:szCs w:val="22"/>
          <w:shd w:val="clear" w:color="auto" w:fill="FFFFFF"/>
        </w:rPr>
        <w:t xml:space="preserve">Longstaff, A., Willer, J., Chapman, S. et al (2015) Neighbourhood policing: past, </w:t>
      </w:r>
      <w:proofErr w:type="gramStart"/>
      <w:r w:rsidRPr="0073794E">
        <w:rPr>
          <w:rFonts w:asciiTheme="minorHAnsi" w:hAnsiTheme="minorHAnsi" w:cstheme="minorHAnsi"/>
          <w:sz w:val="22"/>
          <w:szCs w:val="22"/>
          <w:shd w:val="clear" w:color="auto" w:fill="FFFFFF"/>
        </w:rPr>
        <w:t>present</w:t>
      </w:r>
      <w:proofErr w:type="gramEnd"/>
      <w:r w:rsidRPr="0073794E">
        <w:rPr>
          <w:rFonts w:asciiTheme="minorHAnsi" w:hAnsiTheme="minorHAnsi" w:cstheme="minorHAnsi"/>
          <w:sz w:val="22"/>
          <w:szCs w:val="22"/>
          <w:shd w:val="clear" w:color="auto" w:fill="FFFFFF"/>
        </w:rPr>
        <w:t xml:space="preserve"> and future. </w:t>
      </w:r>
      <w:r w:rsidRPr="0073794E">
        <w:rPr>
          <w:rFonts w:asciiTheme="minorHAnsi" w:hAnsiTheme="minorHAnsi" w:cstheme="minorHAnsi"/>
          <w:i/>
          <w:iCs/>
          <w:sz w:val="22"/>
          <w:szCs w:val="22"/>
          <w:shd w:val="clear" w:color="auto" w:fill="FFFFFF"/>
        </w:rPr>
        <w:t>The Police Foundation</w:t>
      </w:r>
      <w:r w:rsidRPr="0073794E">
        <w:rPr>
          <w:rFonts w:asciiTheme="minorHAnsi" w:hAnsiTheme="minorHAnsi" w:cstheme="minorHAnsi"/>
          <w:sz w:val="22"/>
          <w:szCs w:val="22"/>
          <w:shd w:val="clear" w:color="auto" w:fill="FFFFFF"/>
        </w:rPr>
        <w:t xml:space="preserve">. P.25-31 </w:t>
      </w:r>
      <w:hyperlink r:id="rId30" w:history="1">
        <w:r w:rsidRPr="0073794E">
          <w:rPr>
            <w:rStyle w:val="Hyperlink"/>
            <w:rFonts w:asciiTheme="minorHAnsi" w:hAnsiTheme="minorHAnsi" w:cstheme="minorHAnsi"/>
            <w:sz w:val="22"/>
            <w:szCs w:val="22"/>
          </w:rPr>
          <w:t xml:space="preserve">Police Foundation Neighbourhood Policing </w:t>
        </w:r>
        <w:proofErr w:type="spellStart"/>
        <w:r w:rsidRPr="0073794E">
          <w:rPr>
            <w:rStyle w:val="Hyperlink"/>
            <w:rFonts w:asciiTheme="minorHAnsi" w:hAnsiTheme="minorHAnsi" w:cstheme="minorHAnsi"/>
            <w:sz w:val="22"/>
            <w:szCs w:val="22"/>
          </w:rPr>
          <w:t>Report.qxd</w:t>
        </w:r>
        <w:proofErr w:type="spellEnd"/>
        <w:r w:rsidRPr="0073794E">
          <w:rPr>
            <w:rStyle w:val="Hyperlink"/>
            <w:rFonts w:asciiTheme="minorHAnsi" w:hAnsiTheme="minorHAnsi" w:cstheme="minorHAnsi"/>
            <w:sz w:val="22"/>
            <w:szCs w:val="22"/>
          </w:rPr>
          <w:t xml:space="preserve"> (police-foundation.org.uk)</w:t>
        </w:r>
      </w:hyperlink>
      <w:r w:rsidRPr="0073794E">
        <w:rPr>
          <w:rFonts w:asciiTheme="minorHAnsi" w:hAnsiTheme="minorHAnsi" w:cstheme="minorHAnsi"/>
          <w:sz w:val="22"/>
          <w:szCs w:val="22"/>
        </w:rPr>
        <w:t xml:space="preserve"> accessed on 28/03/2024</w:t>
      </w:r>
    </w:p>
    <w:p w14:paraId="024ACFE6" w14:textId="29DE626E" w:rsidR="0073794E" w:rsidRPr="00057732" w:rsidRDefault="0073794E" w:rsidP="00D03EA2">
      <w:pPr>
        <w:spacing w:line="360" w:lineRule="auto"/>
        <w:jc w:val="both"/>
        <w:rPr>
          <w:rFonts w:asciiTheme="minorHAnsi" w:hAnsiTheme="minorHAnsi" w:cstheme="minorHAnsi"/>
          <w:b/>
          <w:bCs/>
          <w:sz w:val="22"/>
          <w:szCs w:val="22"/>
          <w:shd w:val="clear" w:color="auto" w:fill="FFFFFF"/>
        </w:rPr>
      </w:pPr>
      <w:r w:rsidRPr="0073794E">
        <w:rPr>
          <w:rFonts w:asciiTheme="minorHAnsi" w:hAnsiTheme="minorHAnsi" w:cstheme="minorHAnsi"/>
          <w:sz w:val="22"/>
          <w:szCs w:val="22"/>
          <w:shd w:val="clear" w:color="auto" w:fill="FFFFFF"/>
        </w:rPr>
        <w:t xml:space="preserve">Maile, A., Ritzenthaler, S., Thompson, A. &amp; Kristjansson, K. (2023) Professional policing and the role of autonomy and discretion in decision-making: a qualitative study from a virtue ethical perspective. </w:t>
      </w:r>
      <w:r w:rsidRPr="0073794E">
        <w:rPr>
          <w:rFonts w:asciiTheme="minorHAnsi" w:hAnsiTheme="minorHAnsi" w:cstheme="minorHAnsi"/>
          <w:i/>
          <w:iCs/>
          <w:sz w:val="22"/>
          <w:szCs w:val="22"/>
          <w:shd w:val="clear" w:color="auto" w:fill="FFFFFF"/>
        </w:rPr>
        <w:t>Policing: A Journal of Policy and Practice</w:t>
      </w:r>
      <w:r w:rsidRPr="0073794E">
        <w:rPr>
          <w:rFonts w:asciiTheme="minorHAnsi" w:hAnsiTheme="minorHAnsi" w:cstheme="minorHAnsi"/>
          <w:sz w:val="22"/>
          <w:szCs w:val="22"/>
          <w:shd w:val="clear" w:color="auto" w:fill="FFFFFF"/>
        </w:rPr>
        <w:t>. Vol. 17, p.1-17</w:t>
      </w:r>
    </w:p>
    <w:p w14:paraId="0B1649F4" w14:textId="77777777" w:rsidR="0073794E" w:rsidRPr="0073794E"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Masters, K. &amp; Kebbell, M. (2023) Police officers’ perception of a dynamic sex offenders risk assessment tool (the ‘SHARP’) and registered sex offenders. </w:t>
      </w:r>
      <w:r w:rsidRPr="0073794E">
        <w:rPr>
          <w:rFonts w:asciiTheme="minorHAnsi" w:hAnsiTheme="minorHAnsi" w:cstheme="minorHAnsi"/>
          <w:i/>
          <w:iCs/>
          <w:sz w:val="22"/>
          <w:szCs w:val="22"/>
          <w:shd w:val="clear" w:color="auto" w:fill="FFFFFF"/>
        </w:rPr>
        <w:t>Psychiatry, Psychology and Law</w:t>
      </w:r>
      <w:r w:rsidRPr="0073794E">
        <w:rPr>
          <w:rFonts w:asciiTheme="minorHAnsi" w:hAnsiTheme="minorHAnsi" w:cstheme="minorHAnsi"/>
          <w:sz w:val="22"/>
          <w:szCs w:val="22"/>
          <w:shd w:val="clear" w:color="auto" w:fill="FFFFFF"/>
        </w:rPr>
        <w:t>. Vol. 30,3, p.362-382</w:t>
      </w:r>
    </w:p>
    <w:p w14:paraId="711FCD3D"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Mathieu, J., Tannenbaum, S., Donsbach, J. &amp; Alliger, G. (2014) A review and integration of team composition models: moving toward a dynamic and temporal framework. </w:t>
      </w:r>
      <w:r w:rsidRPr="0073794E">
        <w:rPr>
          <w:rFonts w:asciiTheme="minorHAnsi" w:hAnsiTheme="minorHAnsi" w:cstheme="minorHAnsi"/>
          <w:i/>
          <w:iCs/>
          <w:sz w:val="22"/>
          <w:szCs w:val="22"/>
        </w:rPr>
        <w:t>Journal of Management</w:t>
      </w:r>
      <w:r w:rsidRPr="0073794E">
        <w:rPr>
          <w:rFonts w:asciiTheme="minorHAnsi" w:hAnsiTheme="minorHAnsi" w:cstheme="minorHAnsi"/>
          <w:sz w:val="22"/>
          <w:szCs w:val="22"/>
        </w:rPr>
        <w:t>. Vol. 40, 1, p.130-160</w:t>
      </w:r>
    </w:p>
    <w:p w14:paraId="6C118573"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Maynard, M., Kennedy, D. &amp; </w:t>
      </w:r>
      <w:proofErr w:type="spellStart"/>
      <w:r w:rsidRPr="0073794E">
        <w:rPr>
          <w:rFonts w:asciiTheme="minorHAnsi" w:hAnsiTheme="minorHAnsi" w:cstheme="minorHAnsi"/>
          <w:sz w:val="22"/>
          <w:szCs w:val="22"/>
        </w:rPr>
        <w:t>Resick</w:t>
      </w:r>
      <w:proofErr w:type="spellEnd"/>
      <w:r w:rsidRPr="0073794E">
        <w:rPr>
          <w:rFonts w:asciiTheme="minorHAnsi" w:hAnsiTheme="minorHAnsi" w:cstheme="minorHAnsi"/>
          <w:sz w:val="22"/>
          <w:szCs w:val="22"/>
        </w:rPr>
        <w:t xml:space="preserve">, C. (2018) Teamwork in extreme environments: lessons, challenges, and opportunities. </w:t>
      </w:r>
      <w:r w:rsidRPr="0073794E">
        <w:rPr>
          <w:rFonts w:asciiTheme="minorHAnsi" w:hAnsiTheme="minorHAnsi" w:cstheme="minorHAnsi"/>
          <w:i/>
          <w:iCs/>
          <w:sz w:val="22"/>
          <w:szCs w:val="22"/>
        </w:rPr>
        <w:t xml:space="preserve">Journal of Organizational </w:t>
      </w:r>
      <w:proofErr w:type="spellStart"/>
      <w:r w:rsidRPr="0073794E">
        <w:rPr>
          <w:rFonts w:asciiTheme="minorHAnsi" w:hAnsiTheme="minorHAnsi" w:cstheme="minorHAnsi"/>
          <w:i/>
          <w:iCs/>
          <w:sz w:val="22"/>
          <w:szCs w:val="22"/>
        </w:rPr>
        <w:t>Behavior</w:t>
      </w:r>
      <w:proofErr w:type="spellEnd"/>
      <w:r w:rsidRPr="0073794E">
        <w:rPr>
          <w:rFonts w:asciiTheme="minorHAnsi" w:hAnsiTheme="minorHAnsi" w:cstheme="minorHAnsi"/>
          <w:sz w:val="22"/>
          <w:szCs w:val="22"/>
        </w:rPr>
        <w:t>. Vol. 39, 6, p.695-700</w:t>
      </w:r>
    </w:p>
    <w:p w14:paraId="773977D9" w14:textId="77777777" w:rsidR="0073794E" w:rsidRPr="0073794E"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Mitchell, R. &amp; Lewis, S. (2017) Intention is not method, belief is not evidence, rank is not proof. </w:t>
      </w:r>
      <w:r w:rsidRPr="0073794E">
        <w:rPr>
          <w:rFonts w:asciiTheme="minorHAnsi" w:hAnsiTheme="minorHAnsi" w:cstheme="minorHAnsi"/>
          <w:i/>
          <w:iCs/>
          <w:sz w:val="22"/>
          <w:szCs w:val="22"/>
          <w:shd w:val="clear" w:color="auto" w:fill="FFFFFF"/>
        </w:rPr>
        <w:t>International Journal of Emergency Services</w:t>
      </w:r>
      <w:r w:rsidRPr="0073794E">
        <w:rPr>
          <w:rFonts w:asciiTheme="minorHAnsi" w:hAnsiTheme="minorHAnsi" w:cstheme="minorHAnsi"/>
          <w:sz w:val="22"/>
          <w:szCs w:val="22"/>
          <w:shd w:val="clear" w:color="auto" w:fill="FFFFFF"/>
        </w:rPr>
        <w:t>. Vol. 6, 3, p.188-199</w:t>
      </w:r>
    </w:p>
    <w:p w14:paraId="72B7AF66"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Moyce, C. (2015) Culture change. </w:t>
      </w:r>
      <w:r w:rsidRPr="0073794E">
        <w:rPr>
          <w:rFonts w:asciiTheme="minorHAnsi" w:hAnsiTheme="minorHAnsi" w:cstheme="minorHAnsi"/>
          <w:i/>
          <w:iCs/>
          <w:sz w:val="22"/>
          <w:szCs w:val="22"/>
        </w:rPr>
        <w:t>Enfield</w:t>
      </w:r>
      <w:r w:rsidRPr="0073794E">
        <w:rPr>
          <w:rFonts w:asciiTheme="minorHAnsi" w:hAnsiTheme="minorHAnsi" w:cstheme="minorHAnsi"/>
          <w:sz w:val="22"/>
          <w:szCs w:val="22"/>
        </w:rPr>
        <w:t>. Vol. 59, 1, p.28-30</w:t>
      </w:r>
    </w:p>
    <w:p w14:paraId="19FFBA81" w14:textId="77777777" w:rsidR="00737F7F" w:rsidRPr="00EB4E94" w:rsidRDefault="00737F7F" w:rsidP="00737F7F">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National Crime Agency (2020) </w:t>
      </w:r>
      <w:r w:rsidRPr="00EB4E94">
        <w:rPr>
          <w:rFonts w:asciiTheme="minorHAnsi" w:hAnsiTheme="minorHAnsi" w:cstheme="minorHAnsi"/>
          <w:i/>
          <w:iCs/>
          <w:sz w:val="22"/>
          <w:szCs w:val="22"/>
        </w:rPr>
        <w:t>National Strategic Assessment of Serious and Organised Crime</w:t>
      </w:r>
      <w:r w:rsidRPr="00EB4E94">
        <w:rPr>
          <w:rFonts w:asciiTheme="minorHAnsi" w:hAnsiTheme="minorHAnsi" w:cstheme="minorHAnsi"/>
          <w:sz w:val="22"/>
          <w:szCs w:val="22"/>
        </w:rPr>
        <w:t xml:space="preserve">. </w:t>
      </w:r>
      <w:hyperlink r:id="rId31" w:history="1">
        <w:r w:rsidRPr="00EB4E94">
          <w:rPr>
            <w:rStyle w:val="Hyperlink"/>
            <w:rFonts w:asciiTheme="minorHAnsi" w:hAnsiTheme="minorHAnsi" w:cstheme="minorHAnsi"/>
            <w:sz w:val="22"/>
            <w:szCs w:val="22"/>
          </w:rPr>
          <w:t>file (nationalcrimeagency.gov.uk)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02/03/2024</w:t>
      </w:r>
      <w:proofErr w:type="gramEnd"/>
    </w:p>
    <w:p w14:paraId="7ABC0459" w14:textId="33DCF2A8" w:rsidR="00737F7F" w:rsidRDefault="00737F7F" w:rsidP="00737F7F">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National Crime Agency (2019) </w:t>
      </w:r>
      <w:r w:rsidRPr="00EB4E94">
        <w:rPr>
          <w:rFonts w:asciiTheme="minorHAnsi" w:hAnsiTheme="minorHAnsi" w:cstheme="minorHAnsi"/>
          <w:i/>
          <w:sz w:val="22"/>
          <w:szCs w:val="22"/>
        </w:rPr>
        <w:t>Intelligence Assessment: County Lines Drug Supply, Vulnerability and Harm 2018</w:t>
      </w:r>
      <w:r w:rsidRPr="00EB4E94">
        <w:rPr>
          <w:rFonts w:asciiTheme="minorHAnsi" w:hAnsiTheme="minorHAnsi" w:cstheme="minorHAnsi"/>
          <w:sz w:val="22"/>
          <w:szCs w:val="22"/>
        </w:rPr>
        <w:t xml:space="preserve">. </w:t>
      </w:r>
      <w:hyperlink r:id="rId32" w:history="1">
        <w:r w:rsidRPr="00EB4E94">
          <w:rPr>
            <w:rStyle w:val="Hyperlink"/>
            <w:rFonts w:asciiTheme="minorHAnsi" w:hAnsiTheme="minorHAnsi" w:cstheme="minorHAnsi"/>
            <w:sz w:val="22"/>
            <w:szCs w:val="22"/>
          </w:rPr>
          <w:t>file (nationalcrimeagency.gov.uk)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07/01/2024</w:t>
      </w:r>
      <w:proofErr w:type="gramEnd"/>
    </w:p>
    <w:p w14:paraId="33F18A9B" w14:textId="77777777" w:rsidR="00D03EA2" w:rsidRPr="00D03EA2" w:rsidRDefault="00D03EA2" w:rsidP="00D03EA2">
      <w:pPr>
        <w:spacing w:line="360" w:lineRule="auto"/>
        <w:ind w:right="237"/>
        <w:rPr>
          <w:rFonts w:asciiTheme="minorHAnsi" w:hAnsiTheme="minorHAnsi" w:cstheme="minorHAnsi"/>
          <w:sz w:val="22"/>
          <w:szCs w:val="22"/>
        </w:rPr>
      </w:pPr>
      <w:r w:rsidRPr="00D03EA2">
        <w:rPr>
          <w:rFonts w:asciiTheme="minorHAnsi" w:hAnsiTheme="minorHAnsi" w:cstheme="minorHAnsi"/>
          <w:sz w:val="22"/>
          <w:szCs w:val="22"/>
        </w:rPr>
        <w:t xml:space="preserve">National Criminal Intelligence Service (2000) </w:t>
      </w:r>
      <w:r w:rsidRPr="00D03EA2">
        <w:rPr>
          <w:rFonts w:asciiTheme="minorHAnsi" w:hAnsiTheme="minorHAnsi" w:cstheme="minorHAnsi"/>
          <w:i/>
          <w:iCs/>
          <w:sz w:val="22"/>
          <w:szCs w:val="22"/>
        </w:rPr>
        <w:t>The National Intelligence Model</w:t>
      </w:r>
      <w:r w:rsidRPr="00D03EA2">
        <w:rPr>
          <w:rFonts w:asciiTheme="minorHAnsi" w:hAnsiTheme="minorHAnsi" w:cstheme="minorHAnsi"/>
          <w:sz w:val="22"/>
          <w:szCs w:val="22"/>
        </w:rPr>
        <w:t xml:space="preserve">. </w:t>
      </w:r>
      <w:hyperlink r:id="rId33" w:history="1">
        <w:r w:rsidRPr="00D03EA2">
          <w:rPr>
            <w:rStyle w:val="Hyperlink"/>
            <w:rFonts w:asciiTheme="minorHAnsi" w:hAnsiTheme="minorHAnsi" w:cstheme="minorHAnsi"/>
            <w:sz w:val="22"/>
            <w:szCs w:val="22"/>
          </w:rPr>
          <w:t>National Intelligence Model.pdf (intelligenceanalysis.net)</w:t>
        </w:r>
      </w:hyperlink>
      <w:r w:rsidRPr="00D03EA2">
        <w:rPr>
          <w:rFonts w:asciiTheme="minorHAnsi" w:hAnsiTheme="minorHAnsi" w:cstheme="minorHAnsi"/>
          <w:sz w:val="22"/>
          <w:szCs w:val="22"/>
        </w:rPr>
        <w:t xml:space="preserve"> accesses on 26/03/2024</w:t>
      </w:r>
    </w:p>
    <w:p w14:paraId="545F3579" w14:textId="77777777" w:rsidR="00D03EA2" w:rsidRPr="00D03EA2" w:rsidRDefault="00D03EA2" w:rsidP="00D03EA2">
      <w:pPr>
        <w:spacing w:line="360" w:lineRule="auto"/>
        <w:ind w:right="237"/>
        <w:rPr>
          <w:rFonts w:asciiTheme="minorHAnsi" w:hAnsiTheme="minorHAnsi" w:cstheme="minorHAnsi"/>
          <w:sz w:val="22"/>
          <w:szCs w:val="22"/>
        </w:rPr>
      </w:pPr>
      <w:r w:rsidRPr="00D03EA2">
        <w:rPr>
          <w:rFonts w:asciiTheme="minorHAnsi" w:hAnsiTheme="minorHAnsi" w:cstheme="minorHAnsi"/>
          <w:sz w:val="22"/>
          <w:szCs w:val="22"/>
        </w:rPr>
        <w:lastRenderedPageBreak/>
        <w:t xml:space="preserve">National Police Chiefs’ Council (2022) </w:t>
      </w:r>
      <w:r w:rsidRPr="00D03EA2">
        <w:rPr>
          <w:rFonts w:asciiTheme="minorHAnsi" w:hAnsiTheme="minorHAnsi" w:cstheme="minorHAnsi"/>
          <w:i/>
          <w:iCs/>
          <w:sz w:val="22"/>
          <w:szCs w:val="22"/>
        </w:rPr>
        <w:t>National Roads Policing Strategy 2022-2025</w:t>
      </w:r>
      <w:r w:rsidRPr="00D03EA2">
        <w:rPr>
          <w:rFonts w:asciiTheme="minorHAnsi" w:hAnsiTheme="minorHAnsi" w:cstheme="minorHAnsi"/>
          <w:sz w:val="22"/>
          <w:szCs w:val="22"/>
        </w:rPr>
        <w:t xml:space="preserve"> </w:t>
      </w:r>
      <w:hyperlink r:id="rId34" w:history="1">
        <w:r w:rsidRPr="00D03EA2">
          <w:rPr>
            <w:rStyle w:val="Hyperlink"/>
            <w:rFonts w:asciiTheme="minorHAnsi" w:hAnsiTheme="minorHAnsi" w:cstheme="minorHAnsi"/>
            <w:sz w:val="22"/>
            <w:szCs w:val="22"/>
          </w:rPr>
          <w:t>PowerPoint Presentation (college.police.uk)</w:t>
        </w:r>
      </w:hyperlink>
      <w:r w:rsidRPr="00D03EA2">
        <w:rPr>
          <w:rFonts w:asciiTheme="minorHAnsi" w:hAnsiTheme="minorHAnsi" w:cstheme="minorHAnsi"/>
          <w:sz w:val="22"/>
          <w:szCs w:val="22"/>
        </w:rPr>
        <w:t xml:space="preserve"> accessed 22/03/2024</w:t>
      </w:r>
    </w:p>
    <w:p w14:paraId="0BD0C7BB"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Natvig, D. &amp; Stark, N. (2016) A project team analysis using Tuckman’s model of small-group development. </w:t>
      </w:r>
      <w:r w:rsidRPr="0073794E">
        <w:rPr>
          <w:rFonts w:asciiTheme="minorHAnsi" w:hAnsiTheme="minorHAnsi" w:cstheme="minorHAnsi"/>
          <w:i/>
          <w:iCs/>
          <w:sz w:val="22"/>
          <w:szCs w:val="22"/>
        </w:rPr>
        <w:t xml:space="preserve">Journal of Nursing </w:t>
      </w:r>
      <w:r w:rsidRPr="0073794E">
        <w:rPr>
          <w:rFonts w:asciiTheme="minorHAnsi" w:hAnsiTheme="minorHAnsi" w:cstheme="minorHAnsi"/>
          <w:sz w:val="22"/>
          <w:szCs w:val="22"/>
        </w:rPr>
        <w:t>Education. Vol. 55, 12, p.675-681</w:t>
      </w:r>
    </w:p>
    <w:p w14:paraId="638B0528"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Nicholson-Crotty, J. &amp; Li, D. (2024) When intragroup conflict is a good thing: team diversity and the use of force by police. </w:t>
      </w:r>
      <w:r w:rsidRPr="0073794E">
        <w:rPr>
          <w:rFonts w:asciiTheme="minorHAnsi" w:hAnsiTheme="minorHAnsi" w:cstheme="minorHAnsi"/>
          <w:i/>
          <w:iCs/>
          <w:sz w:val="22"/>
          <w:szCs w:val="22"/>
        </w:rPr>
        <w:t>International Public Management Journal</w:t>
      </w:r>
      <w:r w:rsidRPr="0073794E">
        <w:rPr>
          <w:rFonts w:asciiTheme="minorHAnsi" w:hAnsiTheme="minorHAnsi" w:cstheme="minorHAnsi"/>
          <w:sz w:val="22"/>
          <w:szCs w:val="22"/>
        </w:rPr>
        <w:t xml:space="preserve">. Vol. 27, </w:t>
      </w:r>
      <w:proofErr w:type="gramStart"/>
      <w:r w:rsidRPr="0073794E">
        <w:rPr>
          <w:rFonts w:asciiTheme="minorHAnsi" w:hAnsiTheme="minorHAnsi" w:cstheme="minorHAnsi"/>
          <w:sz w:val="22"/>
          <w:szCs w:val="22"/>
        </w:rPr>
        <w:t>1 ,</w:t>
      </w:r>
      <w:proofErr w:type="gramEnd"/>
      <w:r w:rsidRPr="0073794E">
        <w:rPr>
          <w:rFonts w:asciiTheme="minorHAnsi" w:hAnsiTheme="minorHAnsi" w:cstheme="minorHAnsi"/>
          <w:sz w:val="22"/>
          <w:szCs w:val="22"/>
        </w:rPr>
        <w:t>p.76-90</w:t>
      </w:r>
    </w:p>
    <w:p w14:paraId="6751C085"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O’Neill, T. &amp; McLarnon, M. (2018) Optimizing team conflict dynamics for high performance teamwork. </w:t>
      </w:r>
      <w:r w:rsidRPr="0073794E">
        <w:rPr>
          <w:rFonts w:asciiTheme="minorHAnsi" w:hAnsiTheme="minorHAnsi" w:cstheme="minorHAnsi"/>
          <w:i/>
          <w:iCs/>
          <w:sz w:val="22"/>
          <w:szCs w:val="22"/>
        </w:rPr>
        <w:t>Human Resource Management Review.</w:t>
      </w:r>
      <w:r w:rsidRPr="0073794E">
        <w:rPr>
          <w:rFonts w:asciiTheme="minorHAnsi" w:hAnsiTheme="minorHAnsi" w:cstheme="minorHAnsi"/>
          <w:sz w:val="22"/>
          <w:szCs w:val="22"/>
        </w:rPr>
        <w:t xml:space="preserve"> Vol. 28, 4, p.378-394</w:t>
      </w:r>
    </w:p>
    <w:p w14:paraId="4653AB39"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O’Neill, T., Allen, N. &amp; Hastings, S. (2013) Examining the “pros” and “cons” of team conflict: a team-level meta-analysis of task, </w:t>
      </w:r>
      <w:proofErr w:type="gramStart"/>
      <w:r w:rsidRPr="0073794E">
        <w:rPr>
          <w:rFonts w:asciiTheme="minorHAnsi" w:hAnsiTheme="minorHAnsi" w:cstheme="minorHAnsi"/>
          <w:sz w:val="22"/>
          <w:szCs w:val="22"/>
        </w:rPr>
        <w:t>relationship</w:t>
      </w:r>
      <w:proofErr w:type="gramEnd"/>
      <w:r w:rsidRPr="0073794E">
        <w:rPr>
          <w:rFonts w:asciiTheme="minorHAnsi" w:hAnsiTheme="minorHAnsi" w:cstheme="minorHAnsi"/>
          <w:sz w:val="22"/>
          <w:szCs w:val="22"/>
        </w:rPr>
        <w:t xml:space="preserve"> and process conflict. </w:t>
      </w:r>
      <w:r w:rsidRPr="0073794E">
        <w:rPr>
          <w:rFonts w:asciiTheme="minorHAnsi" w:hAnsiTheme="minorHAnsi" w:cstheme="minorHAnsi"/>
          <w:i/>
          <w:iCs/>
          <w:sz w:val="22"/>
          <w:szCs w:val="22"/>
        </w:rPr>
        <w:t>Human Performance.</w:t>
      </w:r>
      <w:r w:rsidRPr="0073794E">
        <w:rPr>
          <w:rFonts w:asciiTheme="minorHAnsi" w:hAnsiTheme="minorHAnsi" w:cstheme="minorHAnsi"/>
          <w:sz w:val="22"/>
          <w:szCs w:val="22"/>
        </w:rPr>
        <w:t xml:space="preserve"> Vol. 26, 3, p.236-260</w:t>
      </w:r>
    </w:p>
    <w:p w14:paraId="12DC7BAF"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Oscar Kilo (2024) The National Police Well-being Service. </w:t>
      </w:r>
      <w:hyperlink r:id="rId35" w:history="1">
        <w:r w:rsidRPr="0073794E">
          <w:rPr>
            <w:rStyle w:val="Hyperlink"/>
            <w:rFonts w:asciiTheme="minorHAnsi" w:hAnsiTheme="minorHAnsi" w:cstheme="minorHAnsi"/>
            <w:sz w:val="22"/>
            <w:szCs w:val="22"/>
          </w:rPr>
          <w:t>The National Police Wellbeing Service | Oscar Kilo</w:t>
        </w:r>
      </w:hyperlink>
      <w:r w:rsidRPr="0073794E">
        <w:rPr>
          <w:rFonts w:asciiTheme="minorHAnsi" w:hAnsiTheme="minorHAnsi" w:cstheme="minorHAnsi"/>
          <w:sz w:val="22"/>
          <w:szCs w:val="22"/>
        </w:rPr>
        <w:t xml:space="preserve"> accessed on </w:t>
      </w:r>
      <w:proofErr w:type="gramStart"/>
      <w:r w:rsidRPr="0073794E">
        <w:rPr>
          <w:rFonts w:asciiTheme="minorHAnsi" w:hAnsiTheme="minorHAnsi" w:cstheme="minorHAnsi"/>
          <w:sz w:val="22"/>
          <w:szCs w:val="22"/>
        </w:rPr>
        <w:t>03/03/2024</w:t>
      </w:r>
      <w:proofErr w:type="gramEnd"/>
    </w:p>
    <w:p w14:paraId="3C8080B5" w14:textId="4D22AEED" w:rsidR="00202B9D" w:rsidRDefault="00573C08" w:rsidP="00573C08">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Police Federation (2021) </w:t>
      </w:r>
      <w:r w:rsidRPr="00EB4E94">
        <w:rPr>
          <w:rFonts w:asciiTheme="minorHAnsi" w:hAnsiTheme="minorHAnsi" w:cstheme="minorHAnsi"/>
          <w:i/>
          <w:iCs/>
          <w:sz w:val="22"/>
          <w:szCs w:val="22"/>
        </w:rPr>
        <w:t>Police Recruitment Programme doesn’t go Far Enough</w:t>
      </w:r>
      <w:r w:rsidRPr="00EB4E94">
        <w:rPr>
          <w:rFonts w:asciiTheme="minorHAnsi" w:hAnsiTheme="minorHAnsi" w:cstheme="minorHAnsi"/>
          <w:sz w:val="22"/>
          <w:szCs w:val="22"/>
        </w:rPr>
        <w:t xml:space="preserve">. </w:t>
      </w:r>
      <w:hyperlink r:id="rId36" w:history="1">
        <w:r w:rsidRPr="00EB4E94">
          <w:rPr>
            <w:rStyle w:val="Hyperlink"/>
            <w:rFonts w:asciiTheme="minorHAnsi" w:hAnsiTheme="minorHAnsi" w:cstheme="minorHAnsi"/>
            <w:sz w:val="22"/>
            <w:szCs w:val="22"/>
          </w:rPr>
          <w:t>Police recruitment programme doesn’t go far enough (polfed.org)</w:t>
        </w:r>
      </w:hyperlink>
      <w:r w:rsidRPr="00EB4E94">
        <w:rPr>
          <w:rFonts w:asciiTheme="minorHAnsi" w:hAnsiTheme="minorHAnsi" w:cstheme="minorHAnsi"/>
          <w:sz w:val="22"/>
          <w:szCs w:val="22"/>
        </w:rPr>
        <w:t xml:space="preserve"> accessed </w:t>
      </w:r>
      <w:proofErr w:type="gramStart"/>
      <w:r w:rsidRPr="00EB4E94">
        <w:rPr>
          <w:rFonts w:asciiTheme="minorHAnsi" w:hAnsiTheme="minorHAnsi" w:cstheme="minorHAnsi"/>
          <w:sz w:val="22"/>
          <w:szCs w:val="22"/>
        </w:rPr>
        <w:t>17/03/2024</w:t>
      </w:r>
      <w:proofErr w:type="gramEnd"/>
    </w:p>
    <w:p w14:paraId="36CFF8A2" w14:textId="25BBA998" w:rsidR="00807CBD" w:rsidRDefault="00807CBD" w:rsidP="00807CBD">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Police Scotland (2016) </w:t>
      </w:r>
      <w:r w:rsidRPr="00EB4E94">
        <w:rPr>
          <w:rFonts w:asciiTheme="minorHAnsi" w:hAnsiTheme="minorHAnsi" w:cstheme="minorHAnsi"/>
          <w:i/>
          <w:iCs/>
          <w:sz w:val="22"/>
          <w:szCs w:val="22"/>
        </w:rPr>
        <w:t>Annual Police Plan 2016/17</w:t>
      </w:r>
      <w:r w:rsidRPr="00EB4E94">
        <w:rPr>
          <w:rFonts w:asciiTheme="minorHAnsi" w:hAnsiTheme="minorHAnsi" w:cstheme="minorHAnsi"/>
          <w:sz w:val="22"/>
          <w:szCs w:val="22"/>
        </w:rPr>
        <w:t xml:space="preserve">. </w:t>
      </w:r>
      <w:r w:rsidRPr="00EB4E94">
        <w:rPr>
          <w:rFonts w:asciiTheme="minorHAnsi" w:hAnsiTheme="minorHAnsi" w:cstheme="minorHAnsi"/>
          <w:i/>
          <w:iCs/>
          <w:sz w:val="22"/>
          <w:szCs w:val="22"/>
        </w:rPr>
        <w:t xml:space="preserve"> </w:t>
      </w:r>
      <w:hyperlink r:id="rId37" w:history="1">
        <w:r w:rsidRPr="00EB4E94">
          <w:rPr>
            <w:rStyle w:val="Hyperlink"/>
            <w:rFonts w:asciiTheme="minorHAnsi" w:hAnsiTheme="minorHAnsi" w:cstheme="minorHAnsi"/>
            <w:sz w:val="22"/>
            <w:szCs w:val="22"/>
          </w:rPr>
          <w:t xml:space="preserve">www.grahamfeest.com/wp-content/ uploads/2016/11/Police-Scotland-Annual-Police-Plan-2016-17.pdf  </w:t>
        </w:r>
      </w:hyperlink>
      <w:r w:rsidRPr="00EB4E94">
        <w:rPr>
          <w:rFonts w:asciiTheme="minorHAnsi" w:hAnsiTheme="minorHAnsi" w:cstheme="minorHAnsi"/>
          <w:sz w:val="22"/>
          <w:szCs w:val="22"/>
        </w:rPr>
        <w:t xml:space="preserve"> </w:t>
      </w:r>
    </w:p>
    <w:p w14:paraId="2F84F5E3" w14:textId="70EE86FA" w:rsidR="00573C08" w:rsidRPr="0073794E" w:rsidRDefault="00573C08" w:rsidP="00807CBD">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Police.UK (2024) </w:t>
      </w:r>
      <w:r w:rsidRPr="00EB4E94">
        <w:rPr>
          <w:rFonts w:asciiTheme="minorHAnsi" w:hAnsiTheme="minorHAnsi" w:cstheme="minorHAnsi"/>
          <w:i/>
          <w:iCs/>
          <w:sz w:val="22"/>
          <w:szCs w:val="22"/>
        </w:rPr>
        <w:t>Automatic Number Plate Recognition (ANPR)</w:t>
      </w:r>
      <w:r w:rsidRPr="00EB4E94">
        <w:rPr>
          <w:rFonts w:asciiTheme="minorHAnsi" w:hAnsiTheme="minorHAnsi" w:cstheme="minorHAnsi"/>
          <w:sz w:val="22"/>
          <w:szCs w:val="22"/>
        </w:rPr>
        <w:t xml:space="preserve">. </w:t>
      </w:r>
      <w:hyperlink r:id="rId38" w:history="1">
        <w:r w:rsidRPr="00EB4E94">
          <w:rPr>
            <w:rStyle w:val="Hyperlink"/>
            <w:rFonts w:asciiTheme="minorHAnsi" w:hAnsiTheme="minorHAnsi" w:cstheme="minorHAnsi"/>
            <w:sz w:val="22"/>
            <w:szCs w:val="22"/>
          </w:rPr>
          <w:t>Automatic Number Plate Recognition (ANPR) | Police.uk (www.police.uk)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21/03/2024</w:t>
      </w:r>
      <w:proofErr w:type="gramEnd"/>
    </w:p>
    <w:p w14:paraId="2F81911D"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Rojas, R. (2021) Enhancing organizational workgroups. A relational view of Tuckman’s team development model. </w:t>
      </w:r>
      <w:r w:rsidRPr="0073794E">
        <w:rPr>
          <w:rFonts w:asciiTheme="minorHAnsi" w:hAnsiTheme="minorHAnsi" w:cstheme="minorHAnsi"/>
          <w:i/>
          <w:iCs/>
          <w:sz w:val="22"/>
          <w:szCs w:val="22"/>
        </w:rPr>
        <w:t>Organizational Cultures</w:t>
      </w:r>
      <w:r w:rsidRPr="0073794E">
        <w:rPr>
          <w:rFonts w:asciiTheme="minorHAnsi" w:hAnsiTheme="minorHAnsi" w:cstheme="minorHAnsi"/>
          <w:sz w:val="22"/>
          <w:szCs w:val="22"/>
        </w:rPr>
        <w:t>. Vol. 21,2, p.103-116</w:t>
      </w:r>
    </w:p>
    <w:p w14:paraId="18A8C347"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Rolfe, G., Jasper, M. &amp; Freshwater, D. (2010) </w:t>
      </w:r>
      <w:r w:rsidRPr="0073794E">
        <w:rPr>
          <w:rFonts w:asciiTheme="minorHAnsi" w:hAnsiTheme="minorHAnsi" w:cstheme="minorHAnsi"/>
          <w:i/>
          <w:iCs/>
          <w:sz w:val="22"/>
          <w:szCs w:val="22"/>
        </w:rPr>
        <w:t>Critical Reflection in Practice: Generating Knowledge for Care</w:t>
      </w:r>
      <w:r w:rsidRPr="0073794E">
        <w:rPr>
          <w:rFonts w:asciiTheme="minorHAnsi" w:hAnsiTheme="minorHAnsi" w:cstheme="minorHAnsi"/>
          <w:sz w:val="22"/>
          <w:szCs w:val="22"/>
        </w:rPr>
        <w:t>. London. Red Globe Press</w:t>
      </w:r>
    </w:p>
    <w:p w14:paraId="669B9CED" w14:textId="503DA5E1" w:rsidR="00807CBD" w:rsidRPr="0073794E" w:rsidRDefault="00807CBD" w:rsidP="00807CBD">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Rosser, G., Davies, T., Bower, K. et al (2017) Predictive crime mapping: arbitrary grids or street networks? </w:t>
      </w:r>
      <w:r w:rsidRPr="00EB4E94">
        <w:rPr>
          <w:rFonts w:asciiTheme="minorHAnsi" w:hAnsiTheme="minorHAnsi" w:cstheme="minorHAnsi"/>
          <w:i/>
          <w:iCs/>
          <w:sz w:val="22"/>
          <w:szCs w:val="22"/>
        </w:rPr>
        <w:t>Journal of Quantitative Criminology</w:t>
      </w:r>
      <w:r w:rsidRPr="00EB4E94">
        <w:rPr>
          <w:rFonts w:asciiTheme="minorHAnsi" w:hAnsiTheme="minorHAnsi" w:cstheme="minorHAnsi"/>
          <w:sz w:val="22"/>
          <w:szCs w:val="22"/>
        </w:rPr>
        <w:t>. Vol. 33, 3, p.569-594</w:t>
      </w:r>
    </w:p>
    <w:p w14:paraId="1D58480C" w14:textId="77777777" w:rsidR="0073794E" w:rsidRPr="0073794E"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Rowe, M. (2020) </w:t>
      </w:r>
      <w:r w:rsidRPr="0073794E">
        <w:rPr>
          <w:rFonts w:asciiTheme="minorHAnsi" w:hAnsiTheme="minorHAnsi" w:cstheme="minorHAnsi"/>
          <w:i/>
          <w:iCs/>
          <w:sz w:val="22"/>
          <w:szCs w:val="22"/>
          <w:shd w:val="clear" w:color="auto" w:fill="FFFFFF"/>
        </w:rPr>
        <w:t>Policing the Police: Challenges of Democracy and Accountability</w:t>
      </w:r>
      <w:r w:rsidRPr="0073794E">
        <w:rPr>
          <w:rFonts w:asciiTheme="minorHAnsi" w:hAnsiTheme="minorHAnsi" w:cstheme="minorHAnsi"/>
          <w:sz w:val="22"/>
          <w:szCs w:val="22"/>
          <w:shd w:val="clear" w:color="auto" w:fill="FFFFFF"/>
        </w:rPr>
        <w:t>. Bristol. Policy Press</w:t>
      </w:r>
    </w:p>
    <w:p w14:paraId="5ED0B240" w14:textId="77777777" w:rsidR="0073794E" w:rsidRPr="0073794E"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Roycroft, M. (2019) </w:t>
      </w:r>
      <w:r w:rsidRPr="0073794E">
        <w:rPr>
          <w:rFonts w:asciiTheme="minorHAnsi" w:hAnsiTheme="minorHAnsi" w:cstheme="minorHAnsi"/>
          <w:i/>
          <w:iCs/>
          <w:sz w:val="22"/>
          <w:szCs w:val="22"/>
          <w:shd w:val="clear" w:color="auto" w:fill="FFFFFF"/>
        </w:rPr>
        <w:t xml:space="preserve">Decision Making in Police Enquiries and Critical Incidents What Really Works? </w:t>
      </w:r>
      <w:r w:rsidRPr="0073794E">
        <w:rPr>
          <w:rFonts w:asciiTheme="minorHAnsi" w:hAnsiTheme="minorHAnsi" w:cstheme="minorHAnsi"/>
          <w:sz w:val="22"/>
          <w:szCs w:val="22"/>
          <w:shd w:val="clear" w:color="auto" w:fill="FFFFFF"/>
        </w:rPr>
        <w:t xml:space="preserve">London. Palgrave Macmillan </w:t>
      </w:r>
    </w:p>
    <w:p w14:paraId="07531C71"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Salas, E., Grossman, R., Hughes, A &amp; Coultas, C. (2015) Measuring team cohesion: observations form the science. </w:t>
      </w:r>
      <w:r w:rsidRPr="0073794E">
        <w:rPr>
          <w:rFonts w:asciiTheme="minorHAnsi" w:hAnsiTheme="minorHAnsi" w:cstheme="minorHAnsi"/>
          <w:i/>
          <w:iCs/>
          <w:sz w:val="22"/>
          <w:szCs w:val="22"/>
        </w:rPr>
        <w:t>Human Factors</w:t>
      </w:r>
      <w:r w:rsidRPr="0073794E">
        <w:rPr>
          <w:rFonts w:asciiTheme="minorHAnsi" w:hAnsiTheme="minorHAnsi" w:cstheme="minorHAnsi"/>
          <w:sz w:val="22"/>
          <w:szCs w:val="22"/>
        </w:rPr>
        <w:t>. Vol, 57, 3, p.365-374</w:t>
      </w:r>
    </w:p>
    <w:p w14:paraId="1E4113A2" w14:textId="77777777" w:rsidR="00FD4CF6"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Schon, D. (1991) </w:t>
      </w:r>
      <w:r w:rsidRPr="0073794E">
        <w:rPr>
          <w:rFonts w:asciiTheme="minorHAnsi" w:hAnsiTheme="minorHAnsi" w:cstheme="minorHAnsi"/>
          <w:i/>
          <w:iCs/>
          <w:sz w:val="22"/>
          <w:szCs w:val="22"/>
          <w:shd w:val="clear" w:color="auto" w:fill="FFFFFF"/>
        </w:rPr>
        <w:t>The Reflective Practitioner</w:t>
      </w:r>
      <w:r w:rsidRPr="0073794E">
        <w:rPr>
          <w:rFonts w:asciiTheme="minorHAnsi" w:hAnsiTheme="minorHAnsi" w:cstheme="minorHAnsi"/>
          <w:sz w:val="22"/>
          <w:szCs w:val="22"/>
          <w:shd w:val="clear" w:color="auto" w:fill="FFFFFF"/>
        </w:rPr>
        <w:t>. New York. Basic Books</w:t>
      </w:r>
    </w:p>
    <w:p w14:paraId="5B313EF7" w14:textId="0CB1DB91" w:rsidR="0073794E" w:rsidRPr="00057732" w:rsidRDefault="0073794E" w:rsidP="00D03EA2">
      <w:pPr>
        <w:spacing w:line="360" w:lineRule="auto"/>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Smith, R. (2022) </w:t>
      </w:r>
      <w:r w:rsidRPr="0073794E">
        <w:rPr>
          <w:rFonts w:asciiTheme="minorHAnsi" w:hAnsiTheme="minorHAnsi" w:cstheme="minorHAnsi"/>
          <w:i/>
          <w:iCs/>
          <w:sz w:val="22"/>
          <w:szCs w:val="22"/>
          <w:shd w:val="clear" w:color="auto" w:fill="FFFFFF"/>
        </w:rPr>
        <w:t>International Human Rights Law</w:t>
      </w:r>
      <w:r w:rsidRPr="0073794E">
        <w:rPr>
          <w:rFonts w:asciiTheme="minorHAnsi" w:hAnsiTheme="minorHAnsi" w:cstheme="minorHAnsi"/>
          <w:sz w:val="22"/>
          <w:szCs w:val="22"/>
          <w:shd w:val="clear" w:color="auto" w:fill="FFFFFF"/>
        </w:rPr>
        <w:t>. Oxford. Oxford University Press</w:t>
      </w:r>
    </w:p>
    <w:p w14:paraId="0B495EB4" w14:textId="77777777" w:rsid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Smollan, R. (2017) Learning to cope with stressful organisational change. </w:t>
      </w:r>
      <w:r w:rsidRPr="0073794E">
        <w:rPr>
          <w:rFonts w:asciiTheme="minorHAnsi" w:hAnsiTheme="minorHAnsi" w:cstheme="minorHAnsi"/>
          <w:i/>
          <w:iCs/>
          <w:sz w:val="22"/>
          <w:szCs w:val="22"/>
        </w:rPr>
        <w:t>International Journal of Work Organisation and Emotion</w:t>
      </w:r>
      <w:r w:rsidRPr="0073794E">
        <w:rPr>
          <w:rFonts w:asciiTheme="minorHAnsi" w:hAnsiTheme="minorHAnsi" w:cstheme="minorHAnsi"/>
          <w:sz w:val="22"/>
          <w:szCs w:val="22"/>
        </w:rPr>
        <w:t>. Vol. 8, 2, p.148-167</w:t>
      </w:r>
    </w:p>
    <w:p w14:paraId="28749683" w14:textId="614D63DA" w:rsidR="00202B9D" w:rsidRDefault="00202B9D" w:rsidP="00202B9D">
      <w:pPr>
        <w:spacing w:line="360" w:lineRule="auto"/>
        <w:ind w:right="238"/>
        <w:rPr>
          <w:rFonts w:asciiTheme="minorHAnsi" w:hAnsiTheme="minorHAnsi" w:cstheme="minorHAnsi"/>
          <w:sz w:val="22"/>
          <w:szCs w:val="22"/>
        </w:rPr>
      </w:pPr>
      <w:bookmarkStart w:id="0" w:name="_Hlk162854011"/>
      <w:r w:rsidRPr="00EB4E94">
        <w:rPr>
          <w:rFonts w:asciiTheme="minorHAnsi" w:hAnsiTheme="minorHAnsi" w:cstheme="minorHAnsi"/>
          <w:sz w:val="22"/>
          <w:szCs w:val="22"/>
        </w:rPr>
        <w:lastRenderedPageBreak/>
        <w:t xml:space="preserve">The Police Foundation (2022) </w:t>
      </w:r>
      <w:r w:rsidRPr="00EB4E94">
        <w:rPr>
          <w:rFonts w:asciiTheme="minorHAnsi" w:hAnsiTheme="minorHAnsi" w:cstheme="minorHAnsi"/>
          <w:i/>
          <w:iCs/>
          <w:sz w:val="22"/>
          <w:szCs w:val="22"/>
        </w:rPr>
        <w:t>The Future of Roads Policing</w:t>
      </w:r>
      <w:r w:rsidRPr="00EB4E94">
        <w:rPr>
          <w:rFonts w:asciiTheme="minorHAnsi" w:hAnsiTheme="minorHAnsi" w:cstheme="minorHAnsi"/>
          <w:sz w:val="22"/>
          <w:szCs w:val="22"/>
        </w:rPr>
        <w:t xml:space="preserve">. </w:t>
      </w:r>
      <w:hyperlink r:id="rId39" w:history="1">
        <w:r w:rsidRPr="00EB4E94">
          <w:rPr>
            <w:rStyle w:val="Hyperlink"/>
            <w:rFonts w:asciiTheme="minorHAnsi" w:hAnsiTheme="minorHAnsi" w:cstheme="minorHAnsi"/>
            <w:sz w:val="22"/>
            <w:szCs w:val="22"/>
          </w:rPr>
          <w:t>future_of_roads_policing_FINAL.pdf (police-foundation.org.uk)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01/03/2024</w:t>
      </w:r>
      <w:bookmarkEnd w:id="0"/>
      <w:proofErr w:type="gramEnd"/>
    </w:p>
    <w:p w14:paraId="43195E90" w14:textId="5F2774BA" w:rsidR="00807CBD" w:rsidRPr="0073794E" w:rsidRDefault="00807CBD" w:rsidP="00807CBD">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Thompson, P. &amp; </w:t>
      </w:r>
      <w:r>
        <w:rPr>
          <w:rFonts w:asciiTheme="minorHAnsi" w:hAnsiTheme="minorHAnsi" w:cstheme="minorHAnsi"/>
          <w:sz w:val="22"/>
          <w:szCs w:val="22"/>
        </w:rPr>
        <w:t>M</w:t>
      </w:r>
      <w:r w:rsidRPr="00EB4E94">
        <w:rPr>
          <w:rFonts w:asciiTheme="minorHAnsi" w:hAnsiTheme="minorHAnsi" w:cstheme="minorHAnsi"/>
          <w:sz w:val="22"/>
          <w:szCs w:val="22"/>
        </w:rPr>
        <w:t xml:space="preserve">anning, M. (2021) </w:t>
      </w:r>
      <w:r w:rsidRPr="00EB4E94">
        <w:rPr>
          <w:rFonts w:asciiTheme="minorHAnsi" w:hAnsiTheme="minorHAnsi" w:cstheme="minorHAnsi"/>
          <w:i/>
          <w:iCs/>
          <w:sz w:val="22"/>
          <w:szCs w:val="22"/>
        </w:rPr>
        <w:t>Missed Opportunities in Digital Investigation</w:t>
      </w:r>
      <w:r w:rsidRPr="00EB4E94">
        <w:rPr>
          <w:rFonts w:asciiTheme="minorHAnsi" w:hAnsiTheme="minorHAnsi" w:cstheme="minorHAnsi"/>
          <w:sz w:val="22"/>
          <w:szCs w:val="22"/>
        </w:rPr>
        <w:t xml:space="preserve">. </w:t>
      </w:r>
      <w:hyperlink r:id="rId40" w:history="1">
        <w:r w:rsidRPr="00EB4E94">
          <w:rPr>
            <w:rStyle w:val="Hyperlink"/>
            <w:rFonts w:asciiTheme="minorHAnsi" w:hAnsiTheme="minorHAnsi" w:cstheme="minorHAnsi"/>
            <w:sz w:val="22"/>
            <w:szCs w:val="22"/>
          </w:rPr>
          <w:t>Missed Opportunities in Digital Investigation | SpringerLink</w:t>
        </w:r>
      </w:hyperlink>
      <w:r w:rsidRPr="00EB4E94">
        <w:rPr>
          <w:rFonts w:asciiTheme="minorHAnsi" w:hAnsiTheme="minorHAnsi" w:cstheme="minorHAnsi"/>
          <w:sz w:val="22"/>
          <w:szCs w:val="22"/>
        </w:rPr>
        <w:t xml:space="preserve"> accessed on </w:t>
      </w:r>
      <w:proofErr w:type="gramStart"/>
      <w:r w:rsidRPr="00EB4E94">
        <w:rPr>
          <w:rFonts w:asciiTheme="minorHAnsi" w:hAnsiTheme="minorHAnsi" w:cstheme="minorHAnsi"/>
          <w:sz w:val="22"/>
          <w:szCs w:val="22"/>
        </w:rPr>
        <w:t>20/03/2024</w:t>
      </w:r>
      <w:proofErr w:type="gramEnd"/>
    </w:p>
    <w:p w14:paraId="18C2D21F"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Truss, C., Shantz, A., Soane, E. et al (2023) Employee engagement, organisational </w:t>
      </w:r>
      <w:proofErr w:type="gramStart"/>
      <w:r w:rsidRPr="0073794E">
        <w:rPr>
          <w:rFonts w:asciiTheme="minorHAnsi" w:hAnsiTheme="minorHAnsi" w:cstheme="minorHAnsi"/>
          <w:sz w:val="22"/>
          <w:szCs w:val="22"/>
        </w:rPr>
        <w:t>performance</w:t>
      </w:r>
      <w:proofErr w:type="gramEnd"/>
      <w:r w:rsidRPr="0073794E">
        <w:rPr>
          <w:rFonts w:asciiTheme="minorHAnsi" w:hAnsiTheme="minorHAnsi" w:cstheme="minorHAnsi"/>
          <w:sz w:val="22"/>
          <w:szCs w:val="22"/>
        </w:rPr>
        <w:t xml:space="preserve"> and individual well-being: exploring the evidence, developing the theory. </w:t>
      </w:r>
      <w:r w:rsidRPr="0073794E">
        <w:rPr>
          <w:rFonts w:asciiTheme="minorHAnsi" w:hAnsiTheme="minorHAnsi" w:cstheme="minorHAnsi"/>
          <w:i/>
          <w:iCs/>
          <w:sz w:val="22"/>
          <w:szCs w:val="22"/>
        </w:rPr>
        <w:t>International Journal of Human Resource Management</w:t>
      </w:r>
      <w:r w:rsidRPr="0073794E">
        <w:rPr>
          <w:rFonts w:asciiTheme="minorHAnsi" w:hAnsiTheme="minorHAnsi" w:cstheme="minorHAnsi"/>
          <w:sz w:val="22"/>
          <w:szCs w:val="22"/>
        </w:rPr>
        <w:t>. Vol. 24, 14, p.2657-2669</w:t>
      </w:r>
    </w:p>
    <w:p w14:paraId="0503A19E" w14:textId="77777777" w:rsidR="0073794E" w:rsidRPr="0073794E" w:rsidRDefault="0073794E" w:rsidP="00D03EA2">
      <w:pPr>
        <w:spacing w:line="360" w:lineRule="auto"/>
        <w:ind w:right="237"/>
        <w:rPr>
          <w:rFonts w:asciiTheme="minorHAnsi" w:hAnsiTheme="minorHAnsi" w:cstheme="minorHAnsi"/>
          <w:sz w:val="22"/>
          <w:szCs w:val="22"/>
        </w:rPr>
      </w:pPr>
      <w:r w:rsidRPr="0073794E">
        <w:rPr>
          <w:rFonts w:asciiTheme="minorHAnsi" w:hAnsiTheme="minorHAnsi" w:cstheme="minorHAnsi"/>
          <w:sz w:val="22"/>
          <w:szCs w:val="22"/>
        </w:rPr>
        <w:t xml:space="preserve">Vaida, S. &amp; Serban, D. (2021) Group development stages. A brief comparative analysis of various models. </w:t>
      </w:r>
      <w:proofErr w:type="spellStart"/>
      <w:r w:rsidRPr="0073794E">
        <w:rPr>
          <w:rFonts w:asciiTheme="minorHAnsi" w:hAnsiTheme="minorHAnsi" w:cstheme="minorHAnsi"/>
          <w:i/>
          <w:iCs/>
          <w:sz w:val="22"/>
          <w:szCs w:val="22"/>
        </w:rPr>
        <w:t>Psychologia</w:t>
      </w:r>
      <w:proofErr w:type="spellEnd"/>
      <w:r w:rsidRPr="0073794E">
        <w:rPr>
          <w:rFonts w:asciiTheme="minorHAnsi" w:hAnsiTheme="minorHAnsi" w:cstheme="minorHAnsi"/>
          <w:i/>
          <w:iCs/>
          <w:sz w:val="22"/>
          <w:szCs w:val="22"/>
        </w:rPr>
        <w:t xml:space="preserve"> </w:t>
      </w:r>
      <w:proofErr w:type="spellStart"/>
      <w:r w:rsidRPr="0073794E">
        <w:rPr>
          <w:rFonts w:asciiTheme="minorHAnsi" w:hAnsiTheme="minorHAnsi" w:cstheme="minorHAnsi"/>
          <w:i/>
          <w:iCs/>
          <w:sz w:val="22"/>
          <w:szCs w:val="22"/>
        </w:rPr>
        <w:t>Paedagogia</w:t>
      </w:r>
      <w:proofErr w:type="spellEnd"/>
      <w:r w:rsidRPr="0073794E">
        <w:rPr>
          <w:rFonts w:asciiTheme="minorHAnsi" w:hAnsiTheme="minorHAnsi" w:cstheme="minorHAnsi"/>
          <w:sz w:val="22"/>
          <w:szCs w:val="22"/>
        </w:rPr>
        <w:t>. Vol. 66, 1, p.91-110</w:t>
      </w:r>
    </w:p>
    <w:p w14:paraId="775BE045" w14:textId="77777777" w:rsidR="0073794E" w:rsidRPr="0073794E" w:rsidRDefault="0073794E" w:rsidP="00D03EA2">
      <w:pPr>
        <w:spacing w:line="360" w:lineRule="auto"/>
        <w:jc w:val="both"/>
        <w:rPr>
          <w:rFonts w:asciiTheme="minorHAnsi" w:eastAsia="Arial" w:hAnsiTheme="minorHAnsi" w:cstheme="minorHAnsi"/>
          <w:color w:val="000000" w:themeColor="text1"/>
          <w:sz w:val="22"/>
          <w:szCs w:val="22"/>
        </w:rPr>
      </w:pPr>
      <w:r w:rsidRPr="0073794E">
        <w:rPr>
          <w:rFonts w:asciiTheme="minorHAnsi" w:hAnsiTheme="minorHAnsi" w:cstheme="minorHAnsi"/>
          <w:sz w:val="22"/>
          <w:szCs w:val="22"/>
        </w:rPr>
        <w:t xml:space="preserve">Van der Voet, J. &amp; Steijn, B. (2021) Team innovation through collaboration: how visionary leadership spurs innovation via team cohesion. </w:t>
      </w:r>
      <w:r w:rsidRPr="0073794E">
        <w:rPr>
          <w:rFonts w:asciiTheme="minorHAnsi" w:hAnsiTheme="minorHAnsi" w:cstheme="minorHAnsi"/>
          <w:i/>
          <w:iCs/>
          <w:sz w:val="22"/>
          <w:szCs w:val="22"/>
        </w:rPr>
        <w:t>Public Management Review</w:t>
      </w:r>
      <w:r w:rsidRPr="0073794E">
        <w:rPr>
          <w:rFonts w:asciiTheme="minorHAnsi" w:hAnsiTheme="minorHAnsi" w:cstheme="minorHAnsi"/>
          <w:sz w:val="22"/>
          <w:szCs w:val="22"/>
        </w:rPr>
        <w:t>. Vol. 23, 9, p.1275-1294</w:t>
      </w:r>
    </w:p>
    <w:p w14:paraId="1AB7A7E9" w14:textId="77777777" w:rsidR="0073794E" w:rsidRDefault="0073794E" w:rsidP="00D03EA2">
      <w:pPr>
        <w:spacing w:line="360" w:lineRule="auto"/>
        <w:jc w:val="both"/>
        <w:rPr>
          <w:rFonts w:asciiTheme="minorHAnsi" w:eastAsia="Arial" w:hAnsiTheme="minorHAnsi" w:cstheme="minorHAnsi"/>
          <w:color w:val="000000" w:themeColor="text1"/>
          <w:sz w:val="22"/>
          <w:szCs w:val="22"/>
        </w:rPr>
      </w:pPr>
      <w:proofErr w:type="spellStart"/>
      <w:r w:rsidRPr="0073794E">
        <w:rPr>
          <w:rFonts w:asciiTheme="minorHAnsi" w:eastAsia="Arial" w:hAnsiTheme="minorHAnsi" w:cstheme="minorHAnsi"/>
          <w:color w:val="000000" w:themeColor="text1"/>
          <w:sz w:val="22"/>
          <w:szCs w:val="22"/>
        </w:rPr>
        <w:t>Weatheritt</w:t>
      </w:r>
      <w:proofErr w:type="spellEnd"/>
      <w:r w:rsidRPr="0073794E">
        <w:rPr>
          <w:rFonts w:asciiTheme="minorHAnsi" w:eastAsia="Arial" w:hAnsiTheme="minorHAnsi" w:cstheme="minorHAnsi"/>
          <w:color w:val="000000" w:themeColor="text1"/>
          <w:sz w:val="22"/>
          <w:szCs w:val="22"/>
        </w:rPr>
        <w:t xml:space="preserve">, M. (2023) </w:t>
      </w:r>
      <w:r w:rsidRPr="0073794E">
        <w:rPr>
          <w:rFonts w:asciiTheme="minorHAnsi" w:eastAsia="Arial" w:hAnsiTheme="minorHAnsi" w:cstheme="minorHAnsi"/>
          <w:i/>
          <w:iCs/>
          <w:color w:val="000000" w:themeColor="text1"/>
          <w:sz w:val="22"/>
          <w:szCs w:val="22"/>
        </w:rPr>
        <w:t>Police Research. Some Future Prospects</w:t>
      </w:r>
      <w:r w:rsidRPr="0073794E">
        <w:rPr>
          <w:rFonts w:asciiTheme="minorHAnsi" w:eastAsia="Arial" w:hAnsiTheme="minorHAnsi" w:cstheme="minorHAnsi"/>
          <w:color w:val="000000" w:themeColor="text1"/>
          <w:sz w:val="22"/>
          <w:szCs w:val="22"/>
        </w:rPr>
        <w:t>. London. Routledge</w:t>
      </w:r>
    </w:p>
    <w:p w14:paraId="72A33540" w14:textId="035E8CAB" w:rsidR="00D37722" w:rsidRPr="00D37722" w:rsidRDefault="00D37722" w:rsidP="00D37722">
      <w:pPr>
        <w:spacing w:line="360" w:lineRule="auto"/>
        <w:ind w:right="238"/>
        <w:rPr>
          <w:rFonts w:asciiTheme="minorHAnsi" w:hAnsiTheme="minorHAnsi" w:cstheme="minorHAnsi"/>
          <w:sz w:val="22"/>
          <w:szCs w:val="22"/>
        </w:rPr>
      </w:pPr>
      <w:r w:rsidRPr="00EB4E94">
        <w:rPr>
          <w:rFonts w:asciiTheme="minorHAnsi" w:hAnsiTheme="minorHAnsi" w:cstheme="minorHAnsi"/>
          <w:sz w:val="22"/>
          <w:szCs w:val="22"/>
        </w:rPr>
        <w:t xml:space="preserve">Wells, H. (2016) PCCs, road policing and the dilemmas of increased democratic accountability. </w:t>
      </w:r>
      <w:r w:rsidRPr="00EB4E94">
        <w:rPr>
          <w:rFonts w:asciiTheme="minorHAnsi" w:hAnsiTheme="minorHAnsi" w:cstheme="minorHAnsi"/>
          <w:i/>
          <w:iCs/>
          <w:sz w:val="22"/>
          <w:szCs w:val="22"/>
        </w:rPr>
        <w:t>The British Journal of Criminology</w:t>
      </w:r>
      <w:r w:rsidRPr="00EB4E94">
        <w:rPr>
          <w:rFonts w:asciiTheme="minorHAnsi" w:hAnsiTheme="minorHAnsi" w:cstheme="minorHAnsi"/>
          <w:sz w:val="22"/>
          <w:szCs w:val="22"/>
        </w:rPr>
        <w:t>. Vol. 56,2, p.274-292</w:t>
      </w:r>
    </w:p>
    <w:p w14:paraId="12B15E67" w14:textId="77777777" w:rsidR="0073794E" w:rsidRPr="0073794E" w:rsidRDefault="0073794E" w:rsidP="00D03EA2">
      <w:pPr>
        <w:spacing w:line="360" w:lineRule="auto"/>
        <w:rPr>
          <w:rFonts w:asciiTheme="minorHAnsi" w:hAnsiTheme="minorHAnsi" w:cstheme="minorHAnsi"/>
          <w:sz w:val="22"/>
          <w:szCs w:val="22"/>
        </w:rPr>
      </w:pPr>
      <w:r w:rsidRPr="0073794E">
        <w:rPr>
          <w:rFonts w:asciiTheme="minorHAnsi" w:hAnsiTheme="minorHAnsi" w:cstheme="minorHAnsi"/>
          <w:sz w:val="22"/>
          <w:szCs w:val="22"/>
        </w:rPr>
        <w:t xml:space="preserve">Wolter, C., Santa Maria, A., </w:t>
      </w:r>
      <w:proofErr w:type="spellStart"/>
      <w:r w:rsidRPr="0073794E">
        <w:rPr>
          <w:rFonts w:asciiTheme="minorHAnsi" w:hAnsiTheme="minorHAnsi" w:cstheme="minorHAnsi"/>
          <w:sz w:val="22"/>
          <w:szCs w:val="22"/>
        </w:rPr>
        <w:t>Worfel</w:t>
      </w:r>
      <w:proofErr w:type="spellEnd"/>
      <w:r w:rsidRPr="0073794E">
        <w:rPr>
          <w:rFonts w:asciiTheme="minorHAnsi" w:hAnsiTheme="minorHAnsi" w:cstheme="minorHAnsi"/>
          <w:sz w:val="22"/>
          <w:szCs w:val="22"/>
        </w:rPr>
        <w:t xml:space="preserve">, F. et al (2019) Job demands, job resources and well-being in police officers – a resource-oriented approach. </w:t>
      </w:r>
      <w:r w:rsidRPr="0073794E">
        <w:rPr>
          <w:rFonts w:asciiTheme="minorHAnsi" w:hAnsiTheme="minorHAnsi" w:cstheme="minorHAnsi"/>
          <w:i/>
          <w:iCs/>
          <w:sz w:val="22"/>
          <w:szCs w:val="22"/>
        </w:rPr>
        <w:t>Journal of Police and Criminal Psychology</w:t>
      </w:r>
      <w:r w:rsidRPr="0073794E">
        <w:rPr>
          <w:rFonts w:asciiTheme="minorHAnsi" w:hAnsiTheme="minorHAnsi" w:cstheme="minorHAnsi"/>
          <w:sz w:val="22"/>
          <w:szCs w:val="22"/>
        </w:rPr>
        <w:t>. Vol. 34, p.45-54</w:t>
      </w:r>
    </w:p>
    <w:p w14:paraId="684F5B31" w14:textId="77777777" w:rsidR="00024494" w:rsidRPr="0075217E" w:rsidRDefault="00024494" w:rsidP="00024494">
      <w:pPr>
        <w:spacing w:line="360" w:lineRule="auto"/>
      </w:pPr>
    </w:p>
    <w:p w14:paraId="0A77F299" w14:textId="77777777" w:rsidR="00B3448C" w:rsidRPr="00270EEB" w:rsidRDefault="00B3448C" w:rsidP="00340E9A">
      <w:pPr>
        <w:keepNext/>
        <w:spacing w:before="240" w:after="60"/>
        <w:ind w:right="237"/>
        <w:jc w:val="both"/>
        <w:rPr>
          <w:b/>
          <w:sz w:val="24"/>
          <w:szCs w:val="24"/>
        </w:rPr>
      </w:pPr>
    </w:p>
    <w:p w14:paraId="65314E5D" w14:textId="3F434C97" w:rsidR="6A1ACC1F" w:rsidRDefault="6A1ACC1F" w:rsidP="00B459FC"/>
    <w:sectPr w:rsidR="6A1ACC1F" w:rsidSect="008441C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0A955" w14:textId="77777777" w:rsidR="008441C3" w:rsidRDefault="008441C3">
      <w:r>
        <w:separator/>
      </w:r>
    </w:p>
  </w:endnote>
  <w:endnote w:type="continuationSeparator" w:id="0">
    <w:p w14:paraId="31933A51" w14:textId="77777777" w:rsidR="008441C3" w:rsidRDefault="00844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65C46" w14:textId="77777777" w:rsidR="008441C3" w:rsidRDefault="008441C3">
      <w:r>
        <w:separator/>
      </w:r>
    </w:p>
  </w:footnote>
  <w:footnote w:type="continuationSeparator" w:id="0">
    <w:p w14:paraId="1D842F55" w14:textId="77777777" w:rsidR="008441C3" w:rsidRDefault="00844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494"/>
    <w:rsid w:val="00025650"/>
    <w:rsid w:val="00026FAB"/>
    <w:rsid w:val="00027B1F"/>
    <w:rsid w:val="0003088B"/>
    <w:rsid w:val="000325D9"/>
    <w:rsid w:val="000372B2"/>
    <w:rsid w:val="0004079F"/>
    <w:rsid w:val="00045B87"/>
    <w:rsid w:val="00045C07"/>
    <w:rsid w:val="00055D43"/>
    <w:rsid w:val="00056FAC"/>
    <w:rsid w:val="00057732"/>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2D51"/>
    <w:rsid w:val="00114F52"/>
    <w:rsid w:val="0012135C"/>
    <w:rsid w:val="001347F8"/>
    <w:rsid w:val="00137BB5"/>
    <w:rsid w:val="00137E05"/>
    <w:rsid w:val="001447F6"/>
    <w:rsid w:val="00147DE3"/>
    <w:rsid w:val="00150794"/>
    <w:rsid w:val="001543B9"/>
    <w:rsid w:val="001608C4"/>
    <w:rsid w:val="00171418"/>
    <w:rsid w:val="00190913"/>
    <w:rsid w:val="001961CF"/>
    <w:rsid w:val="001A59BB"/>
    <w:rsid w:val="001A6A51"/>
    <w:rsid w:val="001A79C4"/>
    <w:rsid w:val="001B331A"/>
    <w:rsid w:val="001B4954"/>
    <w:rsid w:val="001BC1C4"/>
    <w:rsid w:val="001C0E74"/>
    <w:rsid w:val="001C6CEC"/>
    <w:rsid w:val="001D229F"/>
    <w:rsid w:val="001D6162"/>
    <w:rsid w:val="001E7592"/>
    <w:rsid w:val="001F3878"/>
    <w:rsid w:val="001F4552"/>
    <w:rsid w:val="002019EB"/>
    <w:rsid w:val="0020210A"/>
    <w:rsid w:val="00202B9D"/>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4668"/>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0925"/>
    <w:rsid w:val="002C256A"/>
    <w:rsid w:val="002C496D"/>
    <w:rsid w:val="002C786A"/>
    <w:rsid w:val="002D05EB"/>
    <w:rsid w:val="002D2F29"/>
    <w:rsid w:val="002D2FD3"/>
    <w:rsid w:val="002E7017"/>
    <w:rsid w:val="002F3CC8"/>
    <w:rsid w:val="002F4F6E"/>
    <w:rsid w:val="003015C3"/>
    <w:rsid w:val="0030698D"/>
    <w:rsid w:val="0031350A"/>
    <w:rsid w:val="00316815"/>
    <w:rsid w:val="003168CA"/>
    <w:rsid w:val="00321255"/>
    <w:rsid w:val="0032230D"/>
    <w:rsid w:val="00322A0B"/>
    <w:rsid w:val="00335FC5"/>
    <w:rsid w:val="00340E9A"/>
    <w:rsid w:val="00341F5D"/>
    <w:rsid w:val="003516C0"/>
    <w:rsid w:val="00352E59"/>
    <w:rsid w:val="00354DBE"/>
    <w:rsid w:val="00354F23"/>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EF8"/>
    <w:rsid w:val="004E44A4"/>
    <w:rsid w:val="004E7B8B"/>
    <w:rsid w:val="004E7BDD"/>
    <w:rsid w:val="004F1E21"/>
    <w:rsid w:val="004F27DF"/>
    <w:rsid w:val="004F740D"/>
    <w:rsid w:val="004F7B8F"/>
    <w:rsid w:val="00500748"/>
    <w:rsid w:val="005011D6"/>
    <w:rsid w:val="0050167A"/>
    <w:rsid w:val="005042F1"/>
    <w:rsid w:val="00513C7D"/>
    <w:rsid w:val="005169D1"/>
    <w:rsid w:val="00521123"/>
    <w:rsid w:val="00521221"/>
    <w:rsid w:val="00522EE5"/>
    <w:rsid w:val="00536FA9"/>
    <w:rsid w:val="005414F4"/>
    <w:rsid w:val="00546187"/>
    <w:rsid w:val="005463F1"/>
    <w:rsid w:val="005534F2"/>
    <w:rsid w:val="00553AC7"/>
    <w:rsid w:val="00557D77"/>
    <w:rsid w:val="00562EAA"/>
    <w:rsid w:val="00563B58"/>
    <w:rsid w:val="005640C4"/>
    <w:rsid w:val="00564C53"/>
    <w:rsid w:val="0056684C"/>
    <w:rsid w:val="00573C08"/>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4504"/>
    <w:rsid w:val="005D583E"/>
    <w:rsid w:val="005E13EA"/>
    <w:rsid w:val="005E53BD"/>
    <w:rsid w:val="005F6FE1"/>
    <w:rsid w:val="00606E27"/>
    <w:rsid w:val="00610676"/>
    <w:rsid w:val="006108C9"/>
    <w:rsid w:val="00615C7E"/>
    <w:rsid w:val="0062158D"/>
    <w:rsid w:val="00630F39"/>
    <w:rsid w:val="006323EE"/>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6AD4"/>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3701A"/>
    <w:rsid w:val="0073794E"/>
    <w:rsid w:val="00737F7F"/>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CBD"/>
    <w:rsid w:val="00813CEC"/>
    <w:rsid w:val="0081534C"/>
    <w:rsid w:val="008171E4"/>
    <w:rsid w:val="008208EA"/>
    <w:rsid w:val="00823CA4"/>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1C3"/>
    <w:rsid w:val="00844D98"/>
    <w:rsid w:val="00846D84"/>
    <w:rsid w:val="0085230E"/>
    <w:rsid w:val="0085355E"/>
    <w:rsid w:val="008550A1"/>
    <w:rsid w:val="00861035"/>
    <w:rsid w:val="00861038"/>
    <w:rsid w:val="00865008"/>
    <w:rsid w:val="00866B50"/>
    <w:rsid w:val="008708F1"/>
    <w:rsid w:val="008725A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2E39"/>
    <w:rsid w:val="00920E5B"/>
    <w:rsid w:val="00926436"/>
    <w:rsid w:val="0093018C"/>
    <w:rsid w:val="00932CCA"/>
    <w:rsid w:val="00953E15"/>
    <w:rsid w:val="009544C0"/>
    <w:rsid w:val="00954FA4"/>
    <w:rsid w:val="00956AE9"/>
    <w:rsid w:val="00964CC6"/>
    <w:rsid w:val="00980A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10E"/>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DAF"/>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5C0F"/>
    <w:rsid w:val="00B26769"/>
    <w:rsid w:val="00B31C91"/>
    <w:rsid w:val="00B3448C"/>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5793"/>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697"/>
    <w:rsid w:val="00BF474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7CA"/>
    <w:rsid w:val="00C7739D"/>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3EA2"/>
    <w:rsid w:val="00D052BC"/>
    <w:rsid w:val="00D07026"/>
    <w:rsid w:val="00D11C62"/>
    <w:rsid w:val="00D22C8F"/>
    <w:rsid w:val="00D33491"/>
    <w:rsid w:val="00D37722"/>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6274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4E94"/>
    <w:rsid w:val="00EB62E6"/>
    <w:rsid w:val="00ED1B30"/>
    <w:rsid w:val="00ED250E"/>
    <w:rsid w:val="00ED6535"/>
    <w:rsid w:val="00EE1AC1"/>
    <w:rsid w:val="00EE39D6"/>
    <w:rsid w:val="00EE413C"/>
    <w:rsid w:val="00EE52AD"/>
    <w:rsid w:val="00F01456"/>
    <w:rsid w:val="00F01F92"/>
    <w:rsid w:val="00F10A08"/>
    <w:rsid w:val="00F139CF"/>
    <w:rsid w:val="00F22AC5"/>
    <w:rsid w:val="00F254D1"/>
    <w:rsid w:val="00F32B82"/>
    <w:rsid w:val="00F36084"/>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CF6"/>
    <w:rsid w:val="00FD4F8F"/>
    <w:rsid w:val="00FD6C38"/>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44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6991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leadership/leadership-standards" TargetMode="External"/><Relationship Id="rId26" Type="http://schemas.openxmlformats.org/officeDocument/2006/relationships/hyperlink" Target="https://gwent.pcc.police.uk/media/d5gofdql/3-h-1-leadership-strategic-plan-2022-annex-1.pdf" TargetMode="External"/><Relationship Id="rId39" Type="http://schemas.openxmlformats.org/officeDocument/2006/relationships/hyperlink" Target="https://www.police-foundation.org.uk/wp-content/uploads/2010/10/future_of_roads_policing_FINAL.pdf" TargetMode="External"/><Relationship Id="rId3" Type="http://schemas.openxmlformats.org/officeDocument/2006/relationships/customXml" Target="../customXml/item3.xml"/><Relationship Id="rId21" Type="http://schemas.openxmlformats.org/officeDocument/2006/relationships/hyperlink" Target="https://www.college.police.uk/guidance/effective-supervision/building-effective-relationships" TargetMode="External"/><Relationship Id="rId34" Type="http://schemas.openxmlformats.org/officeDocument/2006/relationships/hyperlink" Target="https://library.college.police.uk/docs/NPCC/Roads_Policing_Strategy_2022.25.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guidance" TargetMode="External"/><Relationship Id="rId25" Type="http://schemas.openxmlformats.org/officeDocument/2006/relationships/hyperlink" Target="file:///C:\Users\user\AppData\Local\Microsoft\Windows\INetCache\Content.Outlook\2YJOSQAJ\Wellbeing%20Toolkit.pdf" TargetMode="External"/><Relationship Id="rId33" Type="http://schemas.openxmlformats.org/officeDocument/2006/relationships/hyperlink" Target="http://www.intelligenceanalysis.net/National%20Intelligence%20Model.pdf" TargetMode="External"/><Relationship Id="rId38" Type="http://schemas.openxmlformats.org/officeDocument/2006/relationships/hyperlink" Target="https://www.police.uk/advice/advice-and-information/rs/road-safety/automatic-number-plate-recognition-anpr/"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college.police.uk/app/roads-policing/disrupting-criminality" TargetMode="External"/><Relationship Id="rId29" Type="http://schemas.openxmlformats.org/officeDocument/2006/relationships/hyperlink" Target="https://assets.publishing.service.gov.uk/media/62d1708ae90e071e753d68c0/NASPLE_Version_2.4_July_2022.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acfoundation.org/wp-content/uploads/Roads_policing_back_to_the_future_Steve_Green_Oct_2020.pdf%20accessed%20on%2003/03/2024" TargetMode="External"/><Relationship Id="rId32" Type="http://schemas.openxmlformats.org/officeDocument/2006/relationships/hyperlink" Target="https://nationalcrimeagency.gov.uk/who-we-are/publications/257-county-lines-drug-supply-vulnerability-and-harm-2018/file" TargetMode="External"/><Relationship Id="rId37" Type="http://schemas.openxmlformats.org/officeDocument/2006/relationships/hyperlink" Target="file:///C:\Users\408746\AppData\Local\Microsoft\Windows\INetCache\Content.Outlook\TJV6PJ92\www.grahamfeest.com\wp-content\%20uploads\2016\11\Police-Scotland-Annual-Police-Plan-2016-17.pdf" TargetMode="External"/><Relationship Id="rId40" Type="http://schemas.openxmlformats.org/officeDocument/2006/relationships/hyperlink" Target="https://link.springer.com/chapter/10.1007/978-3-030-68534-8_7"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cebcp.org/wp-content/lpr/ANPR_report_24_Oct.pdf" TargetMode="External"/><Relationship Id="rId28" Type="http://schemas.openxmlformats.org/officeDocument/2006/relationships/hyperlink" Target="https://www.hse.gov.uk/simple-health-safety/risk/index.htm" TargetMode="External"/><Relationship Id="rId36" Type="http://schemas.openxmlformats.org/officeDocument/2006/relationships/hyperlink" Target="https://www.polfed.org/news/latest-news/2022/police-recruitment-programme-doesn-t-go-far-enough/" TargetMode="External"/><Relationship Id="rId10" Type="http://schemas.openxmlformats.org/officeDocument/2006/relationships/endnotes" Target="endnotes.xml"/><Relationship Id="rId19" Type="http://schemas.openxmlformats.org/officeDocument/2006/relationships/hyperlink" Target="https://www.college.police.uk/ethics/code-of-practice" TargetMode="External"/><Relationship Id="rId31" Type="http://schemas.openxmlformats.org/officeDocument/2006/relationships/hyperlink" Target="https://nationalcrimeagency.gov.uk/who-we-are/publications/437-national-strategic-assessment-of-serious-and-organised-crime-2020/fi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roduction.copweb.aws.college.police.uk/s3fs-public/2020-12/Transformation-framework.pdf" TargetMode="External"/><Relationship Id="rId27" Type="http://schemas.openxmlformats.org/officeDocument/2006/relationships/hyperlink" Target="https://www.police-foundation.org.uk/wp-content/uploads/2010/10/future_of_roads_policing_FINAL.pdf" TargetMode="External"/><Relationship Id="rId30" Type="http://schemas.openxmlformats.org/officeDocument/2006/relationships/hyperlink" Target="https://police-foundation.org.uk/wp-content/uploads/2017/06/neighbourhood_policing_past_present_future.pdf" TargetMode="External"/><Relationship Id="rId35" Type="http://schemas.openxmlformats.org/officeDocument/2006/relationships/hyperlink" Target="https://oscarkil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9835</Words>
  <Characters>59071</Characters>
  <Application>Microsoft Office Word</Application>
  <DocSecurity>0</DocSecurity>
  <Lines>492</Lines>
  <Paragraphs>137</Paragraphs>
  <ScaleCrop>false</ScaleCrop>
  <Company>Powys County Council</Company>
  <LinksUpToDate>false</LinksUpToDate>
  <CharactersWithSpaces>68769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Turtle, Rebecca</cp:lastModifiedBy>
  <cp:revision>14</cp:revision>
  <cp:lastPrinted>2014-08-26T08:55:00Z</cp:lastPrinted>
  <dcterms:created xsi:type="dcterms:W3CDTF">2024-04-01T19:14:00Z</dcterms:created>
  <dcterms:modified xsi:type="dcterms:W3CDTF">2024-04-01T19:16:00Z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2024-03-08T16:32:30Z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f3122f4e-2cef-4d56-b4ca-e48ee37a6fbe</vt:lpwstr>
  </property>
  <property fmtid="{D5CDD505-2E9C-101B-9397-08002B2CF9AE}" pid="9" name="MSIP_Label_f2acd28b-79a3-4a0f-b0ff-4b75658b1549_ContentBits">
    <vt:lpwstr>0</vt:lpwstr>
  </property>
</Properties>
</file>