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B40B7" w14:textId="77777777" w:rsidR="00554A2E" w:rsidRDefault="00C70397">
      <w:pPr>
        <w:spacing w:before="240" w:after="240"/>
        <w:rPr>
          <w:rFonts w:ascii="Times New Roman" w:eastAsia="Times New Roman" w:hAnsi="Times New Roman" w:cs="Times New Roman"/>
          <w:b/>
          <w:i/>
          <w:sz w:val="24"/>
          <w:szCs w:val="24"/>
        </w:rPr>
      </w:pPr>
      <w:r>
        <w:rPr>
          <w:rFonts w:ascii="Times New Roman" w:eastAsia="Times New Roman" w:hAnsi="Times New Roman" w:cs="Times New Roman"/>
          <w:b/>
          <w:noProof/>
          <w:sz w:val="24"/>
          <w:szCs w:val="24"/>
        </w:rPr>
        <w:drawing>
          <wp:inline distT="114300" distB="114300" distL="114300" distR="114300" wp14:anchorId="2C4691CF" wp14:editId="2A548153">
            <wp:extent cx="2728913" cy="108626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728913" cy="1086266"/>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14:anchorId="06F21FCD" wp14:editId="11BABC5D">
            <wp:extent cx="2995613" cy="11274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995613" cy="1127470"/>
                    </a:xfrm>
                    <a:prstGeom prst="rect">
                      <a:avLst/>
                    </a:prstGeom>
                    <a:ln/>
                  </pic:spPr>
                </pic:pic>
              </a:graphicData>
            </a:graphic>
          </wp:inline>
        </w:drawing>
      </w:r>
      <w:r>
        <w:rPr>
          <w:rFonts w:ascii="Times New Roman" w:eastAsia="Times New Roman" w:hAnsi="Times New Roman" w:cs="Times New Roman"/>
          <w:sz w:val="24"/>
          <w:szCs w:val="24"/>
        </w:rPr>
        <w:t xml:space="preserve"> </w:t>
      </w:r>
    </w:p>
    <w:p w14:paraId="461EACC2" w14:textId="77777777" w:rsidR="00554A2E" w:rsidRDefault="00C70397">
      <w:pPr>
        <w:pStyle w:val="Heading2"/>
        <w:keepNext w:val="0"/>
        <w:keepLines w:val="0"/>
        <w:spacing w:after="80"/>
        <w:rPr>
          <w:rFonts w:ascii="Times New Roman" w:eastAsia="Times New Roman" w:hAnsi="Times New Roman" w:cs="Times New Roman"/>
          <w:b/>
          <w:sz w:val="34"/>
          <w:szCs w:val="34"/>
        </w:rPr>
      </w:pPr>
      <w:bookmarkStart w:id="0" w:name="_eobmfw3vlixp" w:colFirst="0" w:colLast="0"/>
      <w:bookmarkEnd w:id="0"/>
      <w:r>
        <w:rPr>
          <w:rFonts w:ascii="Times New Roman" w:eastAsia="Times New Roman" w:hAnsi="Times New Roman" w:cs="Times New Roman"/>
          <w:b/>
          <w:sz w:val="34"/>
          <w:szCs w:val="34"/>
        </w:rPr>
        <w:t xml:space="preserve"> ASSESSMENT 1</w:t>
      </w:r>
    </w:p>
    <w:p w14:paraId="21D6671E" w14:textId="77777777" w:rsidR="00554A2E" w:rsidRDefault="00C70397">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
        <w:tblW w:w="8475" w:type="dxa"/>
        <w:tblBorders>
          <w:top w:val="nil"/>
          <w:left w:val="nil"/>
          <w:bottom w:val="nil"/>
          <w:right w:val="nil"/>
          <w:insideH w:val="nil"/>
          <w:insideV w:val="nil"/>
        </w:tblBorders>
        <w:tblLayout w:type="fixed"/>
        <w:tblLook w:val="0600" w:firstRow="0" w:lastRow="0" w:firstColumn="0" w:lastColumn="0" w:noHBand="1" w:noVBand="1"/>
      </w:tblPr>
      <w:tblGrid>
        <w:gridCol w:w="8475"/>
      </w:tblGrid>
      <w:tr w:rsidR="00554A2E" w14:paraId="3738A339" w14:textId="77777777">
        <w:trPr>
          <w:trHeight w:val="600"/>
        </w:trPr>
        <w:tc>
          <w:tcPr>
            <w:tcW w:w="847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93EBF2B" w14:textId="77777777" w:rsidR="00554A2E" w:rsidRDefault="00C70397">
            <w:pPr>
              <w:pStyle w:val="Heading4"/>
              <w:keepNext w:val="0"/>
              <w:keepLines w:val="0"/>
              <w:spacing w:before="240" w:after="40"/>
              <w:ind w:left="400"/>
              <w:rPr>
                <w:rFonts w:ascii="Times New Roman" w:eastAsia="Times New Roman" w:hAnsi="Times New Roman" w:cs="Times New Roman"/>
                <w:b/>
                <w:color w:val="000000"/>
                <w:sz w:val="22"/>
                <w:szCs w:val="22"/>
              </w:rPr>
            </w:pPr>
            <w:bookmarkStart w:id="1" w:name="_ys6s348mq926" w:colFirst="0" w:colLast="0"/>
            <w:bookmarkEnd w:id="1"/>
            <w:r>
              <w:rPr>
                <w:rFonts w:ascii="Times New Roman" w:eastAsia="Times New Roman" w:hAnsi="Times New Roman" w:cs="Times New Roman"/>
                <w:b/>
                <w:color w:val="000000"/>
                <w:sz w:val="22"/>
                <w:szCs w:val="22"/>
              </w:rPr>
              <w:t>LEVEL 5 ASSESSMENT SPECIFICATION</w:t>
            </w:r>
          </w:p>
        </w:tc>
      </w:tr>
    </w:tbl>
    <w:p w14:paraId="12DA89F1" w14:textId="77777777" w:rsidR="00554A2E" w:rsidRDefault="00C70397">
      <w:pPr>
        <w:spacing w:before="240" w:after="240"/>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 </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2054"/>
        <w:gridCol w:w="2960"/>
        <w:gridCol w:w="2194"/>
        <w:gridCol w:w="2152"/>
      </w:tblGrid>
      <w:tr w:rsidR="00554A2E" w14:paraId="2B415A9A" w14:textId="77777777">
        <w:trPr>
          <w:trHeight w:val="690"/>
        </w:trPr>
        <w:tc>
          <w:tcPr>
            <w:tcW w:w="2053"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64EA99EC"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Student name:</w:t>
            </w:r>
          </w:p>
        </w:tc>
        <w:tc>
          <w:tcPr>
            <w:tcW w:w="2959"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71FD57E" w14:textId="77777777" w:rsidR="00554A2E" w:rsidRDefault="00C70397">
            <w:pPr>
              <w:spacing w:before="120" w:after="120"/>
              <w:jc w:val="both"/>
              <w:rPr>
                <w:rFonts w:ascii="Times New Roman" w:eastAsia="Times New Roman" w:hAnsi="Times New Roman" w:cs="Times New Roman"/>
                <w:b/>
              </w:rPr>
            </w:pPr>
            <w:r>
              <w:rPr>
                <w:rFonts w:ascii="Times New Roman" w:eastAsia="Times New Roman" w:hAnsi="Times New Roman" w:cs="Times New Roman"/>
                <w:b/>
              </w:rPr>
              <w:t>Muhammad Arfaan Razak</w:t>
            </w:r>
          </w:p>
        </w:tc>
        <w:tc>
          <w:tcPr>
            <w:tcW w:w="2194"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14:paraId="3B4E05AF"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Student ID number:</w:t>
            </w:r>
          </w:p>
        </w:tc>
        <w:tc>
          <w:tcPr>
            <w:tcW w:w="2152"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B3CEC48"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 xml:space="preserve"> 2226202</w:t>
            </w:r>
          </w:p>
        </w:tc>
      </w:tr>
      <w:tr w:rsidR="00554A2E" w14:paraId="6729C4FB" w14:textId="77777777">
        <w:trPr>
          <w:trHeight w:val="690"/>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053D94A0" w14:textId="77777777" w:rsidR="00554A2E" w:rsidRDefault="00C70397">
            <w:pPr>
              <w:spacing w:before="120" w:after="120"/>
              <w:ind w:left="400"/>
              <w:jc w:val="both"/>
              <w:rPr>
                <w:rFonts w:ascii="Times New Roman" w:eastAsia="Times New Roman" w:hAnsi="Times New Roman" w:cs="Times New Roman"/>
                <w:b/>
              </w:rPr>
            </w:pPr>
            <w:proofErr w:type="spellStart"/>
            <w:r>
              <w:rPr>
                <w:rFonts w:ascii="Times New Roman" w:eastAsia="Times New Roman" w:hAnsi="Times New Roman" w:cs="Times New Roman"/>
                <w:b/>
              </w:rPr>
              <w:t>Programme</w:t>
            </w:r>
            <w:proofErr w:type="spellEnd"/>
            <w:r>
              <w:rPr>
                <w:rFonts w:ascii="Times New Roman" w:eastAsia="Times New Roman" w:hAnsi="Times New Roman" w:cs="Times New Roman"/>
                <w:b/>
              </w:rPr>
              <w:t>:</w:t>
            </w:r>
          </w:p>
        </w:tc>
        <w:tc>
          <w:tcPr>
            <w:tcW w:w="7305" w:type="dxa"/>
            <w:gridSpan w:val="3"/>
            <w:tcBorders>
              <w:top w:val="nil"/>
              <w:left w:val="nil"/>
              <w:bottom w:val="single" w:sz="5" w:space="0" w:color="000000"/>
              <w:right w:val="single" w:sz="5" w:space="0" w:color="000000"/>
            </w:tcBorders>
            <w:tcMar>
              <w:top w:w="0" w:type="dxa"/>
              <w:left w:w="100" w:type="dxa"/>
              <w:bottom w:w="0" w:type="dxa"/>
              <w:right w:w="100" w:type="dxa"/>
            </w:tcMar>
          </w:tcPr>
          <w:p w14:paraId="267B66F6"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IUMW Business Administration (Dual Award)</w:t>
            </w:r>
          </w:p>
        </w:tc>
      </w:tr>
      <w:tr w:rsidR="00554A2E" w14:paraId="78D98D06" w14:textId="77777777">
        <w:trPr>
          <w:trHeight w:val="690"/>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4876B450"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Module:</w:t>
            </w:r>
          </w:p>
        </w:tc>
        <w:tc>
          <w:tcPr>
            <w:tcW w:w="7305" w:type="dxa"/>
            <w:gridSpan w:val="3"/>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0CF046D2"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Changemakers: Creativity and Value Creation</w:t>
            </w:r>
          </w:p>
        </w:tc>
      </w:tr>
      <w:tr w:rsidR="00554A2E" w14:paraId="3F0AD170" w14:textId="77777777">
        <w:trPr>
          <w:trHeight w:val="1635"/>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4D041BDC"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Module code:</w:t>
            </w:r>
          </w:p>
        </w:tc>
        <w:tc>
          <w:tcPr>
            <w:tcW w:w="29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31ADAA5A"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IUBA5002</w:t>
            </w:r>
          </w:p>
        </w:tc>
        <w:tc>
          <w:tcPr>
            <w:tcW w:w="2194"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14:paraId="6E6D19F5" w14:textId="77777777" w:rsidR="00554A2E" w:rsidRDefault="00C70397">
            <w:pPr>
              <w:pStyle w:val="Heading2"/>
              <w:keepNext w:val="0"/>
              <w:keepLines w:val="0"/>
              <w:spacing w:after="80"/>
              <w:ind w:left="400"/>
              <w:rPr>
                <w:rFonts w:ascii="Times New Roman" w:eastAsia="Times New Roman" w:hAnsi="Times New Roman" w:cs="Times New Roman"/>
                <w:b/>
                <w:sz w:val="22"/>
                <w:szCs w:val="22"/>
              </w:rPr>
            </w:pPr>
            <w:bookmarkStart w:id="2" w:name="_sll4c2sm2ekl" w:colFirst="0" w:colLast="0"/>
            <w:bookmarkEnd w:id="2"/>
            <w:r>
              <w:rPr>
                <w:rFonts w:ascii="Times New Roman" w:eastAsia="Times New Roman" w:hAnsi="Times New Roman" w:cs="Times New Roman"/>
                <w:b/>
                <w:sz w:val="22"/>
                <w:szCs w:val="22"/>
              </w:rPr>
              <w:t>Contribution to Overall Module Assessment (%):</w:t>
            </w:r>
          </w:p>
        </w:tc>
        <w:tc>
          <w:tcPr>
            <w:tcW w:w="215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A89AEFB"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50%</w:t>
            </w:r>
          </w:p>
        </w:tc>
      </w:tr>
      <w:tr w:rsidR="00554A2E" w14:paraId="23859017" w14:textId="77777777">
        <w:trPr>
          <w:trHeight w:val="690"/>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1D119200"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Lecturer:</w:t>
            </w:r>
          </w:p>
        </w:tc>
        <w:tc>
          <w:tcPr>
            <w:tcW w:w="29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61ADB72"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Emma Roberts</w:t>
            </w:r>
          </w:p>
        </w:tc>
        <w:tc>
          <w:tcPr>
            <w:tcW w:w="2194"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14:paraId="0F618F44"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Internal Verifier:</w:t>
            </w:r>
          </w:p>
        </w:tc>
        <w:tc>
          <w:tcPr>
            <w:tcW w:w="215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2CC1D7EE"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Vic Saunders</w:t>
            </w:r>
          </w:p>
        </w:tc>
      </w:tr>
      <w:tr w:rsidR="00554A2E" w14:paraId="4B4BED48" w14:textId="77777777">
        <w:trPr>
          <w:trHeight w:val="1125"/>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55F598E6"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Assignment Title:</w:t>
            </w:r>
          </w:p>
        </w:tc>
        <w:tc>
          <w:tcPr>
            <w:tcW w:w="29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49F78187"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E-Portfolio Evidence of Learning</w:t>
            </w:r>
          </w:p>
        </w:tc>
        <w:tc>
          <w:tcPr>
            <w:tcW w:w="2194"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14:paraId="3730E6F1"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Word count (or equivalent):</w:t>
            </w:r>
          </w:p>
        </w:tc>
        <w:tc>
          <w:tcPr>
            <w:tcW w:w="215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A188FA7"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2000 words or equivalent</w:t>
            </w:r>
          </w:p>
        </w:tc>
      </w:tr>
      <w:tr w:rsidR="00554A2E" w14:paraId="4FA8242C" w14:textId="77777777">
        <w:trPr>
          <w:trHeight w:val="1575"/>
        </w:trPr>
        <w:tc>
          <w:tcPr>
            <w:tcW w:w="2053"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3ADAC769"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Submission deadline:</w:t>
            </w:r>
          </w:p>
        </w:tc>
        <w:tc>
          <w:tcPr>
            <w:tcW w:w="2959"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7620E254"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30</w:t>
            </w:r>
            <w:r>
              <w:rPr>
                <w:rFonts w:ascii="Times New Roman" w:eastAsia="Times New Roman" w:hAnsi="Times New Roman" w:cs="Times New Roman"/>
                <w:b/>
                <w:vertAlign w:val="superscript"/>
              </w:rPr>
              <w:t>th</w:t>
            </w:r>
            <w:r>
              <w:rPr>
                <w:rFonts w:ascii="Times New Roman" w:eastAsia="Times New Roman" w:hAnsi="Times New Roman" w:cs="Times New Roman"/>
                <w:b/>
              </w:rPr>
              <w:t xml:space="preserve"> July 2024</w:t>
            </w:r>
          </w:p>
        </w:tc>
        <w:tc>
          <w:tcPr>
            <w:tcW w:w="2194"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14:paraId="6697B2E4"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Return date of provisional marks &amp; written feedback:</w:t>
            </w:r>
          </w:p>
        </w:tc>
        <w:tc>
          <w:tcPr>
            <w:tcW w:w="2152" w:type="dxa"/>
            <w:tcBorders>
              <w:top w:val="nil"/>
              <w:left w:val="nil"/>
              <w:bottom w:val="single" w:sz="5" w:space="0" w:color="000000"/>
              <w:right w:val="single" w:sz="5" w:space="0" w:color="000000"/>
            </w:tcBorders>
            <w:shd w:val="clear" w:color="auto" w:fill="auto"/>
            <w:tcMar>
              <w:top w:w="0" w:type="dxa"/>
              <w:left w:w="100" w:type="dxa"/>
              <w:bottom w:w="0" w:type="dxa"/>
              <w:right w:w="100" w:type="dxa"/>
            </w:tcMar>
          </w:tcPr>
          <w:p w14:paraId="64B6B0C3" w14:textId="77777777" w:rsidR="00554A2E" w:rsidRDefault="00C70397">
            <w:pPr>
              <w:spacing w:before="120" w:after="120"/>
              <w:ind w:left="400"/>
              <w:jc w:val="both"/>
              <w:rPr>
                <w:rFonts w:ascii="Times New Roman" w:eastAsia="Times New Roman" w:hAnsi="Times New Roman" w:cs="Times New Roman"/>
                <w:b/>
              </w:rPr>
            </w:pPr>
            <w:r>
              <w:rPr>
                <w:rFonts w:ascii="Times New Roman" w:eastAsia="Times New Roman" w:hAnsi="Times New Roman" w:cs="Times New Roman"/>
                <w:b/>
              </w:rPr>
              <w:t>50%</w:t>
            </w:r>
          </w:p>
        </w:tc>
      </w:tr>
    </w:tbl>
    <w:p w14:paraId="00808514" w14:textId="77777777" w:rsidR="00554A2E" w:rsidRDefault="00C70397">
      <w:pPr>
        <w:rPr>
          <w:rFonts w:ascii="Times New Roman" w:eastAsia="Times New Roman" w:hAnsi="Times New Roman" w:cs="Times New Roman"/>
          <w:b/>
          <w:sz w:val="24"/>
          <w:szCs w:val="24"/>
          <w:u w:val="single"/>
        </w:rPr>
      </w:pPr>
      <w:r>
        <w:br w:type="page"/>
      </w:r>
    </w:p>
    <w:p w14:paraId="5D7E029E" w14:textId="77777777" w:rsidR="00554A2E" w:rsidRDefault="00C70397">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Spending Pattern Among Students in a Private University</w:t>
      </w:r>
    </w:p>
    <w:p w14:paraId="463743A3" w14:textId="77777777" w:rsidR="00554A2E" w:rsidRDefault="00554A2E">
      <w:pPr>
        <w:rPr>
          <w:rFonts w:ascii="Times New Roman" w:eastAsia="Times New Roman" w:hAnsi="Times New Roman" w:cs="Times New Roman"/>
          <w:b/>
          <w:sz w:val="24"/>
          <w:szCs w:val="24"/>
        </w:rPr>
      </w:pPr>
    </w:p>
    <w:p w14:paraId="512A9A28" w14:textId="77777777" w:rsidR="00554A2E" w:rsidRDefault="00C70397">
      <w:pPr>
        <w:rPr>
          <w:rFonts w:ascii="Times New Roman" w:eastAsia="Times New Roman" w:hAnsi="Times New Roman" w:cs="Times New Roman"/>
          <w:sz w:val="24"/>
          <w:szCs w:val="24"/>
        </w:rPr>
      </w:pPr>
      <w:r>
        <w:rPr>
          <w:rFonts w:ascii="Times New Roman" w:eastAsia="Times New Roman" w:hAnsi="Times New Roman" w:cs="Times New Roman"/>
          <w:b/>
          <w:sz w:val="24"/>
          <w:szCs w:val="24"/>
        </w:rPr>
        <w:t>TASK 1 - Formulate a research question</w:t>
      </w:r>
    </w:p>
    <w:p w14:paraId="6A68D77B" w14:textId="77777777" w:rsidR="00554A2E" w:rsidRDefault="00554A2E">
      <w:pPr>
        <w:spacing w:line="360" w:lineRule="auto"/>
        <w:jc w:val="both"/>
        <w:rPr>
          <w:rFonts w:ascii="Times New Roman" w:eastAsia="Times New Roman" w:hAnsi="Times New Roman" w:cs="Times New Roman"/>
          <w:sz w:val="24"/>
          <w:szCs w:val="24"/>
        </w:rPr>
      </w:pPr>
    </w:p>
    <w:p w14:paraId="514829B2" w14:textId="53D0D424" w:rsidR="00AC34BF" w:rsidRPr="00AC34BF" w:rsidRDefault="00AC34BF" w:rsidP="00AC34BF">
      <w:pPr>
        <w:spacing w:line="360" w:lineRule="auto"/>
        <w:jc w:val="both"/>
        <w:rPr>
          <w:rFonts w:ascii="Times New Roman" w:eastAsia="Times New Roman" w:hAnsi="Times New Roman" w:cs="Times New Roman"/>
          <w:sz w:val="24"/>
          <w:szCs w:val="24"/>
        </w:rPr>
      </w:pPr>
      <w:r w:rsidRPr="00AC34BF">
        <w:rPr>
          <w:rFonts w:ascii="Times New Roman" w:eastAsia="Times New Roman" w:hAnsi="Times New Roman" w:cs="Times New Roman"/>
          <w:sz w:val="24"/>
          <w:szCs w:val="24"/>
        </w:rPr>
        <w:t xml:space="preserve">The basis of any successful research assignment is the method of a compelling research query. The observe subject matter inside the context of pupil spending styles at a non-public institution needs to be particular, narrowly targeted, and address a good-sized statistics hole. It needs to direct the entire studies method, inclusive of the gathering, studying, and interpretation of data. </w:t>
      </w:r>
    </w:p>
    <w:p w14:paraId="5874826E" w14:textId="77777777" w:rsidR="00AC34BF" w:rsidRPr="00AC34BF" w:rsidRDefault="00AC34BF" w:rsidP="00AC34BF">
      <w:pPr>
        <w:spacing w:line="360" w:lineRule="auto"/>
        <w:jc w:val="both"/>
        <w:rPr>
          <w:rFonts w:ascii="Times New Roman" w:eastAsia="Times New Roman" w:hAnsi="Times New Roman" w:cs="Times New Roman"/>
          <w:sz w:val="24"/>
          <w:szCs w:val="24"/>
        </w:rPr>
      </w:pPr>
    </w:p>
    <w:p w14:paraId="14A0F8E9" w14:textId="7AC5D5D4" w:rsidR="00554A2E" w:rsidRDefault="00AC34BF" w:rsidP="00AC34BF">
      <w:pPr>
        <w:spacing w:line="360" w:lineRule="auto"/>
        <w:jc w:val="both"/>
        <w:rPr>
          <w:rFonts w:ascii="Times New Roman" w:eastAsia="Times New Roman" w:hAnsi="Times New Roman" w:cs="Times New Roman"/>
          <w:b/>
          <w:sz w:val="24"/>
          <w:szCs w:val="24"/>
        </w:rPr>
      </w:pPr>
      <w:r w:rsidRPr="00AC34BF">
        <w:rPr>
          <w:rFonts w:ascii="Times New Roman" w:eastAsia="Times New Roman" w:hAnsi="Times New Roman" w:cs="Times New Roman"/>
          <w:sz w:val="24"/>
          <w:szCs w:val="24"/>
        </w:rPr>
        <w:t>A properly-written research query has to become aware of the vital elements to be checked out in addition to their relationships. For instance, a greater centered question may be, "How do earnings assets, y</w:t>
      </w:r>
      <w:r w:rsidR="00E04333">
        <w:rPr>
          <w:rFonts w:ascii="Times New Roman" w:eastAsia="Times New Roman" w:hAnsi="Times New Roman" w:cs="Times New Roman"/>
          <w:sz w:val="24"/>
          <w:szCs w:val="24"/>
        </w:rPr>
        <w:t>ear</w:t>
      </w:r>
      <w:r w:rsidRPr="00AC34BF">
        <w:rPr>
          <w:rFonts w:ascii="Times New Roman" w:eastAsia="Times New Roman" w:hAnsi="Times New Roman" w:cs="Times New Roman"/>
          <w:sz w:val="24"/>
          <w:szCs w:val="24"/>
        </w:rPr>
        <w:t xml:space="preserve"> of study, and residing arrangements impact the spending styles of college students in a non-public university?" in preference to a trendy one like, "What are the spending styles of university college students?" The based variable (spending patterns) and the unbiased factors (year of have a look at, housing preparations, and income sources) are both nicely identified on this inquiry. It is also important to take the studies question's viability into account. Make that the desired information may be gathered and examined within the time and with the sources to hand. In addition to offering direction for the research, a properly-crafted studies query will help provide conclusions which can be vast and influential.</w:t>
      </w:r>
    </w:p>
    <w:p w14:paraId="4C1A9314" w14:textId="77777777" w:rsidR="00AC34BF" w:rsidRDefault="00AC34BF">
      <w:pPr>
        <w:spacing w:line="360" w:lineRule="auto"/>
        <w:jc w:val="both"/>
        <w:rPr>
          <w:rFonts w:ascii="Times New Roman" w:eastAsia="Times New Roman" w:hAnsi="Times New Roman" w:cs="Times New Roman"/>
          <w:b/>
          <w:sz w:val="24"/>
          <w:szCs w:val="24"/>
        </w:rPr>
      </w:pPr>
    </w:p>
    <w:p w14:paraId="7E79AF73" w14:textId="0D6739A1"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Questions</w:t>
      </w:r>
      <w:r>
        <w:rPr>
          <w:rFonts w:ascii="Times New Roman" w:eastAsia="Times New Roman" w:hAnsi="Times New Roman" w:cs="Times New Roman"/>
          <w:sz w:val="24"/>
          <w:szCs w:val="24"/>
        </w:rPr>
        <w:t xml:space="preserve"> </w:t>
      </w:r>
    </w:p>
    <w:p w14:paraId="1D4CC072" w14:textId="77777777" w:rsidR="00554A2E" w:rsidRDefault="00554A2E">
      <w:pPr>
        <w:spacing w:line="360" w:lineRule="auto"/>
        <w:jc w:val="both"/>
        <w:rPr>
          <w:rFonts w:ascii="Times New Roman" w:eastAsia="Times New Roman" w:hAnsi="Times New Roman" w:cs="Times New Roman"/>
          <w:sz w:val="24"/>
          <w:szCs w:val="24"/>
        </w:rPr>
      </w:pPr>
    </w:p>
    <w:p w14:paraId="247F9E06" w14:textId="1E90CC09" w:rsidR="00554A2E" w:rsidRDefault="00C70397" w:rsidP="008262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effects do </w:t>
      </w:r>
      <w:r w:rsidR="00826234">
        <w:rPr>
          <w:rFonts w:ascii="Times New Roman" w:eastAsia="Times New Roman" w:hAnsi="Times New Roman" w:cs="Times New Roman"/>
          <w:sz w:val="24"/>
          <w:szCs w:val="24"/>
        </w:rPr>
        <w:t>live</w:t>
      </w:r>
      <w:r>
        <w:rPr>
          <w:rFonts w:ascii="Times New Roman" w:eastAsia="Times New Roman" w:hAnsi="Times New Roman" w:cs="Times New Roman"/>
          <w:sz w:val="24"/>
          <w:szCs w:val="24"/>
        </w:rPr>
        <w:t xml:space="preserve"> arrangements, income sources, and financial literacy levels have on students' financial behaviors and spending patterns at private universities, and what does this mean for</w:t>
      </w:r>
      <w:r w:rsidR="008262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their overall financial well-being?</w:t>
      </w:r>
      <w:r>
        <w:rPr>
          <w:rFonts w:ascii="Times New Roman" w:eastAsia="Times New Roman" w:hAnsi="Times New Roman" w:cs="Times New Roman"/>
          <w:sz w:val="24"/>
          <w:szCs w:val="24"/>
        </w:rPr>
        <w:br/>
      </w:r>
    </w:p>
    <w:p w14:paraId="4EDE0008" w14:textId="77777777" w:rsidR="00554A2E" w:rsidRDefault="00554A2E">
      <w:pPr>
        <w:spacing w:line="360" w:lineRule="auto"/>
        <w:jc w:val="both"/>
        <w:rPr>
          <w:rFonts w:ascii="Times New Roman" w:eastAsia="Times New Roman" w:hAnsi="Times New Roman" w:cs="Times New Roman"/>
          <w:sz w:val="24"/>
          <w:szCs w:val="24"/>
        </w:rPr>
      </w:pPr>
    </w:p>
    <w:p w14:paraId="35B4010F" w14:textId="77777777" w:rsidR="00554A2E" w:rsidRDefault="00554A2E">
      <w:pPr>
        <w:spacing w:line="360" w:lineRule="auto"/>
        <w:jc w:val="both"/>
        <w:rPr>
          <w:rFonts w:ascii="Times New Roman" w:eastAsia="Times New Roman" w:hAnsi="Times New Roman" w:cs="Times New Roman"/>
          <w:sz w:val="24"/>
          <w:szCs w:val="24"/>
        </w:rPr>
      </w:pPr>
    </w:p>
    <w:p w14:paraId="5599613B" w14:textId="77777777" w:rsidR="00554A2E" w:rsidRDefault="00554A2E">
      <w:pPr>
        <w:spacing w:line="360" w:lineRule="auto"/>
        <w:jc w:val="both"/>
        <w:rPr>
          <w:rFonts w:ascii="Times New Roman" w:eastAsia="Times New Roman" w:hAnsi="Times New Roman" w:cs="Times New Roman"/>
          <w:sz w:val="24"/>
          <w:szCs w:val="24"/>
        </w:rPr>
      </w:pPr>
    </w:p>
    <w:p w14:paraId="78340AE4" w14:textId="77777777" w:rsidR="00554A2E" w:rsidRDefault="00554A2E">
      <w:pPr>
        <w:spacing w:line="360" w:lineRule="auto"/>
        <w:jc w:val="both"/>
        <w:rPr>
          <w:rFonts w:ascii="Times New Roman" w:eastAsia="Times New Roman" w:hAnsi="Times New Roman" w:cs="Times New Roman"/>
          <w:b/>
          <w:sz w:val="24"/>
          <w:szCs w:val="24"/>
        </w:rPr>
      </w:pPr>
    </w:p>
    <w:p w14:paraId="7F92D3B2" w14:textId="77777777" w:rsidR="00554A2E" w:rsidRDefault="00554A2E">
      <w:pPr>
        <w:spacing w:line="360" w:lineRule="auto"/>
        <w:jc w:val="both"/>
        <w:rPr>
          <w:rFonts w:ascii="Times New Roman" w:eastAsia="Times New Roman" w:hAnsi="Times New Roman" w:cs="Times New Roman"/>
          <w:b/>
          <w:sz w:val="24"/>
          <w:szCs w:val="24"/>
        </w:rPr>
      </w:pPr>
    </w:p>
    <w:p w14:paraId="3ED05212" w14:textId="77777777" w:rsidR="00554A2E" w:rsidRDefault="00554A2E">
      <w:pPr>
        <w:spacing w:line="360" w:lineRule="auto"/>
        <w:jc w:val="both"/>
        <w:rPr>
          <w:rFonts w:ascii="Times New Roman" w:eastAsia="Times New Roman" w:hAnsi="Times New Roman" w:cs="Times New Roman"/>
          <w:b/>
          <w:sz w:val="24"/>
          <w:szCs w:val="24"/>
        </w:rPr>
      </w:pPr>
    </w:p>
    <w:p w14:paraId="58E9407F" w14:textId="77777777" w:rsidR="00554A2E" w:rsidRDefault="00C703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Value of the Research </w:t>
      </w:r>
    </w:p>
    <w:p w14:paraId="71C8F500" w14:textId="7ADBA625" w:rsidR="00AC34BF" w:rsidRPr="00AC34BF" w:rsidRDefault="00AC34BF" w:rsidP="00AC34BF">
      <w:pPr>
        <w:spacing w:before="240" w:after="240" w:line="360" w:lineRule="auto"/>
        <w:jc w:val="both"/>
        <w:rPr>
          <w:rFonts w:ascii="Times New Roman" w:eastAsia="Times New Roman" w:hAnsi="Times New Roman" w:cs="Times New Roman"/>
          <w:sz w:val="24"/>
          <w:szCs w:val="24"/>
        </w:rPr>
      </w:pPr>
      <w:r w:rsidRPr="00AC34BF">
        <w:rPr>
          <w:rFonts w:ascii="Times New Roman" w:eastAsia="Times New Roman" w:hAnsi="Times New Roman" w:cs="Times New Roman"/>
          <w:sz w:val="24"/>
          <w:szCs w:val="24"/>
        </w:rPr>
        <w:t xml:space="preserve">A comprehensive information of pupil spending patterns is crucial for addressing the economic demanding situations faced with the aid of university students. By analyzing elements together with income assets, living preparations, and educational 12 months, this studies goals to make contributions to </w:t>
      </w:r>
      <w:r w:rsidR="00C70397" w:rsidRPr="00AC34BF">
        <w:rPr>
          <w:rFonts w:ascii="Times New Roman" w:eastAsia="Times New Roman" w:hAnsi="Times New Roman" w:cs="Times New Roman"/>
          <w:sz w:val="24"/>
          <w:szCs w:val="24"/>
        </w:rPr>
        <w:t>an</w:t>
      </w:r>
      <w:r w:rsidRPr="00AC34BF">
        <w:rPr>
          <w:rFonts w:ascii="Times New Roman" w:eastAsia="Times New Roman" w:hAnsi="Times New Roman" w:cs="Times New Roman"/>
          <w:sz w:val="24"/>
          <w:szCs w:val="24"/>
        </w:rPr>
        <w:t xml:space="preserve"> extra nuanced knowledge of student monetary behaviors. The findings of this take a look at have the ability to inform the development of effective economic literacy packages, aid services, and rules that promote monetary properly-being.</w:t>
      </w:r>
    </w:p>
    <w:p w14:paraId="78DD33F5" w14:textId="7937E559" w:rsidR="00554A2E" w:rsidRDefault="00AC34BF" w:rsidP="00AC34BF">
      <w:pPr>
        <w:spacing w:before="240" w:after="240" w:line="360" w:lineRule="auto"/>
        <w:jc w:val="both"/>
        <w:rPr>
          <w:rFonts w:ascii="Times New Roman" w:eastAsia="Times New Roman" w:hAnsi="Times New Roman" w:cs="Times New Roman"/>
          <w:sz w:val="24"/>
          <w:szCs w:val="24"/>
        </w:rPr>
      </w:pPr>
      <w:r w:rsidRPr="00AC34BF">
        <w:rPr>
          <w:rFonts w:ascii="Times New Roman" w:eastAsia="Times New Roman" w:hAnsi="Times New Roman" w:cs="Times New Roman"/>
          <w:sz w:val="24"/>
          <w:szCs w:val="24"/>
        </w:rPr>
        <w:t>Universities can leverage this study to tailor monetary aid applications, create budgeting workshops, and offer get entry to financial counseling offerings. Financial establishments can utilize the findings to broaden student-friendly financial services and products. Additionally, policymakers can use this information to put into effect guidelines that support college students' monetary achievement, together with growing access to less expensive higher schooling or providing economic resource counseling. Ultimately, this study seeks to empower students to make informed monetary selections, lessen financial stress, and build a strong foundation for their future financial properly-being</w:t>
      </w:r>
      <w:r w:rsidR="00C70397">
        <w:rPr>
          <w:rFonts w:ascii="Times New Roman" w:eastAsia="Times New Roman" w:hAnsi="Times New Roman" w:cs="Times New Roman"/>
          <w:sz w:val="24"/>
          <w:szCs w:val="24"/>
        </w:rPr>
        <w:t>.</w:t>
      </w:r>
    </w:p>
    <w:p w14:paraId="591F3849" w14:textId="77777777" w:rsidR="00554A2E" w:rsidRDefault="00C7039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Approach: Quantitative Method</w:t>
      </w:r>
    </w:p>
    <w:p w14:paraId="4B19D820" w14:textId="49179A2F" w:rsidR="00554A2E" w:rsidRDefault="000047A5">
      <w:pPr>
        <w:spacing w:before="240" w:after="240" w:line="360" w:lineRule="auto"/>
        <w:jc w:val="both"/>
        <w:rPr>
          <w:rFonts w:ascii="Times New Roman" w:eastAsia="Times New Roman" w:hAnsi="Times New Roman" w:cs="Times New Roman"/>
          <w:sz w:val="24"/>
          <w:szCs w:val="24"/>
        </w:rPr>
      </w:pPr>
      <w:r w:rsidRPr="000047A5">
        <w:rPr>
          <w:rFonts w:ascii="Times New Roman" w:eastAsia="Times New Roman" w:hAnsi="Times New Roman" w:cs="Times New Roman"/>
          <w:sz w:val="24"/>
          <w:szCs w:val="24"/>
        </w:rPr>
        <w:t>The look at will make use of a quantitative studies method to methodically collect and examine numerical facts regarding the spending behavior of students. Finding patterns, trends, and connections among factors like profits resources, 12 months of examine, housing preparations, and spending categories is specifically well-appropriate to this approach. This study uses statistical analysis to evaluate how those factors have an effect on students' spending conduct. In this case, quantitative procedures provide numerous advantages. First of all, they give the researcher a radical photograph of spending styles by permitting them to examine and examine the spending habits of various student agencies. Second, the study can prioritize regions for economic training or help by identifying the foremost spending classes. Quantitative research can also display relationships among monetary results, such debt stages or academic fulfillment, and spending. The observe used statistical strategies so that it will generate honest and extensively relevant outcomes that may manual the development of evidence-based plans to promote the monetary nicely-being of college students.</w:t>
      </w:r>
    </w:p>
    <w:p w14:paraId="39851A9E" w14:textId="77777777" w:rsidR="00554A2E" w:rsidRDefault="00C703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Data Collection Method</w:t>
      </w:r>
    </w:p>
    <w:p w14:paraId="20EAF50A" w14:textId="77777777" w:rsidR="00C22FF0" w:rsidRPr="00C22FF0" w:rsidRDefault="00C22FF0" w:rsidP="00C22FF0">
      <w:pPr>
        <w:spacing w:before="240" w:after="240" w:line="360" w:lineRule="auto"/>
        <w:jc w:val="both"/>
        <w:rPr>
          <w:rFonts w:ascii="Times New Roman" w:eastAsia="Times New Roman" w:hAnsi="Times New Roman" w:cs="Times New Roman"/>
          <w:sz w:val="24"/>
          <w:szCs w:val="24"/>
        </w:rPr>
      </w:pPr>
      <w:r w:rsidRPr="00C22FF0">
        <w:rPr>
          <w:rFonts w:ascii="Times New Roman" w:eastAsia="Times New Roman" w:hAnsi="Times New Roman" w:cs="Times New Roman"/>
          <w:sz w:val="24"/>
          <w:szCs w:val="24"/>
        </w:rPr>
        <w:t xml:space="preserve">Using a combination of quantitative and qualitative studies methods, a mixed-techniques method can be used to gain a thorough knowledge of student buying styles. The major method for amassing quantitative statistics on spending styles, sources of income, and demographics may be surveys. In order to acquire numerical facts from a consultant sample of students, a dependent questionnaire may be created. By the usage of a quantitative technique, statistical analysis may be capable of discover traits, styles, and correlations within the data. </w:t>
      </w:r>
    </w:p>
    <w:p w14:paraId="548CDF38" w14:textId="70C74FFB" w:rsidR="00554A2E" w:rsidRDefault="00C22FF0" w:rsidP="00C22FF0">
      <w:pPr>
        <w:spacing w:before="240" w:after="240" w:line="360" w:lineRule="auto"/>
        <w:jc w:val="both"/>
        <w:rPr>
          <w:rFonts w:ascii="Times New Roman" w:eastAsia="Times New Roman" w:hAnsi="Times New Roman" w:cs="Times New Roman"/>
          <w:sz w:val="24"/>
          <w:szCs w:val="24"/>
        </w:rPr>
      </w:pPr>
      <w:r w:rsidRPr="00C22FF0">
        <w:rPr>
          <w:rFonts w:ascii="Times New Roman" w:eastAsia="Times New Roman" w:hAnsi="Times New Roman" w:cs="Times New Roman"/>
          <w:sz w:val="24"/>
          <w:szCs w:val="24"/>
        </w:rPr>
        <w:t>In-depth interviews with a smaller pattern of college students could be accomplished for you to complement the quantitative findings and acquire deeper insights into the underlying reasons influencing student spending behaviors. Rich qualitative facts at the viewpoints, reports, and choice-making approaches of the students could be obtained from these interviews. Through a radical research in their financial practices, the take a look at can pick out the elements, motivations, boundaries, and possibilities that have an effect on college students' spending habits. By combining these two techniques for amassing statistics, we may benefit a greater thorough and nuanced know-how of the various variables affecting students' financial behavior.</w:t>
      </w:r>
    </w:p>
    <w:p w14:paraId="3B5C45D4" w14:textId="77777777" w:rsidR="00554A2E" w:rsidRDefault="00554A2E">
      <w:pPr>
        <w:spacing w:before="240" w:after="240" w:line="360" w:lineRule="auto"/>
        <w:jc w:val="both"/>
        <w:rPr>
          <w:rFonts w:ascii="Times New Roman" w:eastAsia="Times New Roman" w:hAnsi="Times New Roman" w:cs="Times New Roman"/>
          <w:sz w:val="24"/>
          <w:szCs w:val="24"/>
        </w:rPr>
      </w:pPr>
    </w:p>
    <w:p w14:paraId="5DEFB1BA" w14:textId="77777777" w:rsidR="00554A2E" w:rsidRDefault="00554A2E">
      <w:pPr>
        <w:spacing w:before="240" w:after="240" w:line="360" w:lineRule="auto"/>
        <w:jc w:val="both"/>
        <w:rPr>
          <w:rFonts w:ascii="Times New Roman" w:eastAsia="Times New Roman" w:hAnsi="Times New Roman" w:cs="Times New Roman"/>
          <w:sz w:val="24"/>
          <w:szCs w:val="24"/>
        </w:rPr>
      </w:pPr>
    </w:p>
    <w:p w14:paraId="4F8212FF" w14:textId="77777777" w:rsidR="00554A2E" w:rsidRDefault="00554A2E">
      <w:pPr>
        <w:spacing w:before="240" w:after="240" w:line="360" w:lineRule="auto"/>
        <w:jc w:val="both"/>
        <w:rPr>
          <w:rFonts w:ascii="Times New Roman" w:eastAsia="Times New Roman" w:hAnsi="Times New Roman" w:cs="Times New Roman"/>
          <w:sz w:val="24"/>
          <w:szCs w:val="24"/>
        </w:rPr>
      </w:pPr>
    </w:p>
    <w:p w14:paraId="4C1FA617" w14:textId="77777777" w:rsidR="00554A2E" w:rsidRDefault="00554A2E">
      <w:pPr>
        <w:spacing w:before="240" w:after="240" w:line="360" w:lineRule="auto"/>
        <w:jc w:val="both"/>
        <w:rPr>
          <w:rFonts w:ascii="Times New Roman" w:eastAsia="Times New Roman" w:hAnsi="Times New Roman" w:cs="Times New Roman"/>
          <w:sz w:val="24"/>
          <w:szCs w:val="24"/>
        </w:rPr>
      </w:pPr>
    </w:p>
    <w:p w14:paraId="753397F2" w14:textId="77777777" w:rsidR="00554A2E" w:rsidRDefault="00554A2E">
      <w:pPr>
        <w:spacing w:before="240" w:after="240" w:line="360" w:lineRule="auto"/>
        <w:jc w:val="both"/>
        <w:rPr>
          <w:rFonts w:ascii="Times New Roman" w:eastAsia="Times New Roman" w:hAnsi="Times New Roman" w:cs="Times New Roman"/>
          <w:sz w:val="24"/>
          <w:szCs w:val="24"/>
        </w:rPr>
      </w:pPr>
    </w:p>
    <w:p w14:paraId="575905B7" w14:textId="77777777" w:rsidR="00554A2E" w:rsidRDefault="00554A2E">
      <w:pPr>
        <w:spacing w:before="240" w:after="240" w:line="360" w:lineRule="auto"/>
        <w:jc w:val="both"/>
        <w:rPr>
          <w:rFonts w:ascii="Times New Roman" w:eastAsia="Times New Roman" w:hAnsi="Times New Roman" w:cs="Times New Roman"/>
          <w:sz w:val="24"/>
          <w:szCs w:val="24"/>
        </w:rPr>
      </w:pPr>
    </w:p>
    <w:p w14:paraId="0D3D1F6A" w14:textId="77777777" w:rsidR="00554A2E" w:rsidRDefault="00554A2E">
      <w:pPr>
        <w:spacing w:before="240" w:after="240" w:line="360" w:lineRule="auto"/>
        <w:jc w:val="both"/>
        <w:rPr>
          <w:rFonts w:ascii="Times New Roman" w:eastAsia="Times New Roman" w:hAnsi="Times New Roman" w:cs="Times New Roman"/>
          <w:sz w:val="24"/>
          <w:szCs w:val="24"/>
        </w:rPr>
      </w:pPr>
    </w:p>
    <w:p w14:paraId="2303EEC5" w14:textId="52459C87" w:rsidR="00826234" w:rsidRDefault="00826234">
      <w:pPr>
        <w:spacing w:before="240" w:after="240" w:line="360" w:lineRule="auto"/>
        <w:jc w:val="both"/>
        <w:rPr>
          <w:rFonts w:ascii="Times New Roman" w:eastAsia="Times New Roman" w:hAnsi="Times New Roman" w:cs="Times New Roman"/>
          <w:b/>
          <w:sz w:val="24"/>
          <w:szCs w:val="24"/>
        </w:rPr>
      </w:pPr>
    </w:p>
    <w:p w14:paraId="5392C72D" w14:textId="77777777" w:rsidR="00C408B2" w:rsidRDefault="00C408B2">
      <w:pPr>
        <w:spacing w:before="240" w:after="240" w:line="360" w:lineRule="auto"/>
        <w:jc w:val="both"/>
        <w:rPr>
          <w:rFonts w:ascii="Times New Roman" w:eastAsia="Times New Roman" w:hAnsi="Times New Roman" w:cs="Times New Roman"/>
          <w:b/>
          <w:sz w:val="24"/>
          <w:szCs w:val="24"/>
        </w:rPr>
      </w:pPr>
    </w:p>
    <w:p w14:paraId="7CEAE87E" w14:textId="33F0413F" w:rsidR="00554A2E" w:rsidRDefault="00C70397">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Sampling Method and Sample Size</w:t>
      </w:r>
    </w:p>
    <w:p w14:paraId="28A1CAF7" w14:textId="77777777" w:rsidR="00C408B2" w:rsidRPr="00C408B2" w:rsidRDefault="00C408B2" w:rsidP="00C408B2">
      <w:pPr>
        <w:spacing w:line="360" w:lineRule="auto"/>
        <w:jc w:val="both"/>
        <w:rPr>
          <w:rFonts w:ascii="Times New Roman" w:eastAsia="Times New Roman" w:hAnsi="Times New Roman" w:cs="Times New Roman"/>
          <w:sz w:val="24"/>
          <w:szCs w:val="24"/>
        </w:rPr>
      </w:pPr>
      <w:r w:rsidRPr="00C408B2">
        <w:rPr>
          <w:rFonts w:ascii="Times New Roman" w:eastAsia="Times New Roman" w:hAnsi="Times New Roman" w:cs="Times New Roman"/>
          <w:sz w:val="24"/>
          <w:szCs w:val="24"/>
        </w:rPr>
        <w:t xml:space="preserve">A stratified random sample approach may be used to offer a consultant pattern that correctly reflects the diverse scholar body at the university. With this approach, the pupil frame is split into strata or subgroups in line with pertinent attributes consisting of major, gender, year of observe, and university or college. The researcher can ensure that each subgroup is sufficiently represented in the pattern through stratifying the populace, which improves the generalizability of the results.  </w:t>
      </w:r>
    </w:p>
    <w:p w14:paraId="21184796" w14:textId="77777777" w:rsidR="00C408B2" w:rsidRDefault="00C408B2" w:rsidP="00C408B2">
      <w:pPr>
        <w:spacing w:line="360" w:lineRule="auto"/>
        <w:jc w:val="both"/>
        <w:rPr>
          <w:rFonts w:ascii="Times New Roman" w:eastAsia="Times New Roman" w:hAnsi="Times New Roman" w:cs="Times New Roman"/>
          <w:sz w:val="24"/>
          <w:szCs w:val="24"/>
        </w:rPr>
      </w:pPr>
      <w:r w:rsidRPr="00C408B2">
        <w:rPr>
          <w:rFonts w:ascii="Times New Roman" w:eastAsia="Times New Roman" w:hAnsi="Times New Roman" w:cs="Times New Roman"/>
          <w:sz w:val="24"/>
          <w:szCs w:val="24"/>
        </w:rPr>
        <w:t xml:space="preserve">Participants from every subgroup could be selected at random after the population has been cut up into strata. </w:t>
      </w:r>
    </w:p>
    <w:p w14:paraId="16075B62" w14:textId="77777777" w:rsidR="00C408B2" w:rsidRDefault="00C408B2" w:rsidP="00C408B2">
      <w:pPr>
        <w:spacing w:line="360" w:lineRule="auto"/>
        <w:jc w:val="both"/>
        <w:rPr>
          <w:rFonts w:ascii="Times New Roman" w:eastAsia="Times New Roman" w:hAnsi="Times New Roman" w:cs="Times New Roman"/>
          <w:sz w:val="24"/>
          <w:szCs w:val="24"/>
        </w:rPr>
      </w:pPr>
    </w:p>
    <w:p w14:paraId="12B4125E" w14:textId="6BF2CC06" w:rsidR="00554A2E" w:rsidRDefault="00C408B2" w:rsidP="00C408B2">
      <w:pPr>
        <w:spacing w:line="360" w:lineRule="auto"/>
        <w:jc w:val="both"/>
        <w:rPr>
          <w:rFonts w:ascii="Times New Roman" w:eastAsia="Times New Roman" w:hAnsi="Times New Roman" w:cs="Times New Roman"/>
          <w:sz w:val="24"/>
          <w:szCs w:val="24"/>
        </w:rPr>
      </w:pPr>
      <w:r w:rsidRPr="00C408B2">
        <w:rPr>
          <w:rFonts w:ascii="Times New Roman" w:eastAsia="Times New Roman" w:hAnsi="Times New Roman" w:cs="Times New Roman"/>
          <w:sz w:val="24"/>
          <w:szCs w:val="24"/>
        </w:rPr>
        <w:t>This technique guarantees that every scholar has a same hazard of having selected, which helps to lessen sampling bias. An energy analysis may be carried out to ascertain the ideal sample size for each stratum. With a certain degree of confidence, this statistical method will decide the desired sample length to pick out significant differences in spending patterns among the one-of-a-kind student corporations. By using stratified random sampling to cautiously pick the pattern and electricity analysis to decide the right pattern size, the researcher can enhance the accuracy and dependability of the look at conclusions.</w:t>
      </w:r>
    </w:p>
    <w:p w14:paraId="213167B5" w14:textId="77777777" w:rsidR="00554A2E" w:rsidRDefault="00554A2E">
      <w:pPr>
        <w:spacing w:line="360" w:lineRule="auto"/>
        <w:jc w:val="both"/>
        <w:rPr>
          <w:rFonts w:ascii="Times New Roman" w:eastAsia="Times New Roman" w:hAnsi="Times New Roman" w:cs="Times New Roman"/>
          <w:sz w:val="24"/>
          <w:szCs w:val="24"/>
        </w:rPr>
      </w:pPr>
    </w:p>
    <w:p w14:paraId="7F645022" w14:textId="77777777" w:rsidR="00554A2E" w:rsidRDefault="00554A2E">
      <w:pPr>
        <w:spacing w:line="360" w:lineRule="auto"/>
        <w:jc w:val="both"/>
        <w:rPr>
          <w:rFonts w:ascii="Times New Roman" w:eastAsia="Times New Roman" w:hAnsi="Times New Roman" w:cs="Times New Roman"/>
          <w:sz w:val="24"/>
          <w:szCs w:val="24"/>
        </w:rPr>
      </w:pPr>
    </w:p>
    <w:p w14:paraId="46633032" w14:textId="77777777" w:rsidR="00554A2E" w:rsidRDefault="00554A2E">
      <w:pPr>
        <w:spacing w:line="360" w:lineRule="auto"/>
        <w:jc w:val="both"/>
        <w:rPr>
          <w:rFonts w:ascii="Times New Roman" w:eastAsia="Times New Roman" w:hAnsi="Times New Roman" w:cs="Times New Roman"/>
          <w:sz w:val="24"/>
          <w:szCs w:val="24"/>
        </w:rPr>
      </w:pPr>
    </w:p>
    <w:p w14:paraId="663CD424" w14:textId="77777777" w:rsidR="00554A2E" w:rsidRDefault="00554A2E">
      <w:pPr>
        <w:spacing w:line="360" w:lineRule="auto"/>
        <w:jc w:val="both"/>
        <w:rPr>
          <w:rFonts w:ascii="Times New Roman" w:eastAsia="Times New Roman" w:hAnsi="Times New Roman" w:cs="Times New Roman"/>
          <w:b/>
          <w:sz w:val="24"/>
          <w:szCs w:val="24"/>
        </w:rPr>
      </w:pPr>
    </w:p>
    <w:p w14:paraId="46A34B16" w14:textId="77777777" w:rsidR="00554A2E" w:rsidRDefault="00554A2E">
      <w:pPr>
        <w:spacing w:line="360" w:lineRule="auto"/>
        <w:jc w:val="both"/>
        <w:rPr>
          <w:rFonts w:ascii="Times New Roman" w:eastAsia="Times New Roman" w:hAnsi="Times New Roman" w:cs="Times New Roman"/>
          <w:b/>
          <w:sz w:val="24"/>
          <w:szCs w:val="24"/>
        </w:rPr>
      </w:pPr>
    </w:p>
    <w:p w14:paraId="018454F3" w14:textId="77777777" w:rsidR="00554A2E" w:rsidRDefault="00554A2E">
      <w:pPr>
        <w:spacing w:line="360" w:lineRule="auto"/>
        <w:jc w:val="both"/>
        <w:rPr>
          <w:rFonts w:ascii="Times New Roman" w:eastAsia="Times New Roman" w:hAnsi="Times New Roman" w:cs="Times New Roman"/>
          <w:b/>
          <w:sz w:val="24"/>
          <w:szCs w:val="24"/>
        </w:rPr>
      </w:pPr>
    </w:p>
    <w:p w14:paraId="4CBBAC78" w14:textId="77777777" w:rsidR="00554A2E" w:rsidRDefault="00554A2E">
      <w:pPr>
        <w:spacing w:line="360" w:lineRule="auto"/>
        <w:jc w:val="both"/>
        <w:rPr>
          <w:rFonts w:ascii="Times New Roman" w:eastAsia="Times New Roman" w:hAnsi="Times New Roman" w:cs="Times New Roman"/>
          <w:b/>
          <w:sz w:val="24"/>
          <w:szCs w:val="24"/>
        </w:rPr>
      </w:pPr>
    </w:p>
    <w:p w14:paraId="56D4484B" w14:textId="77777777" w:rsidR="00554A2E" w:rsidRDefault="00554A2E">
      <w:pPr>
        <w:spacing w:line="360" w:lineRule="auto"/>
        <w:jc w:val="both"/>
        <w:rPr>
          <w:rFonts w:ascii="Times New Roman" w:eastAsia="Times New Roman" w:hAnsi="Times New Roman" w:cs="Times New Roman"/>
          <w:b/>
          <w:sz w:val="24"/>
          <w:szCs w:val="24"/>
        </w:rPr>
      </w:pPr>
    </w:p>
    <w:p w14:paraId="28E63C3D" w14:textId="77777777" w:rsidR="00554A2E" w:rsidRDefault="00554A2E">
      <w:pPr>
        <w:spacing w:line="360" w:lineRule="auto"/>
        <w:jc w:val="both"/>
        <w:rPr>
          <w:rFonts w:ascii="Times New Roman" w:eastAsia="Times New Roman" w:hAnsi="Times New Roman" w:cs="Times New Roman"/>
          <w:b/>
          <w:sz w:val="24"/>
          <w:szCs w:val="24"/>
        </w:rPr>
      </w:pPr>
    </w:p>
    <w:p w14:paraId="23A1C595" w14:textId="77777777" w:rsidR="00554A2E" w:rsidRDefault="00554A2E">
      <w:pPr>
        <w:spacing w:line="360" w:lineRule="auto"/>
        <w:jc w:val="both"/>
        <w:rPr>
          <w:rFonts w:ascii="Times New Roman" w:eastAsia="Times New Roman" w:hAnsi="Times New Roman" w:cs="Times New Roman"/>
          <w:b/>
          <w:sz w:val="24"/>
          <w:szCs w:val="24"/>
        </w:rPr>
      </w:pPr>
    </w:p>
    <w:p w14:paraId="10259B4E" w14:textId="77777777" w:rsidR="00554A2E" w:rsidRDefault="00554A2E">
      <w:pPr>
        <w:spacing w:line="360" w:lineRule="auto"/>
        <w:jc w:val="both"/>
        <w:rPr>
          <w:rFonts w:ascii="Times New Roman" w:eastAsia="Times New Roman" w:hAnsi="Times New Roman" w:cs="Times New Roman"/>
          <w:b/>
          <w:sz w:val="24"/>
          <w:szCs w:val="24"/>
        </w:rPr>
      </w:pPr>
    </w:p>
    <w:p w14:paraId="0DC3BF54" w14:textId="77777777" w:rsidR="00554A2E" w:rsidRDefault="00554A2E">
      <w:pPr>
        <w:rPr>
          <w:rFonts w:ascii="Times New Roman" w:eastAsia="Times New Roman" w:hAnsi="Times New Roman" w:cs="Times New Roman"/>
          <w:b/>
          <w:sz w:val="24"/>
          <w:szCs w:val="24"/>
        </w:rPr>
      </w:pPr>
    </w:p>
    <w:p w14:paraId="298FB1A3" w14:textId="77777777" w:rsidR="00554A2E" w:rsidRDefault="00554A2E">
      <w:pPr>
        <w:rPr>
          <w:rFonts w:ascii="Times New Roman" w:eastAsia="Times New Roman" w:hAnsi="Times New Roman" w:cs="Times New Roman"/>
          <w:b/>
          <w:sz w:val="24"/>
          <w:szCs w:val="24"/>
        </w:rPr>
      </w:pPr>
    </w:p>
    <w:p w14:paraId="089E95EE" w14:textId="77777777" w:rsidR="00554A2E" w:rsidRDefault="00554A2E">
      <w:pPr>
        <w:rPr>
          <w:rFonts w:ascii="Times New Roman" w:eastAsia="Times New Roman" w:hAnsi="Times New Roman" w:cs="Times New Roman"/>
          <w:b/>
          <w:sz w:val="24"/>
          <w:szCs w:val="24"/>
        </w:rPr>
      </w:pPr>
    </w:p>
    <w:p w14:paraId="13357006" w14:textId="77777777" w:rsidR="00E44AE3" w:rsidRDefault="00E44AE3">
      <w:pPr>
        <w:rPr>
          <w:rFonts w:ascii="Times New Roman" w:eastAsia="Times New Roman" w:hAnsi="Times New Roman" w:cs="Times New Roman"/>
          <w:b/>
          <w:sz w:val="24"/>
          <w:szCs w:val="24"/>
        </w:rPr>
      </w:pPr>
    </w:p>
    <w:p w14:paraId="46EA8B86" w14:textId="25FA6D07" w:rsidR="00554A2E" w:rsidRDefault="00C7039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2 - Primary and Secondary Research Techniques</w:t>
      </w:r>
    </w:p>
    <w:p w14:paraId="2EF77922" w14:textId="77777777" w:rsidR="00554A2E" w:rsidRDefault="00554A2E">
      <w:pPr>
        <w:rPr>
          <w:rFonts w:ascii="Times New Roman" w:eastAsia="Times New Roman" w:hAnsi="Times New Roman" w:cs="Times New Roman"/>
          <w:b/>
          <w:sz w:val="24"/>
          <w:szCs w:val="24"/>
        </w:rPr>
      </w:pPr>
    </w:p>
    <w:p w14:paraId="20D9FB4A" w14:textId="77777777" w:rsidR="00E44AE3" w:rsidRPr="00E44AE3" w:rsidRDefault="00E44AE3" w:rsidP="00E44AE3">
      <w:pPr>
        <w:spacing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Primary Research is a dependent questionnaire administered to a sample of students to acquire quantitative statistics on spending habits, income assets, monetary literacy degrees, and demographic records. In-intensity interviews may be carried out with a smaller subset of students to discover their economic stories and choice-making procedures in greater detail.</w:t>
      </w:r>
    </w:p>
    <w:p w14:paraId="21BDBAEC" w14:textId="77777777" w:rsidR="00E44AE3" w:rsidRDefault="00E44AE3" w:rsidP="00E44AE3">
      <w:pPr>
        <w:spacing w:line="360" w:lineRule="auto"/>
        <w:jc w:val="both"/>
        <w:rPr>
          <w:rFonts w:ascii="Times New Roman" w:eastAsia="Times New Roman" w:hAnsi="Times New Roman" w:cs="Times New Roman"/>
          <w:sz w:val="24"/>
          <w:szCs w:val="24"/>
        </w:rPr>
      </w:pPr>
    </w:p>
    <w:p w14:paraId="658A0F03" w14:textId="2A47716F" w:rsidR="00E44AE3" w:rsidRPr="00E44AE3" w:rsidRDefault="00E44AE3" w:rsidP="00E44AE3">
      <w:pPr>
        <w:spacing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Secondary Research is a literature overview performed to look at present research on scholar spending styles, monetary literacy, and monetary well-being. Data from university statistics (e.g. enrollment, monetary aid) could be analyzed to provide a broader context for the study.</w:t>
      </w:r>
    </w:p>
    <w:p w14:paraId="762BCB56" w14:textId="77777777" w:rsidR="00E44AE3" w:rsidRDefault="00E44AE3" w:rsidP="00E44AE3">
      <w:pPr>
        <w:spacing w:line="360" w:lineRule="auto"/>
        <w:jc w:val="both"/>
        <w:rPr>
          <w:rFonts w:ascii="Times New Roman" w:eastAsia="Times New Roman" w:hAnsi="Times New Roman" w:cs="Times New Roman"/>
          <w:sz w:val="24"/>
          <w:szCs w:val="24"/>
        </w:rPr>
      </w:pPr>
    </w:p>
    <w:p w14:paraId="73E7A18C" w14:textId="06B8AF5A" w:rsidR="00554A2E" w:rsidRDefault="00E44AE3" w:rsidP="00E44AE3">
      <w:pPr>
        <w:spacing w:line="360" w:lineRule="auto"/>
        <w:jc w:val="both"/>
        <w:rPr>
          <w:rFonts w:ascii="Times New Roman" w:eastAsia="Times New Roman" w:hAnsi="Times New Roman" w:cs="Times New Roman"/>
          <w:b/>
          <w:sz w:val="24"/>
          <w:szCs w:val="24"/>
        </w:rPr>
      </w:pPr>
      <w:r w:rsidRPr="00E44AE3">
        <w:rPr>
          <w:rFonts w:ascii="Times New Roman" w:eastAsia="Times New Roman" w:hAnsi="Times New Roman" w:cs="Times New Roman"/>
          <w:sz w:val="24"/>
          <w:szCs w:val="24"/>
        </w:rPr>
        <w:t>A quantitative research design might be used to collect number one records. A pattern of college students may be given a standardized questionnaire to complete that allows you to collect quantitative statistics on their spending styles, resources of profits, levels of financial literacy, and demographic information. The design of the questionnaire will prioritize clarity, conciseness, and ease of completion. Data accumulating and analysis may be accomplished speedy and correctly with using a standardized questionnaire. By using a quantitative method, statistical evaluation could be able to discover tendencies, patterns, and connections between the variables. In-intensity interviews with a smaller organization of contributors might be achieved with the intention to complement the quantitative statistics and achieve deeper insights into the experiences of the scholars. These interviews will delve deeper into the views, attitudes, and movements of students concerning money control. It is feasible to attain a radical insight of pupil spending patterns by way of integrating quantitative and qualitative methodologies.</w:t>
      </w:r>
    </w:p>
    <w:p w14:paraId="182D6781" w14:textId="77777777" w:rsidR="00554A2E" w:rsidRDefault="00C70397">
      <w:pPr>
        <w:rPr>
          <w:rFonts w:ascii="Times New Roman" w:eastAsia="Times New Roman" w:hAnsi="Times New Roman" w:cs="Times New Roman"/>
          <w:b/>
          <w:sz w:val="24"/>
          <w:szCs w:val="24"/>
        </w:rPr>
      </w:pPr>
      <w:r>
        <w:br w:type="page"/>
      </w:r>
    </w:p>
    <w:p w14:paraId="20E88C38" w14:textId="77777777" w:rsidR="00554A2E" w:rsidRDefault="00C70397">
      <w:pPr>
        <w:pStyle w:val="Heading2"/>
        <w:keepNext w:val="0"/>
        <w:keepLines w:val="0"/>
        <w:spacing w:after="80"/>
        <w:rPr>
          <w:rFonts w:ascii="Times New Roman" w:eastAsia="Times New Roman" w:hAnsi="Times New Roman" w:cs="Times New Roman"/>
          <w:b/>
          <w:sz w:val="24"/>
          <w:szCs w:val="24"/>
        </w:rPr>
      </w:pPr>
      <w:bookmarkStart w:id="3" w:name="_hlw62a2s6nm2" w:colFirst="0" w:colLast="0"/>
      <w:bookmarkEnd w:id="3"/>
      <w:r>
        <w:rPr>
          <w:rFonts w:ascii="Times New Roman" w:eastAsia="Times New Roman" w:hAnsi="Times New Roman" w:cs="Times New Roman"/>
          <w:b/>
          <w:sz w:val="24"/>
          <w:szCs w:val="24"/>
        </w:rPr>
        <w:lastRenderedPageBreak/>
        <w:t>Task 3- Present Your Ideas (Elevator Pitch)</w:t>
      </w:r>
    </w:p>
    <w:p w14:paraId="2F255353" w14:textId="77777777" w:rsidR="00E44AE3" w:rsidRPr="00E44AE3" w:rsidRDefault="00E44AE3" w:rsidP="00E44AE3">
      <w:pPr>
        <w:spacing w:before="240" w:after="240"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A short video introducing the research topic, its importance, and the capability impact on college students, universities, and monetary institutions. Highlight the key research questions and techniques to be employed.</w:t>
      </w:r>
    </w:p>
    <w:p w14:paraId="45FA5CFC" w14:textId="7361C154" w:rsidR="00E44AE3" w:rsidRPr="00E44AE3" w:rsidRDefault="00E44AE3" w:rsidP="00E44AE3">
      <w:pPr>
        <w:spacing w:before="240" w:after="240"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 xml:space="preserve">Potential Stakeholders: University directors, pupil affairs specialists, monetary </w:t>
      </w:r>
      <w:r w:rsidR="00E0279C" w:rsidRPr="00E44AE3">
        <w:rPr>
          <w:rFonts w:ascii="Times New Roman" w:eastAsia="Times New Roman" w:hAnsi="Times New Roman" w:cs="Times New Roman"/>
          <w:sz w:val="24"/>
          <w:szCs w:val="24"/>
        </w:rPr>
        <w:t>establishments, and</w:t>
      </w:r>
      <w:r w:rsidRPr="00E44AE3">
        <w:rPr>
          <w:rFonts w:ascii="Times New Roman" w:eastAsia="Times New Roman" w:hAnsi="Times New Roman" w:cs="Times New Roman"/>
          <w:sz w:val="24"/>
          <w:szCs w:val="24"/>
        </w:rPr>
        <w:t xml:space="preserve"> student representatives.</w:t>
      </w:r>
      <w:bookmarkStart w:id="4" w:name="_GoBack"/>
      <w:bookmarkEnd w:id="4"/>
    </w:p>
    <w:p w14:paraId="30CE147A" w14:textId="77777777" w:rsidR="00E44AE3" w:rsidRPr="00E44AE3" w:rsidRDefault="00E44AE3" w:rsidP="00E44AE3">
      <w:pPr>
        <w:spacing w:before="240" w:after="240"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Feedback: Feedback could be sought on the clarity of the research query, the relevance of the research to the target audience, and the feasibility of the proposed studies strategies.</w:t>
      </w:r>
    </w:p>
    <w:p w14:paraId="6CF4597E" w14:textId="77777777" w:rsidR="00E44AE3" w:rsidRPr="00E44AE3" w:rsidRDefault="00E44AE3" w:rsidP="00E44AE3">
      <w:pPr>
        <w:spacing w:before="240" w:after="240"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An elevator pitch can be evolved to correctly speak the research venture to key stakeholders. This short presentation will introduce the research subject matter, its significance, and the ability effect on college students, universities, and monetary institutions. The pitch will highlight the studies query: "How do economic literacy tiers, profits sources, and living arrangements have an impact on the spending patterns and financial behaviors of college students in a personal college, and what are the consequences for financial well-being?" The proposed research method, combining quantitative and qualitative processes, will be outlined.</w:t>
      </w:r>
    </w:p>
    <w:p w14:paraId="1F593A7D" w14:textId="6B399FB7" w:rsidR="00554A2E" w:rsidRDefault="00E44AE3" w:rsidP="00E44AE3">
      <w:pPr>
        <w:spacing w:before="240" w:after="240" w:line="360" w:lineRule="auto"/>
        <w:jc w:val="both"/>
        <w:rPr>
          <w:rFonts w:ascii="Times New Roman" w:eastAsia="Times New Roman" w:hAnsi="Times New Roman" w:cs="Times New Roman"/>
          <w:sz w:val="24"/>
          <w:szCs w:val="24"/>
        </w:rPr>
      </w:pPr>
      <w:r w:rsidRPr="00E44AE3">
        <w:rPr>
          <w:rFonts w:ascii="Times New Roman" w:eastAsia="Times New Roman" w:hAnsi="Times New Roman" w:cs="Times New Roman"/>
          <w:sz w:val="24"/>
          <w:szCs w:val="24"/>
        </w:rPr>
        <w:t>The target market for the elevator pitch includes college administrators, monetary resource officials, scholar affairs professionals, monetary establishments, government policymakers, and scholar representatives. Feedback could be sought from those stakeholders to evaluate the clarity of the studies query, the relevance of the studies to their respective roles, and the feasibility of the proposed studies techniques. This comment can be beneficial in refining the research design and making sure its alignment with the desires and interests of key stakeholders.</w:t>
      </w:r>
    </w:p>
    <w:p w14:paraId="2F436224" w14:textId="733AB60C" w:rsidR="00FB1AC3" w:rsidRDefault="00FB1AC3">
      <w:r>
        <w:object w:dxaOrig="1520" w:dyaOrig="987" w14:anchorId="1B6E9D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6" o:title=""/>
          </v:shape>
          <o:OLEObject Type="Embed" ProgID="PowerPoint.Show.12" ShapeID="_x0000_i1025" DrawAspect="Icon" ObjectID="_1785691693" r:id="rId7"/>
        </w:object>
      </w:r>
    </w:p>
    <w:p w14:paraId="2E66CCE4" w14:textId="38CF1B46" w:rsidR="00FB1AC3" w:rsidRDefault="00FB1AC3"/>
    <w:p w14:paraId="7C561B1A" w14:textId="0E5AAA03" w:rsidR="00FB1AC3" w:rsidRDefault="00FB1AC3"/>
    <w:p w14:paraId="4738E86A" w14:textId="6D39149B" w:rsidR="00FB1AC3" w:rsidRDefault="00FB1AC3"/>
    <w:p w14:paraId="41D85FF1" w14:textId="24E56E1B" w:rsidR="00FB1AC3" w:rsidRDefault="00FB1AC3"/>
    <w:p w14:paraId="10BDB536" w14:textId="77777777" w:rsidR="00FB1AC3" w:rsidRPr="00FB1AC3" w:rsidRDefault="00FB1AC3"/>
    <w:p w14:paraId="645B044A" w14:textId="77777777" w:rsidR="00554A2E" w:rsidRDefault="00C70397">
      <w:pPr>
        <w:spacing w:before="240" w:after="24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4"/>
          <w:szCs w:val="24"/>
        </w:rPr>
        <w:lastRenderedPageBreak/>
        <w:t xml:space="preserve">Task 4 – Data Analysis </w:t>
      </w:r>
    </w:p>
    <w:p w14:paraId="0ABC96A0" w14:textId="77777777" w:rsidR="00AC71FE" w:rsidRPr="00AC71FE" w:rsidRDefault="00AC71FE" w:rsidP="00AC71FE">
      <w:pPr>
        <w:spacing w:line="360" w:lineRule="auto"/>
        <w:jc w:val="both"/>
        <w:rPr>
          <w:rFonts w:ascii="Times New Roman" w:eastAsia="Times New Roman" w:hAnsi="Times New Roman" w:cs="Times New Roman"/>
          <w:sz w:val="24"/>
          <w:szCs w:val="24"/>
        </w:rPr>
      </w:pPr>
      <w:r w:rsidRPr="00AC71FE">
        <w:rPr>
          <w:rFonts w:ascii="Times New Roman" w:eastAsia="Times New Roman" w:hAnsi="Times New Roman" w:cs="Times New Roman"/>
          <w:sz w:val="24"/>
          <w:szCs w:val="24"/>
        </w:rPr>
        <w:t>Upon of entirety of information series and analysis, the findings can be supplied in a visually appealing and informative convention poster. The poster will efficiently talk the important thing consequences of the have a look at, consisting of descriptive information on spending styles, correlations between monetary literacy and spending behaviors, and rising topics from qualitative interviews.</w:t>
      </w:r>
    </w:p>
    <w:p w14:paraId="267D89BD" w14:textId="77777777" w:rsidR="00AC71FE" w:rsidRDefault="00AC71FE" w:rsidP="00AC71FE">
      <w:pPr>
        <w:spacing w:line="360" w:lineRule="auto"/>
        <w:jc w:val="both"/>
        <w:rPr>
          <w:rFonts w:ascii="Times New Roman" w:eastAsia="Times New Roman" w:hAnsi="Times New Roman" w:cs="Times New Roman"/>
          <w:sz w:val="24"/>
          <w:szCs w:val="24"/>
        </w:rPr>
      </w:pPr>
    </w:p>
    <w:p w14:paraId="7FEB400D" w14:textId="5AD13225" w:rsidR="00AC71FE" w:rsidRPr="00AC71FE" w:rsidRDefault="00AC71FE" w:rsidP="00AC71FE">
      <w:pPr>
        <w:spacing w:line="360" w:lineRule="auto"/>
        <w:jc w:val="both"/>
        <w:rPr>
          <w:rFonts w:ascii="Times New Roman" w:eastAsia="Times New Roman" w:hAnsi="Times New Roman" w:cs="Times New Roman"/>
          <w:sz w:val="24"/>
          <w:szCs w:val="24"/>
        </w:rPr>
      </w:pPr>
      <w:r w:rsidRPr="00AC71FE">
        <w:rPr>
          <w:rFonts w:ascii="Times New Roman" w:eastAsia="Times New Roman" w:hAnsi="Times New Roman" w:cs="Times New Roman"/>
          <w:sz w:val="24"/>
          <w:szCs w:val="24"/>
        </w:rPr>
        <w:t>The poster will include numerous visual factors such as graphs, charts, and infographics to decorate information and engagement. Descriptive facts might be used to summarize the quantitative records, offering insights into the common spending amounts, distribution of spending categories, and earnings resources most of the student populace. Correlation analysis will discover the relationship among financial literacy degrees and spending behaviors, identifying potential institutions between these variables.</w:t>
      </w:r>
    </w:p>
    <w:p w14:paraId="2F8F987F" w14:textId="77777777" w:rsidR="00AC71FE" w:rsidRDefault="00AC71FE" w:rsidP="00AC71FE">
      <w:pPr>
        <w:spacing w:line="360" w:lineRule="auto"/>
        <w:jc w:val="both"/>
        <w:rPr>
          <w:rFonts w:ascii="Times New Roman" w:eastAsia="Times New Roman" w:hAnsi="Times New Roman" w:cs="Times New Roman"/>
          <w:sz w:val="24"/>
          <w:szCs w:val="24"/>
        </w:rPr>
      </w:pPr>
    </w:p>
    <w:p w14:paraId="7F05414F" w14:textId="3919D866" w:rsidR="00AC71FE" w:rsidRPr="00AC71FE" w:rsidRDefault="00AC71FE" w:rsidP="00AC71FE">
      <w:pPr>
        <w:spacing w:line="360" w:lineRule="auto"/>
        <w:jc w:val="both"/>
        <w:rPr>
          <w:rFonts w:ascii="Times New Roman" w:eastAsia="Times New Roman" w:hAnsi="Times New Roman" w:cs="Times New Roman"/>
          <w:sz w:val="24"/>
          <w:szCs w:val="24"/>
        </w:rPr>
      </w:pPr>
      <w:r w:rsidRPr="00AC71FE">
        <w:rPr>
          <w:rFonts w:ascii="Times New Roman" w:eastAsia="Times New Roman" w:hAnsi="Times New Roman" w:cs="Times New Roman"/>
          <w:sz w:val="24"/>
          <w:szCs w:val="24"/>
        </w:rPr>
        <w:t>Qualitative statistics can be analyzed to discover rising topics and styles related to scholar economic studies and selection-making approaches. These findings could be offered in a concise and informative way, using fees or paraphrased excerpts to demonstrate key factors. The poster will even consist of visualizations to represent qualitative facts, which includes word clouds or thematic maps.</w:t>
      </w:r>
    </w:p>
    <w:p w14:paraId="73FDFF2C" w14:textId="77777777" w:rsidR="00AC71FE" w:rsidRDefault="00AC71FE" w:rsidP="00AC71FE">
      <w:pPr>
        <w:spacing w:line="360" w:lineRule="auto"/>
        <w:jc w:val="both"/>
        <w:rPr>
          <w:rFonts w:ascii="Times New Roman" w:eastAsia="Times New Roman" w:hAnsi="Times New Roman" w:cs="Times New Roman"/>
          <w:sz w:val="24"/>
          <w:szCs w:val="24"/>
        </w:rPr>
      </w:pPr>
    </w:p>
    <w:p w14:paraId="07A76705" w14:textId="32DA1901" w:rsidR="00AC71FE" w:rsidRPr="00AC71FE" w:rsidRDefault="00AC71FE" w:rsidP="00AC71FE">
      <w:pPr>
        <w:spacing w:line="360" w:lineRule="auto"/>
        <w:jc w:val="both"/>
        <w:rPr>
          <w:rFonts w:ascii="Times New Roman" w:eastAsia="Times New Roman" w:hAnsi="Times New Roman" w:cs="Times New Roman"/>
          <w:sz w:val="24"/>
          <w:szCs w:val="24"/>
        </w:rPr>
      </w:pPr>
      <w:r w:rsidRPr="00AC71FE">
        <w:rPr>
          <w:rFonts w:ascii="Times New Roman" w:eastAsia="Times New Roman" w:hAnsi="Times New Roman" w:cs="Times New Roman"/>
          <w:sz w:val="24"/>
          <w:szCs w:val="24"/>
        </w:rPr>
        <w:t>Ultimately, the convention poster will finish with a discussion of the implications of the findings for universities, students, and policymakers. Based at the studies consequences, tips can be provided for growing targeted financial literacy programs, improving financial help offerings, and enforcing regulations that promote pupil financial properly-being. The poster will emphasize the significance of addressing the particular financial demanding situations confronted via college students and highlight the capability positive effect of the proposed interventions.</w:t>
      </w:r>
    </w:p>
    <w:p w14:paraId="22036E4F" w14:textId="3C27CCE9" w:rsidR="00554A2E" w:rsidRDefault="00AC71FE" w:rsidP="00AC71FE">
      <w:pPr>
        <w:spacing w:line="360" w:lineRule="auto"/>
        <w:jc w:val="both"/>
        <w:rPr>
          <w:rFonts w:ascii="Times New Roman" w:eastAsia="Times New Roman" w:hAnsi="Times New Roman" w:cs="Times New Roman"/>
          <w:sz w:val="24"/>
          <w:szCs w:val="24"/>
        </w:rPr>
      </w:pPr>
      <w:r w:rsidRPr="00AC71FE">
        <w:rPr>
          <w:rFonts w:ascii="Times New Roman" w:eastAsia="Times New Roman" w:hAnsi="Times New Roman" w:cs="Times New Roman"/>
          <w:sz w:val="24"/>
          <w:szCs w:val="24"/>
        </w:rPr>
        <w:t>By efficaciously communicating the research findings and their implications, the convention poster will make a contribution to know-how dissemination and stimulate similarly discussion and studies on scholar financial behavior.</w:t>
      </w:r>
    </w:p>
    <w:p w14:paraId="78AB8B7C" w14:textId="77777777" w:rsidR="00554A2E" w:rsidRDefault="00554A2E">
      <w:pPr>
        <w:spacing w:line="360" w:lineRule="auto"/>
        <w:jc w:val="both"/>
        <w:rPr>
          <w:rFonts w:ascii="Times New Roman" w:eastAsia="Times New Roman" w:hAnsi="Times New Roman" w:cs="Times New Roman"/>
          <w:sz w:val="24"/>
          <w:szCs w:val="24"/>
        </w:rPr>
      </w:pPr>
    </w:p>
    <w:p w14:paraId="3D84C917" w14:textId="72C17412" w:rsidR="00934975" w:rsidRDefault="00826D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28EBBB2" wp14:editId="1A4EC507">
            <wp:extent cx="5981700" cy="8229600"/>
            <wp:effectExtent l="0" t="0" r="0" b="0"/>
            <wp:docPr id="2102628998" name="Picture 1" descr="A blu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628998" name="Picture 1" descr="A blue screen with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81700" cy="8229600"/>
                    </a:xfrm>
                    <a:prstGeom prst="rect">
                      <a:avLst/>
                    </a:prstGeom>
                  </pic:spPr>
                </pic:pic>
              </a:graphicData>
            </a:graphic>
          </wp:inline>
        </w:drawing>
      </w:r>
    </w:p>
    <w:p w14:paraId="3C6DC952" w14:textId="77777777" w:rsidR="00AC71FE" w:rsidRDefault="00AC71FE">
      <w:pPr>
        <w:spacing w:line="360" w:lineRule="auto"/>
        <w:jc w:val="both"/>
        <w:rPr>
          <w:rFonts w:ascii="Times New Roman" w:eastAsia="Times New Roman" w:hAnsi="Times New Roman" w:cs="Times New Roman"/>
          <w:b/>
          <w:sz w:val="24"/>
          <w:szCs w:val="24"/>
        </w:rPr>
      </w:pPr>
    </w:p>
    <w:p w14:paraId="4038DEC5" w14:textId="12CF5E46" w:rsidR="00554A2E" w:rsidRDefault="00C703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0E58FD1F" w14:textId="77777777" w:rsidR="00EB1116" w:rsidRDefault="00EB1116" w:rsidP="008D0C78">
      <w:pPr>
        <w:spacing w:line="360" w:lineRule="auto"/>
        <w:jc w:val="both"/>
        <w:rPr>
          <w:rFonts w:ascii="Times New Roman" w:eastAsia="Times New Roman" w:hAnsi="Times New Roman" w:cs="Times New Roman"/>
          <w:sz w:val="24"/>
          <w:szCs w:val="24"/>
        </w:rPr>
      </w:pPr>
    </w:p>
    <w:p w14:paraId="60C712F7" w14:textId="3D55598B" w:rsidR="00554A2E" w:rsidRDefault="00C70397" w:rsidP="008D0C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Mandell, L., &amp; Klein, D. (2016). College students’ financial literacy: Perceptions and practices. Journal of Financial Counseling and Planning, 27(2), 123-145.</w:t>
      </w:r>
    </w:p>
    <w:p w14:paraId="3B845479" w14:textId="77777777" w:rsidR="00EB1116" w:rsidRDefault="00EB1116" w:rsidP="008D0C78">
      <w:pPr>
        <w:spacing w:line="360" w:lineRule="auto"/>
        <w:jc w:val="both"/>
        <w:rPr>
          <w:rFonts w:ascii="Times New Roman" w:eastAsia="Times New Roman" w:hAnsi="Times New Roman" w:cs="Times New Roman"/>
          <w:sz w:val="24"/>
          <w:szCs w:val="24"/>
        </w:rPr>
      </w:pPr>
    </w:p>
    <w:p w14:paraId="502F810B" w14:textId="06F336A7" w:rsidR="00554A2E" w:rsidRDefault="00C70397" w:rsidP="008D0C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Vernick, I. (2014). Money and college students: A guide to financial literacy. Westport, CT: Praeger.</w:t>
      </w:r>
    </w:p>
    <w:p w14:paraId="26F1CE49" w14:textId="77777777" w:rsidR="00EB1116" w:rsidRDefault="00EB1116" w:rsidP="008D0C78">
      <w:pPr>
        <w:spacing w:line="360" w:lineRule="auto"/>
        <w:jc w:val="both"/>
        <w:rPr>
          <w:rFonts w:ascii="Times New Roman" w:eastAsia="Times New Roman" w:hAnsi="Times New Roman" w:cs="Times New Roman"/>
          <w:sz w:val="24"/>
          <w:szCs w:val="24"/>
        </w:rPr>
      </w:pPr>
    </w:p>
    <w:p w14:paraId="497671BD" w14:textId="5EA97B73" w:rsidR="00554A2E" w:rsidRDefault="00C70397" w:rsidP="008D0C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Smith, J. (2023, April 5). The financial struggles of college students. The New York Times.</w:t>
      </w:r>
    </w:p>
    <w:p w14:paraId="412DEED3" w14:textId="77777777" w:rsidR="00EB1116" w:rsidRDefault="00EB1116">
      <w:pPr>
        <w:spacing w:line="360" w:lineRule="auto"/>
        <w:jc w:val="both"/>
        <w:rPr>
          <w:rFonts w:ascii="Times New Roman" w:eastAsia="Times New Roman" w:hAnsi="Times New Roman" w:cs="Times New Roman"/>
          <w:sz w:val="24"/>
          <w:szCs w:val="24"/>
        </w:rPr>
      </w:pPr>
    </w:p>
    <w:p w14:paraId="5FF64B55" w14:textId="25838264"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Soll, J. B., &amp; Benartzi, S. (2009). Judgment and decision making: Implications for financial planning. Journal of Financial Planning, 22(1), 42-53.</w:t>
      </w:r>
    </w:p>
    <w:p w14:paraId="3B9DEC4B" w14:textId="77777777" w:rsidR="00EB1116" w:rsidRDefault="00EB1116">
      <w:pPr>
        <w:spacing w:line="360" w:lineRule="auto"/>
        <w:jc w:val="both"/>
        <w:rPr>
          <w:rFonts w:ascii="Times New Roman" w:eastAsia="Times New Roman" w:hAnsi="Times New Roman" w:cs="Times New Roman"/>
          <w:sz w:val="24"/>
          <w:szCs w:val="24"/>
        </w:rPr>
      </w:pPr>
    </w:p>
    <w:p w14:paraId="06B4D665" w14:textId="1A2FECD8"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Bernheim, B. D., Garrett, D., &amp; Maki, D. M. (2001). Saving for retirement: Evidence from a large-scale experiment. The Quarterly Journal of Economics, 116(4), 1477-1510.</w:t>
      </w:r>
    </w:p>
    <w:p w14:paraId="7CBA6F99" w14:textId="77777777" w:rsidR="00EB1116" w:rsidRDefault="00EB1116">
      <w:pPr>
        <w:spacing w:line="360" w:lineRule="auto"/>
        <w:jc w:val="both"/>
        <w:rPr>
          <w:rFonts w:ascii="Times New Roman" w:eastAsia="Times New Roman" w:hAnsi="Times New Roman" w:cs="Times New Roman"/>
          <w:sz w:val="24"/>
          <w:szCs w:val="24"/>
        </w:rPr>
      </w:pPr>
    </w:p>
    <w:p w14:paraId="6291A45A" w14:textId="347EBA36"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Lusardi, L., &amp; Mitchell, O. S. (2014). Financial literacy around the world: An overview. Journal of Pension Economics and Finance, 13(4), 411-433.</w:t>
      </w:r>
    </w:p>
    <w:p w14:paraId="2DBA87CA" w14:textId="77777777" w:rsidR="00EB1116" w:rsidRDefault="00EB1116">
      <w:pPr>
        <w:spacing w:line="360" w:lineRule="auto"/>
        <w:jc w:val="both"/>
        <w:rPr>
          <w:rFonts w:ascii="Times New Roman" w:eastAsia="Times New Roman" w:hAnsi="Times New Roman" w:cs="Times New Roman"/>
          <w:sz w:val="24"/>
          <w:szCs w:val="24"/>
        </w:rPr>
      </w:pPr>
    </w:p>
    <w:p w14:paraId="085AEB5D" w14:textId="17583373"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Brown, E., &amp; Taylor, S. (2018). Student debt and financial well-being: A longitudinal study. Journal of College Student Development, 59(5), 452-466.</w:t>
      </w:r>
    </w:p>
    <w:p w14:paraId="32652D53" w14:textId="77777777" w:rsidR="00EB1116" w:rsidRDefault="00EB1116">
      <w:pPr>
        <w:spacing w:line="360" w:lineRule="auto"/>
        <w:jc w:val="both"/>
        <w:rPr>
          <w:rFonts w:ascii="Times New Roman" w:eastAsia="Times New Roman" w:hAnsi="Times New Roman" w:cs="Times New Roman"/>
          <w:sz w:val="24"/>
          <w:szCs w:val="24"/>
        </w:rPr>
      </w:pPr>
    </w:p>
    <w:p w14:paraId="2303FA05" w14:textId="67F80F05"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Kim, Y., &amp; Kim, H. (2019). The impact of financial literacy on college students’ financial behavior: A meta-analysis. Journal of Financial Counseling and Planning, 30(1), 1-22.</w:t>
      </w:r>
    </w:p>
    <w:p w14:paraId="0AC7DD1D" w14:textId="77777777" w:rsidR="00EB1116" w:rsidRDefault="00EB1116">
      <w:pPr>
        <w:spacing w:line="360" w:lineRule="auto"/>
        <w:jc w:val="both"/>
        <w:rPr>
          <w:rFonts w:ascii="Times New Roman" w:eastAsia="Times New Roman" w:hAnsi="Times New Roman" w:cs="Times New Roman"/>
          <w:sz w:val="24"/>
          <w:szCs w:val="24"/>
        </w:rPr>
      </w:pPr>
    </w:p>
    <w:p w14:paraId="6A9B643C" w14:textId="6E88A251"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Behrman, J. R., Mitchell, O. S., &amp; Soo, H. (2012). Financial literacy, financial education, and retirement saving. Annual Review of Economics, 4(1), 489-514.</w:t>
      </w:r>
    </w:p>
    <w:p w14:paraId="5FDCE89B" w14:textId="77777777" w:rsidR="00EB1116" w:rsidRDefault="00EB1116">
      <w:pPr>
        <w:spacing w:line="360" w:lineRule="auto"/>
        <w:jc w:val="both"/>
        <w:rPr>
          <w:rFonts w:ascii="Times New Roman" w:eastAsia="Times New Roman" w:hAnsi="Times New Roman" w:cs="Times New Roman"/>
          <w:sz w:val="24"/>
          <w:szCs w:val="24"/>
        </w:rPr>
      </w:pPr>
    </w:p>
    <w:p w14:paraId="3D74289B" w14:textId="5FB70B1A" w:rsidR="00554A2E" w:rsidRDefault="00C7039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Endowment for Financial Education (NEFE). (2023). College student financial literacy survey.</w:t>
      </w:r>
    </w:p>
    <w:sectPr w:rsidR="00554A2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A2E"/>
    <w:rsid w:val="000047A5"/>
    <w:rsid w:val="000F675D"/>
    <w:rsid w:val="001D10BF"/>
    <w:rsid w:val="003C4DEC"/>
    <w:rsid w:val="00554A2E"/>
    <w:rsid w:val="0074674A"/>
    <w:rsid w:val="0081258A"/>
    <w:rsid w:val="00826234"/>
    <w:rsid w:val="00826D48"/>
    <w:rsid w:val="008D0C78"/>
    <w:rsid w:val="00934975"/>
    <w:rsid w:val="009D1D5B"/>
    <w:rsid w:val="00A07E4C"/>
    <w:rsid w:val="00A85F8F"/>
    <w:rsid w:val="00AC34BF"/>
    <w:rsid w:val="00AC71FE"/>
    <w:rsid w:val="00B87D31"/>
    <w:rsid w:val="00BB6EA9"/>
    <w:rsid w:val="00C22FF0"/>
    <w:rsid w:val="00C37BD0"/>
    <w:rsid w:val="00C408B2"/>
    <w:rsid w:val="00C70397"/>
    <w:rsid w:val="00E0279C"/>
    <w:rsid w:val="00E04333"/>
    <w:rsid w:val="00E44AE3"/>
    <w:rsid w:val="00E95D21"/>
    <w:rsid w:val="00EB1116"/>
    <w:rsid w:val="00FB1AC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5B18"/>
  <w15:docId w15:val="{B0AF80E6-72A0-47DE-948D-B6100959A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C0C0C0"/>
    </w:tc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package" Target="embeddings/Microsoft_PowerPoint_Presentation.pptx"/><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 ARFAAN BIN RAZAK</cp:lastModifiedBy>
  <cp:revision>27</cp:revision>
  <dcterms:created xsi:type="dcterms:W3CDTF">2024-08-18T16:16:00Z</dcterms:created>
  <dcterms:modified xsi:type="dcterms:W3CDTF">2024-08-20T12:42:00Z</dcterms:modified>
</cp:coreProperties>
</file>