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A759F" w14:textId="77777777" w:rsidR="00086A57" w:rsidRPr="00CE7E12" w:rsidRDefault="00086A57" w:rsidP="00086A57">
      <w:pPr>
        <w:pStyle w:val="Heading1"/>
        <w:rPr>
          <w:color w:val="ED5198"/>
        </w:rPr>
      </w:pPr>
      <w:r w:rsidRPr="00CE7E12">
        <w:rPr>
          <w:color w:val="ED5198"/>
        </w:rPr>
        <w:t xml:space="preserve">Task 2: Research Proposal  </w:t>
      </w:r>
    </w:p>
    <w:p w14:paraId="34FF3BF0" w14:textId="77777777" w:rsidR="00086A57" w:rsidRPr="00B61956" w:rsidRDefault="00086A57" w:rsidP="00086A57">
      <w:pPr>
        <w:rPr>
          <w:rFonts w:cstheme="minorHAnsi"/>
        </w:rPr>
      </w:pPr>
      <w:bookmarkStart w:id="0" w:name="_Toc303070346"/>
    </w:p>
    <w:p w14:paraId="3EAB4499" w14:textId="77777777" w:rsidR="00086A57" w:rsidRPr="00B61956" w:rsidRDefault="00086A57" w:rsidP="00086A57">
      <w:pPr>
        <w:jc w:val="center"/>
        <w:rPr>
          <w:rFonts w:cstheme="minorHAnsi"/>
        </w:rPr>
      </w:pPr>
      <w:r w:rsidRPr="00B61956">
        <w:rPr>
          <w:rFonts w:cstheme="minorHAnsi"/>
          <w:noProof/>
        </w:rPr>
        <w:drawing>
          <wp:inline distT="0" distB="0" distL="0" distR="0" wp14:anchorId="18DA931D" wp14:editId="144A8CA4">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4B737653" w14:textId="77777777" w:rsidR="00086A57" w:rsidRDefault="00086A57" w:rsidP="00086A57">
      <w:pPr>
        <w:jc w:val="center"/>
        <w:rPr>
          <w:rFonts w:cstheme="minorHAnsi"/>
        </w:rPr>
      </w:pPr>
    </w:p>
    <w:tbl>
      <w:tblPr>
        <w:tblStyle w:val="TableGrid"/>
        <w:tblW w:w="0" w:type="auto"/>
        <w:tblLook w:val="04A0" w:firstRow="1" w:lastRow="0" w:firstColumn="1" w:lastColumn="0" w:noHBand="0" w:noVBand="1"/>
      </w:tblPr>
      <w:tblGrid>
        <w:gridCol w:w="9016"/>
      </w:tblGrid>
      <w:tr w:rsidR="00086A57" w14:paraId="1A26C26E" w14:textId="77777777" w:rsidTr="007C7B2F">
        <w:tc>
          <w:tcPr>
            <w:tcW w:w="9350" w:type="dxa"/>
            <w:shd w:val="clear" w:color="auto" w:fill="E7E6E6" w:themeFill="background2"/>
          </w:tcPr>
          <w:p w14:paraId="278F38B4" w14:textId="77777777" w:rsidR="00086A57" w:rsidRPr="00946F49" w:rsidRDefault="00086A57" w:rsidP="007C7B2F">
            <w:pPr>
              <w:jc w:val="center"/>
              <w:rPr>
                <w:rFonts w:cs="Arial"/>
                <w:b/>
                <w:szCs w:val="24"/>
              </w:rPr>
            </w:pPr>
          </w:p>
          <w:p w14:paraId="3C7F101B" w14:textId="77777777" w:rsidR="00086A57" w:rsidRPr="00946F49" w:rsidRDefault="00086A57" w:rsidP="007C7B2F">
            <w:pPr>
              <w:jc w:val="center"/>
              <w:rPr>
                <w:rFonts w:cs="Arial"/>
                <w:b/>
                <w:szCs w:val="24"/>
              </w:rPr>
            </w:pPr>
            <w:r w:rsidRPr="00946F49">
              <w:rPr>
                <w:rFonts w:cs="Arial"/>
                <w:b/>
                <w:szCs w:val="24"/>
              </w:rPr>
              <w:t>UNDERGRADUATE DISSERTATION</w:t>
            </w:r>
          </w:p>
          <w:p w14:paraId="7199B6EB" w14:textId="77777777" w:rsidR="00086A57" w:rsidRPr="00946F49" w:rsidRDefault="00086A57" w:rsidP="007C7B2F">
            <w:pPr>
              <w:jc w:val="center"/>
              <w:rPr>
                <w:rFonts w:cs="Arial"/>
                <w:b/>
                <w:bCs/>
                <w:szCs w:val="24"/>
              </w:rPr>
            </w:pPr>
            <w:r w:rsidRPr="00946F49">
              <w:rPr>
                <w:rFonts w:cs="Arial"/>
                <w:b/>
                <w:bCs/>
                <w:szCs w:val="24"/>
              </w:rPr>
              <w:t>RESEARCH PROPOSAL FORM</w:t>
            </w:r>
          </w:p>
          <w:p w14:paraId="310B50C7" w14:textId="77777777" w:rsidR="00086A57" w:rsidRDefault="00086A57" w:rsidP="007C7B2F">
            <w:pPr>
              <w:jc w:val="center"/>
              <w:rPr>
                <w:rFonts w:asciiTheme="minorHAnsi" w:hAnsiTheme="minorHAnsi" w:cstheme="minorHAnsi"/>
                <w:sz w:val="22"/>
                <w:szCs w:val="22"/>
              </w:rPr>
            </w:pPr>
          </w:p>
        </w:tc>
      </w:tr>
    </w:tbl>
    <w:p w14:paraId="5BFDAB29" w14:textId="77777777" w:rsidR="00086A57" w:rsidRPr="00B61956" w:rsidRDefault="00086A57" w:rsidP="00086A57">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73"/>
        <w:gridCol w:w="3168"/>
      </w:tblGrid>
      <w:tr w:rsidR="00086A57" w:rsidRPr="00B61956" w14:paraId="480B0C9F" w14:textId="77777777" w:rsidTr="007C7B2F">
        <w:trPr>
          <w:trHeight w:val="518"/>
        </w:trPr>
        <w:tc>
          <w:tcPr>
            <w:tcW w:w="6973" w:type="dxa"/>
            <w:tcMar>
              <w:top w:w="0" w:type="dxa"/>
              <w:left w:w="108" w:type="dxa"/>
              <w:bottom w:w="0" w:type="dxa"/>
              <w:right w:w="108" w:type="dxa"/>
            </w:tcMar>
          </w:tcPr>
          <w:p w14:paraId="2D9C1C63" w14:textId="77777777" w:rsidR="00086A57" w:rsidRDefault="00086A57" w:rsidP="007C7B2F">
            <w:pPr>
              <w:pStyle w:val="BodyText"/>
              <w:jc w:val="both"/>
              <w:rPr>
                <w:rFonts w:cs="Arial"/>
                <w:b/>
                <w:bCs/>
                <w:sz w:val="22"/>
                <w:szCs w:val="22"/>
              </w:rPr>
            </w:pPr>
            <w:r w:rsidRPr="00D012E7">
              <w:rPr>
                <w:rFonts w:cs="Arial"/>
                <w:b/>
                <w:bCs/>
                <w:sz w:val="22"/>
                <w:szCs w:val="22"/>
              </w:rPr>
              <w:t xml:space="preserve">NAME: </w:t>
            </w:r>
            <w:r>
              <w:rPr>
                <w:rFonts w:cs="Arial"/>
                <w:b/>
                <w:bCs/>
                <w:sz w:val="22"/>
                <w:szCs w:val="22"/>
              </w:rPr>
              <w:t xml:space="preserve">Sienna Lily Davies </w:t>
            </w:r>
          </w:p>
          <w:p w14:paraId="58F9C94C" w14:textId="77777777" w:rsidR="00086A57" w:rsidRPr="00D012E7" w:rsidRDefault="00086A57" w:rsidP="007C7B2F">
            <w:pPr>
              <w:pStyle w:val="BodyText"/>
              <w:jc w:val="both"/>
              <w:rPr>
                <w:rFonts w:cs="Arial"/>
                <w:b/>
                <w:bCs/>
                <w:sz w:val="22"/>
                <w:szCs w:val="22"/>
              </w:rPr>
            </w:pPr>
          </w:p>
        </w:tc>
        <w:tc>
          <w:tcPr>
            <w:tcW w:w="3167" w:type="dxa"/>
          </w:tcPr>
          <w:p w14:paraId="01AC3F75" w14:textId="77777777" w:rsidR="00086A57" w:rsidRPr="00946F49" w:rsidRDefault="00086A57" w:rsidP="007C7B2F">
            <w:pPr>
              <w:jc w:val="both"/>
              <w:rPr>
                <w:rFonts w:cs="Arial"/>
              </w:rPr>
            </w:pPr>
            <w:r w:rsidRPr="00B61956">
              <w:rPr>
                <w:rFonts w:cstheme="minorHAnsi"/>
                <w:b/>
                <w:bCs/>
              </w:rPr>
              <w:t xml:space="preserve"> </w:t>
            </w:r>
            <w:r w:rsidRPr="00946F49">
              <w:rPr>
                <w:rFonts w:cs="Arial"/>
                <w:b/>
                <w:bCs/>
              </w:rPr>
              <w:t xml:space="preserve">ID No.: </w:t>
            </w:r>
            <w:r>
              <w:rPr>
                <w:rFonts w:cs="Arial"/>
                <w:b/>
                <w:bCs/>
              </w:rPr>
              <w:t>2404042</w:t>
            </w:r>
          </w:p>
        </w:tc>
      </w:tr>
      <w:tr w:rsidR="00086A57" w:rsidRPr="00B61956" w14:paraId="1CEE8771" w14:textId="77777777" w:rsidTr="007C7B2F">
        <w:trPr>
          <w:trHeight w:val="2288"/>
        </w:trPr>
        <w:tc>
          <w:tcPr>
            <w:tcW w:w="10141" w:type="dxa"/>
            <w:gridSpan w:val="2"/>
            <w:shd w:val="clear" w:color="auto" w:fill="FFFFFF"/>
            <w:tcMar>
              <w:top w:w="0" w:type="dxa"/>
              <w:left w:w="108" w:type="dxa"/>
              <w:bottom w:w="0" w:type="dxa"/>
              <w:right w:w="108" w:type="dxa"/>
            </w:tcMar>
          </w:tcPr>
          <w:p w14:paraId="6AF0148A" w14:textId="77777777" w:rsidR="00086A57" w:rsidRPr="00D012E7" w:rsidRDefault="00086A57" w:rsidP="007C7B2F">
            <w:pPr>
              <w:jc w:val="both"/>
              <w:rPr>
                <w:rFonts w:cs="Arial"/>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How persuasive is forensic evidence in the courtroom in Egland and Wales?</w:t>
            </w:r>
          </w:p>
          <w:p w14:paraId="1750EEBE" w14:textId="77777777" w:rsidR="00086A57" w:rsidRPr="00B3336E" w:rsidRDefault="00086A57" w:rsidP="007C7B2F">
            <w:pPr>
              <w:jc w:val="both"/>
              <w:rPr>
                <w:rFonts w:cs="Arial"/>
                <w:i/>
                <w:iCs/>
                <w:highlight w:val="yellow"/>
              </w:rPr>
            </w:pPr>
            <w:r w:rsidRPr="00B3336E">
              <w:rPr>
                <w:rFonts w:cs="Arial"/>
                <w:i/>
                <w:iCs/>
              </w:rPr>
              <w:t xml:space="preserve">Why this topic?  Why is it worthy of consideration for an undergraduate dissertation? </w:t>
            </w:r>
          </w:p>
          <w:p w14:paraId="16E3A533" w14:textId="0F0E950D" w:rsidR="00086A57" w:rsidRPr="00F412B1" w:rsidRDefault="00851995" w:rsidP="007C7B2F">
            <w:pPr>
              <w:tabs>
                <w:tab w:val="left" w:pos="1860"/>
              </w:tabs>
              <w:spacing w:line="360" w:lineRule="auto"/>
              <w:jc w:val="both"/>
              <w:rPr>
                <w:rFonts w:ascii="Arial" w:hAnsi="Arial" w:cs="Arial"/>
                <w:sz w:val="24"/>
                <w:szCs w:val="24"/>
              </w:rPr>
            </w:pPr>
            <w:r>
              <w:rPr>
                <w:rFonts w:ascii="Arial" w:hAnsi="Arial" w:cs="Arial"/>
                <w:sz w:val="24"/>
                <w:szCs w:val="24"/>
              </w:rPr>
              <w:t xml:space="preserve">This topic has been </w:t>
            </w:r>
            <w:r w:rsidR="00086A57" w:rsidRPr="00F412B1">
              <w:rPr>
                <w:rFonts w:ascii="Arial" w:hAnsi="Arial" w:cs="Arial"/>
                <w:sz w:val="24"/>
                <w:szCs w:val="24"/>
              </w:rPr>
              <w:t xml:space="preserve">chosen this topic in hopes to accumulate a plethora of research to result in a deeper understanding of the types of forensic evidence such as DNA, fingerprints and digital forensics. A deep understanding and examination </w:t>
            </w:r>
            <w:proofErr w:type="gramStart"/>
            <w:r w:rsidR="00086A57" w:rsidRPr="00F412B1">
              <w:rPr>
                <w:rFonts w:ascii="Arial" w:hAnsi="Arial" w:cs="Arial"/>
                <w:sz w:val="24"/>
                <w:szCs w:val="24"/>
              </w:rPr>
              <w:t>is</w:t>
            </w:r>
            <w:proofErr w:type="gramEnd"/>
            <w:r w:rsidR="00086A57" w:rsidRPr="00F412B1">
              <w:rPr>
                <w:rFonts w:ascii="Arial" w:hAnsi="Arial" w:cs="Arial"/>
                <w:sz w:val="24"/>
                <w:szCs w:val="24"/>
              </w:rPr>
              <w:t xml:space="preserve"> worthy of consideration because forensic evidence plays a critical part in criminal justice and so needs to be held accountable to fairness and transparency. Therefore, this research is important to provide the public with confidence in the criminal justice system and it is necessary for those working in or going through the system because forensic evidence holds such power for both prosecution and defence. If it is found that forensic evidence is misunderstood or overvalued then this could affect trust and certainty in decided verdicts. Furthermore, there have been cases where forensic evidence faults have led to wrongful convictions and so this study is able to contribute to the academic debates and the discussion that is evidence reliability and evidentiary power imbalance.</w:t>
            </w:r>
          </w:p>
          <w:p w14:paraId="36455584" w14:textId="77777777" w:rsidR="00086A57" w:rsidRPr="00D012E7" w:rsidRDefault="00086A57" w:rsidP="007C7B2F">
            <w:pPr>
              <w:tabs>
                <w:tab w:val="left" w:pos="1860"/>
              </w:tabs>
              <w:jc w:val="both"/>
              <w:rPr>
                <w:rFonts w:cs="Arial"/>
              </w:rPr>
            </w:pPr>
          </w:p>
        </w:tc>
      </w:tr>
      <w:tr w:rsidR="00086A57" w:rsidRPr="00B61956" w14:paraId="4A4B4D5C" w14:textId="77777777" w:rsidTr="007C7B2F">
        <w:trPr>
          <w:trHeight w:val="2426"/>
        </w:trPr>
        <w:tc>
          <w:tcPr>
            <w:tcW w:w="10141" w:type="dxa"/>
            <w:gridSpan w:val="2"/>
            <w:tcMar>
              <w:top w:w="0" w:type="dxa"/>
              <w:left w:w="108" w:type="dxa"/>
              <w:bottom w:w="0" w:type="dxa"/>
              <w:right w:w="108" w:type="dxa"/>
            </w:tcMar>
          </w:tcPr>
          <w:p w14:paraId="05CEAF67" w14:textId="77777777" w:rsidR="00086A57" w:rsidRPr="00D012E7" w:rsidRDefault="00086A57" w:rsidP="007C7B2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652BC27B" w14:textId="77777777" w:rsidR="00086A57" w:rsidRDefault="00086A57" w:rsidP="007C7B2F">
            <w:pPr>
              <w:rPr>
                <w:rFonts w:cs="Arial"/>
                <w:i/>
                <w:iCs/>
              </w:rPr>
            </w:pPr>
            <w:r w:rsidRPr="00B3336E">
              <w:rPr>
                <w:rFonts w:cs="Arial"/>
                <w:i/>
                <w:iCs/>
              </w:rPr>
              <w:t xml:space="preserve">Here, you are required to clarify the information you want to collect on your research topic in the form of two, three or four key objectives: </w:t>
            </w:r>
          </w:p>
          <w:p w14:paraId="5AD0CE23" w14:textId="77777777" w:rsidR="00086A57" w:rsidRPr="00B3336E" w:rsidRDefault="00086A57" w:rsidP="007C7B2F">
            <w:pPr>
              <w:rPr>
                <w:rFonts w:cs="Arial"/>
                <w:i/>
                <w:iCs/>
              </w:rPr>
            </w:pPr>
          </w:p>
          <w:p w14:paraId="1780EC4F" w14:textId="12177F5E" w:rsidR="00086A57" w:rsidRPr="006E4D28" w:rsidRDefault="00086A57" w:rsidP="007C7B2F">
            <w:pPr>
              <w:spacing w:line="360" w:lineRule="auto"/>
              <w:jc w:val="both"/>
              <w:rPr>
                <w:rFonts w:ascii="Arial" w:hAnsi="Arial" w:cs="Arial"/>
                <w:sz w:val="24"/>
                <w:szCs w:val="24"/>
              </w:rPr>
            </w:pPr>
            <w:r w:rsidRPr="006E4D28">
              <w:rPr>
                <w:rFonts w:ascii="Arial" w:hAnsi="Arial" w:cs="Arial"/>
                <w:sz w:val="24"/>
                <w:szCs w:val="24"/>
              </w:rPr>
              <w:lastRenderedPageBreak/>
              <w:t xml:space="preserve">Aim: The aim of this study is to examine which type of evidence is the most influential in securing a </w:t>
            </w:r>
            <w:r w:rsidR="00851995">
              <w:rPr>
                <w:rFonts w:ascii="Arial" w:hAnsi="Arial" w:cs="Arial"/>
                <w:sz w:val="24"/>
                <w:szCs w:val="24"/>
              </w:rPr>
              <w:t xml:space="preserve">criminal </w:t>
            </w:r>
            <w:r w:rsidRPr="006E4D28">
              <w:rPr>
                <w:rFonts w:ascii="Arial" w:hAnsi="Arial" w:cs="Arial"/>
                <w:sz w:val="24"/>
                <w:szCs w:val="24"/>
              </w:rPr>
              <w:t>conviction. Moreover, a critical element of this study is to assess how the different types of evidence are perceived and weighted within the prosecution of a suspect and the decision-making process by the jury. </w:t>
            </w:r>
          </w:p>
          <w:p w14:paraId="47F65323" w14:textId="77777777" w:rsidR="00086A57" w:rsidRPr="006E4D28" w:rsidRDefault="00086A57" w:rsidP="007C7B2F">
            <w:pPr>
              <w:spacing w:line="360" w:lineRule="auto"/>
              <w:jc w:val="both"/>
              <w:rPr>
                <w:rFonts w:ascii="Arial" w:hAnsi="Arial" w:cs="Arial"/>
                <w:sz w:val="24"/>
                <w:szCs w:val="24"/>
              </w:rPr>
            </w:pPr>
          </w:p>
          <w:p w14:paraId="4FE047A5" w14:textId="4CC50BAB" w:rsidR="00086A57" w:rsidRPr="006E4D28" w:rsidRDefault="00086A57" w:rsidP="007C7B2F">
            <w:pPr>
              <w:spacing w:line="360" w:lineRule="auto"/>
              <w:jc w:val="both"/>
              <w:rPr>
                <w:rFonts w:ascii="Arial" w:hAnsi="Arial" w:cs="Arial"/>
                <w:sz w:val="24"/>
                <w:szCs w:val="24"/>
              </w:rPr>
            </w:pPr>
            <w:r w:rsidRPr="006E4D28">
              <w:rPr>
                <w:rFonts w:ascii="Arial" w:hAnsi="Arial" w:cs="Arial"/>
                <w:sz w:val="24"/>
                <w:szCs w:val="24"/>
              </w:rPr>
              <w:t xml:space="preserve">Objective 1: To </w:t>
            </w:r>
            <w:r w:rsidR="00851995">
              <w:rPr>
                <w:rFonts w:ascii="Arial" w:hAnsi="Arial" w:cs="Arial"/>
                <w:sz w:val="24"/>
                <w:szCs w:val="24"/>
              </w:rPr>
              <w:t>explore how DNA, fingerprints and digital forensic evide</w:t>
            </w:r>
            <w:r w:rsidR="00A811FB">
              <w:rPr>
                <w:rFonts w:ascii="Arial" w:hAnsi="Arial" w:cs="Arial"/>
                <w:sz w:val="24"/>
                <w:szCs w:val="24"/>
              </w:rPr>
              <w:t xml:space="preserve">nce is collected, stored and analysed. </w:t>
            </w:r>
          </w:p>
          <w:p w14:paraId="6A296E4A" w14:textId="77777777" w:rsidR="00086A57" w:rsidRPr="006E4D28" w:rsidRDefault="00086A57" w:rsidP="007C7B2F">
            <w:pPr>
              <w:spacing w:line="360" w:lineRule="auto"/>
              <w:jc w:val="both"/>
              <w:rPr>
                <w:rFonts w:ascii="Arial" w:hAnsi="Arial" w:cs="Arial"/>
                <w:sz w:val="24"/>
                <w:szCs w:val="24"/>
              </w:rPr>
            </w:pPr>
          </w:p>
          <w:p w14:paraId="5278F58F" w14:textId="77777777" w:rsidR="00086A57" w:rsidRPr="006E4D28" w:rsidRDefault="00086A57" w:rsidP="007C7B2F">
            <w:pPr>
              <w:spacing w:line="360" w:lineRule="auto"/>
              <w:jc w:val="both"/>
              <w:rPr>
                <w:rFonts w:ascii="Arial" w:hAnsi="Arial" w:cs="Arial"/>
                <w:sz w:val="24"/>
                <w:szCs w:val="24"/>
              </w:rPr>
            </w:pPr>
            <w:r w:rsidRPr="006E4D28">
              <w:rPr>
                <w:rFonts w:ascii="Arial" w:hAnsi="Arial" w:cs="Arial"/>
                <w:sz w:val="24"/>
                <w:szCs w:val="24"/>
              </w:rPr>
              <w:t>Objective 2: To provide the link between forensic evidence and conviction by examining the role of forensic evidence in criminal trials and the impact and influence it has on members of the jury.</w:t>
            </w:r>
          </w:p>
          <w:p w14:paraId="05713F47" w14:textId="77777777" w:rsidR="00086A57" w:rsidRPr="006E4D28" w:rsidRDefault="00086A57" w:rsidP="007C7B2F">
            <w:pPr>
              <w:spacing w:line="360" w:lineRule="auto"/>
              <w:jc w:val="both"/>
              <w:rPr>
                <w:rFonts w:ascii="Arial" w:hAnsi="Arial" w:cs="Arial"/>
                <w:sz w:val="24"/>
                <w:szCs w:val="24"/>
              </w:rPr>
            </w:pPr>
          </w:p>
          <w:p w14:paraId="64952F7A" w14:textId="18310CA3" w:rsidR="00086A57" w:rsidRPr="00D012E7" w:rsidRDefault="00086A57" w:rsidP="007C7B2F">
            <w:pPr>
              <w:spacing w:line="360" w:lineRule="auto"/>
              <w:jc w:val="both"/>
              <w:rPr>
                <w:rFonts w:cs="Arial"/>
              </w:rPr>
            </w:pPr>
            <w:r w:rsidRPr="006E4D28">
              <w:rPr>
                <w:rFonts w:ascii="Arial" w:hAnsi="Arial" w:cs="Arial"/>
                <w:sz w:val="24"/>
                <w:szCs w:val="24"/>
              </w:rPr>
              <w:t>Objective 3: To evaluate</w:t>
            </w:r>
            <w:r w:rsidR="00A811FB">
              <w:rPr>
                <w:rFonts w:ascii="Arial" w:hAnsi="Arial" w:cs="Arial"/>
                <w:sz w:val="24"/>
                <w:szCs w:val="24"/>
              </w:rPr>
              <w:t xml:space="preserve"> </w:t>
            </w:r>
            <w:r w:rsidRPr="006E4D28">
              <w:rPr>
                <w:rFonts w:ascii="Arial" w:hAnsi="Arial" w:cs="Arial"/>
                <w:sz w:val="24"/>
                <w:szCs w:val="24"/>
              </w:rPr>
              <w:t xml:space="preserve">public perception </w:t>
            </w:r>
            <w:r w:rsidR="006F6BA7">
              <w:rPr>
                <w:rFonts w:ascii="Arial" w:hAnsi="Arial" w:cs="Arial"/>
                <w:sz w:val="24"/>
                <w:szCs w:val="24"/>
              </w:rPr>
              <w:t xml:space="preserve">regarding the persuasiveness of forensic evidence currently </w:t>
            </w:r>
            <w:r w:rsidR="00A811FB">
              <w:rPr>
                <w:rFonts w:ascii="Arial" w:hAnsi="Arial" w:cs="Arial"/>
                <w:sz w:val="24"/>
                <w:szCs w:val="24"/>
              </w:rPr>
              <w:t>being</w:t>
            </w:r>
            <w:r w:rsidR="006F6BA7">
              <w:rPr>
                <w:rFonts w:ascii="Arial" w:hAnsi="Arial" w:cs="Arial"/>
                <w:sz w:val="24"/>
                <w:szCs w:val="24"/>
              </w:rPr>
              <w:t xml:space="preserve"> utilised </w:t>
            </w:r>
            <w:r w:rsidR="00A811FB">
              <w:rPr>
                <w:rFonts w:ascii="Arial" w:hAnsi="Arial" w:cs="Arial"/>
                <w:sz w:val="24"/>
                <w:szCs w:val="24"/>
              </w:rPr>
              <w:t>within</w:t>
            </w:r>
            <w:r w:rsidR="006F6BA7">
              <w:rPr>
                <w:rFonts w:ascii="Arial" w:hAnsi="Arial" w:cs="Arial"/>
                <w:sz w:val="24"/>
                <w:szCs w:val="24"/>
              </w:rPr>
              <w:t xml:space="preserve"> criminal trials </w:t>
            </w:r>
            <w:r w:rsidR="00A811FB">
              <w:rPr>
                <w:rFonts w:ascii="Arial" w:hAnsi="Arial" w:cs="Arial"/>
                <w:sz w:val="24"/>
                <w:szCs w:val="24"/>
              </w:rPr>
              <w:t>in</w:t>
            </w:r>
            <w:r w:rsidR="006F6BA7">
              <w:rPr>
                <w:rFonts w:ascii="Arial" w:hAnsi="Arial" w:cs="Arial"/>
                <w:sz w:val="24"/>
                <w:szCs w:val="24"/>
              </w:rPr>
              <w:t xml:space="preserve"> England and Wales</w:t>
            </w:r>
            <w:r w:rsidRPr="006E4D28">
              <w:rPr>
                <w:rFonts w:ascii="Arial" w:hAnsi="Arial" w:cs="Arial"/>
                <w:sz w:val="24"/>
                <w:szCs w:val="24"/>
              </w:rPr>
              <w:t>.</w:t>
            </w:r>
          </w:p>
        </w:tc>
      </w:tr>
      <w:tr w:rsidR="00086A57" w:rsidRPr="00B61956" w14:paraId="10862047" w14:textId="77777777" w:rsidTr="007C7B2F">
        <w:trPr>
          <w:trHeight w:val="2716"/>
        </w:trPr>
        <w:tc>
          <w:tcPr>
            <w:tcW w:w="10141" w:type="dxa"/>
            <w:gridSpan w:val="2"/>
            <w:tcMar>
              <w:top w:w="0" w:type="dxa"/>
              <w:left w:w="108" w:type="dxa"/>
              <w:bottom w:w="0" w:type="dxa"/>
              <w:right w:w="108" w:type="dxa"/>
            </w:tcMar>
          </w:tcPr>
          <w:p w14:paraId="45E3ADCB" w14:textId="77777777" w:rsidR="00086A57" w:rsidRPr="00D012E7" w:rsidRDefault="00086A57" w:rsidP="007C7B2F">
            <w:pPr>
              <w:rPr>
                <w:rFonts w:cs="Arial"/>
                <w:b/>
                <w:bCs/>
              </w:rPr>
            </w:pPr>
            <w:r w:rsidRPr="00D012E7">
              <w:rPr>
                <w:rFonts w:cs="Arial"/>
                <w:b/>
                <w:bCs/>
              </w:rPr>
              <w:lastRenderedPageBreak/>
              <w:t>THEORETICAL CONTEXT:</w:t>
            </w:r>
          </w:p>
          <w:p w14:paraId="4A8F29C0" w14:textId="77777777" w:rsidR="00086A57" w:rsidRDefault="00086A57" w:rsidP="007C7B2F">
            <w:pPr>
              <w:rPr>
                <w:rFonts w:cs="Arial"/>
                <w:i/>
                <w:iCs/>
              </w:rPr>
            </w:pPr>
            <w:r w:rsidRPr="00B3336E">
              <w:rPr>
                <w:rFonts w:cs="Arial"/>
                <w:i/>
                <w:iC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71417EE4" w14:textId="77777777" w:rsidR="00086A57" w:rsidRPr="00B3336E" w:rsidRDefault="00086A57" w:rsidP="007C7B2F">
            <w:pPr>
              <w:rPr>
                <w:rFonts w:cs="Arial"/>
                <w:i/>
                <w:iCs/>
              </w:rPr>
            </w:pPr>
          </w:p>
          <w:p w14:paraId="78ADF05A" w14:textId="77777777" w:rsidR="00086A57" w:rsidRPr="00E970BD" w:rsidRDefault="00086A57" w:rsidP="007C7B2F">
            <w:pPr>
              <w:spacing w:line="360" w:lineRule="auto"/>
              <w:jc w:val="both"/>
              <w:rPr>
                <w:rStyle w:val="lookup-resultcontent"/>
                <w:rFonts w:ascii="Arial" w:hAnsi="Arial" w:cs="Arial"/>
                <w:sz w:val="24"/>
                <w:szCs w:val="24"/>
              </w:rPr>
            </w:pPr>
            <w:r w:rsidRPr="00E970BD">
              <w:rPr>
                <w:rStyle w:val="lookup-resultcontent"/>
                <w:rFonts w:ascii="Arial" w:hAnsi="Arial" w:cs="Arial"/>
                <w:sz w:val="24"/>
                <w:szCs w:val="24"/>
              </w:rPr>
              <w:t xml:space="preserve">Topic: The golden hour principle </w:t>
            </w:r>
          </w:p>
          <w:p w14:paraId="43EAB2E4" w14:textId="77777777" w:rsidR="00086A57" w:rsidRPr="00E970BD" w:rsidRDefault="00086A57" w:rsidP="007C7B2F">
            <w:pPr>
              <w:spacing w:line="360" w:lineRule="auto"/>
              <w:jc w:val="both"/>
              <w:rPr>
                <w:rStyle w:val="lookup-resultcontent"/>
                <w:rFonts w:ascii="Arial" w:hAnsi="Arial" w:cs="Arial"/>
                <w:sz w:val="24"/>
                <w:szCs w:val="24"/>
              </w:rPr>
            </w:pPr>
            <w:r w:rsidRPr="00E970BD">
              <w:rPr>
                <w:rStyle w:val="lookup-resultcontent"/>
                <w:rFonts w:ascii="Arial" w:hAnsi="Arial" w:cs="Arial"/>
                <w:sz w:val="24"/>
                <w:szCs w:val="24"/>
              </w:rPr>
              <w:t>The golden hour principle is the name given to the one hour time period immediately following a crime where it is ideal for the securing of evidence and the start of an investigation</w:t>
            </w:r>
            <w:r w:rsidRPr="00EA0273">
              <w:rPr>
                <w:rStyle w:val="lookup-resultcontent"/>
                <w:rFonts w:ascii="Arial" w:hAnsi="Arial" w:cs="Arial"/>
                <w:sz w:val="24"/>
                <w:szCs w:val="24"/>
              </w:rPr>
              <w:t>. Research by Hibbitt and Shaw (2023, pp. 88-89) found that collecting evidence after this time res</w:t>
            </w:r>
            <w:r w:rsidRPr="00E970BD">
              <w:rPr>
                <w:rStyle w:val="lookup-resultcontent"/>
                <w:rFonts w:ascii="Arial" w:hAnsi="Arial" w:cs="Arial"/>
                <w:sz w:val="24"/>
                <w:szCs w:val="24"/>
              </w:rPr>
              <w:t>ults in a greater risk of contamination because of the fact that the evidence and materials would now be harder to locate and more difficult to retrieve.</w:t>
            </w:r>
            <w:r>
              <w:rPr>
                <w:rStyle w:val="lookup-resultcontent"/>
                <w:rFonts w:ascii="Arial" w:hAnsi="Arial" w:cs="Arial"/>
                <w:sz w:val="24"/>
                <w:szCs w:val="24"/>
              </w:rPr>
              <w:t xml:space="preserve"> </w:t>
            </w:r>
          </w:p>
          <w:p w14:paraId="1DDDBAF5" w14:textId="77777777" w:rsidR="00086A57" w:rsidRPr="00E970BD" w:rsidRDefault="00086A57" w:rsidP="007C7B2F">
            <w:pPr>
              <w:spacing w:line="360" w:lineRule="auto"/>
              <w:jc w:val="both"/>
              <w:rPr>
                <w:rStyle w:val="lookup-resultcontent"/>
                <w:rFonts w:ascii="Arial" w:hAnsi="Arial" w:cs="Arial"/>
                <w:sz w:val="24"/>
                <w:szCs w:val="24"/>
              </w:rPr>
            </w:pPr>
          </w:p>
          <w:p w14:paraId="5E5A1295" w14:textId="77777777" w:rsidR="00086A57" w:rsidRDefault="00086A57" w:rsidP="007C7B2F">
            <w:pPr>
              <w:spacing w:line="360" w:lineRule="auto"/>
              <w:jc w:val="both"/>
              <w:rPr>
                <w:rStyle w:val="lookup-resultcontent"/>
                <w:rFonts w:ascii="Arial" w:hAnsi="Arial" w:cs="Arial"/>
                <w:sz w:val="24"/>
                <w:szCs w:val="24"/>
              </w:rPr>
            </w:pPr>
            <w:r w:rsidRPr="00E970BD">
              <w:rPr>
                <w:rStyle w:val="lookup-resultcontent"/>
                <w:rFonts w:ascii="Arial" w:hAnsi="Arial" w:cs="Arial"/>
                <w:sz w:val="24"/>
                <w:szCs w:val="24"/>
              </w:rPr>
              <w:t xml:space="preserve">Topic: The CSI effect </w:t>
            </w:r>
          </w:p>
          <w:p w14:paraId="4087C634" w14:textId="77777777" w:rsidR="00086A57" w:rsidRPr="00D16481" w:rsidRDefault="00086A57" w:rsidP="007C7B2F">
            <w:pPr>
              <w:spacing w:line="360" w:lineRule="auto"/>
              <w:jc w:val="both"/>
              <w:rPr>
                <w:rStyle w:val="lookup-resultcontent"/>
                <w:rFonts w:ascii="Arial" w:hAnsi="Arial" w:cs="Arial"/>
                <w:sz w:val="24"/>
                <w:szCs w:val="24"/>
              </w:rPr>
            </w:pPr>
            <w:r w:rsidRPr="00D16481">
              <w:rPr>
                <w:rStyle w:val="lookup-resultcontent"/>
                <w:rFonts w:ascii="Arial" w:hAnsi="Arial" w:cs="Arial"/>
                <w:sz w:val="24"/>
                <w:szCs w:val="24"/>
              </w:rPr>
              <w:t xml:space="preserve">When it comes to this topic, research by Sammons and </w:t>
            </w:r>
            <w:proofErr w:type="spellStart"/>
            <w:r w:rsidRPr="00D16481">
              <w:rPr>
                <w:rStyle w:val="lookup-resultcontent"/>
                <w:rFonts w:ascii="Arial" w:hAnsi="Arial" w:cs="Arial"/>
                <w:sz w:val="24"/>
                <w:szCs w:val="24"/>
              </w:rPr>
              <w:t>Putwain</w:t>
            </w:r>
            <w:proofErr w:type="spellEnd"/>
            <w:r w:rsidRPr="00D16481">
              <w:rPr>
                <w:rStyle w:val="lookup-resultcontent"/>
                <w:rFonts w:ascii="Arial" w:hAnsi="Arial" w:cs="Arial"/>
                <w:sz w:val="24"/>
                <w:szCs w:val="24"/>
              </w:rPr>
              <w:t xml:space="preserve"> (2019, pp. 105-106) inform that the jury can make decisions based on expectations and presumptions generated by TV </w:t>
            </w:r>
            <w:r w:rsidRPr="00D16481">
              <w:rPr>
                <w:rStyle w:val="lookup-resultcontent"/>
                <w:rFonts w:ascii="Arial" w:hAnsi="Arial" w:cs="Arial"/>
                <w:sz w:val="24"/>
                <w:szCs w:val="24"/>
              </w:rPr>
              <w:lastRenderedPageBreak/>
              <w:t xml:space="preserve">influence which can lead to injustice and inaccurate views of forensic evidence and the court process. However, it can also be said in this source that deceiving expert witness testimonies could limit the CSI effect due to the jury’s lack of belief </w:t>
            </w:r>
            <w:r>
              <w:rPr>
                <w:rStyle w:val="lookup-resultcontent"/>
                <w:rFonts w:ascii="Arial" w:hAnsi="Arial" w:cs="Arial"/>
                <w:sz w:val="24"/>
                <w:szCs w:val="24"/>
              </w:rPr>
              <w:t xml:space="preserve">or understanding </w:t>
            </w:r>
            <w:r w:rsidRPr="00D16481">
              <w:rPr>
                <w:rStyle w:val="lookup-resultcontent"/>
                <w:rFonts w:ascii="Arial" w:hAnsi="Arial" w:cs="Arial"/>
                <w:sz w:val="24"/>
                <w:szCs w:val="24"/>
              </w:rPr>
              <w:t>in the testimony.</w:t>
            </w:r>
          </w:p>
          <w:p w14:paraId="33CB9E32" w14:textId="77777777" w:rsidR="00086A57" w:rsidRPr="00E970BD" w:rsidRDefault="00086A57" w:rsidP="007C7B2F">
            <w:pPr>
              <w:spacing w:line="360" w:lineRule="auto"/>
              <w:jc w:val="both"/>
              <w:rPr>
                <w:rStyle w:val="lookup-resultcontent"/>
                <w:rFonts w:ascii="Arial" w:hAnsi="Arial" w:cs="Arial"/>
                <w:sz w:val="24"/>
                <w:szCs w:val="24"/>
              </w:rPr>
            </w:pPr>
          </w:p>
          <w:p w14:paraId="2580ADD2" w14:textId="77777777" w:rsidR="00086A57" w:rsidRDefault="00086A57" w:rsidP="007C7B2F">
            <w:pPr>
              <w:spacing w:line="360" w:lineRule="auto"/>
              <w:jc w:val="both"/>
              <w:rPr>
                <w:rStyle w:val="lookup-resultcontent"/>
                <w:rFonts w:ascii="Arial" w:hAnsi="Arial" w:cs="Arial"/>
                <w:sz w:val="24"/>
                <w:szCs w:val="24"/>
              </w:rPr>
            </w:pPr>
            <w:r w:rsidRPr="00E970BD">
              <w:rPr>
                <w:rStyle w:val="lookup-resultcontent"/>
                <w:rFonts w:ascii="Arial" w:hAnsi="Arial" w:cs="Arial"/>
                <w:sz w:val="24"/>
                <w:szCs w:val="24"/>
              </w:rPr>
              <w:t xml:space="preserve">Topic: </w:t>
            </w:r>
            <w:r>
              <w:rPr>
                <w:rStyle w:val="lookup-resultcontent"/>
                <w:rFonts w:ascii="Arial" w:hAnsi="Arial" w:cs="Arial"/>
                <w:sz w:val="24"/>
                <w:szCs w:val="24"/>
              </w:rPr>
              <w:t xml:space="preserve">Documenting the crime scene </w:t>
            </w:r>
          </w:p>
          <w:p w14:paraId="549919F8" w14:textId="77777777" w:rsidR="00086A57" w:rsidRPr="00116FBD" w:rsidRDefault="00086A57" w:rsidP="007C7B2F">
            <w:pPr>
              <w:spacing w:line="360" w:lineRule="auto"/>
              <w:jc w:val="both"/>
              <w:rPr>
                <w:rFonts w:ascii="Arial" w:hAnsi="Arial" w:cs="Arial"/>
                <w:sz w:val="24"/>
                <w:szCs w:val="24"/>
              </w:rPr>
            </w:pPr>
            <w:r>
              <w:rPr>
                <w:rStyle w:val="lookup-resultcontent"/>
                <w:rFonts w:ascii="Arial" w:hAnsi="Arial" w:cs="Arial"/>
                <w:sz w:val="24"/>
                <w:szCs w:val="24"/>
              </w:rPr>
              <w:t xml:space="preserve">Research by Jackson and Jackson (2017, pp. 25-37) highlights the importance and process of documenting a crime scene properly to abide protocol and limit risks of contamination or error. This source helps understand how a crime scene is analysed and who is involved. </w:t>
            </w:r>
          </w:p>
        </w:tc>
      </w:tr>
      <w:tr w:rsidR="00086A57" w:rsidRPr="00B61956" w14:paraId="6A5D631F" w14:textId="77777777" w:rsidTr="007C7B2F">
        <w:trPr>
          <w:trHeight w:val="1831"/>
        </w:trPr>
        <w:tc>
          <w:tcPr>
            <w:tcW w:w="10141" w:type="dxa"/>
            <w:gridSpan w:val="2"/>
            <w:tcMar>
              <w:top w:w="0" w:type="dxa"/>
              <w:left w:w="108" w:type="dxa"/>
              <w:bottom w:w="0" w:type="dxa"/>
              <w:right w:w="108" w:type="dxa"/>
            </w:tcMar>
          </w:tcPr>
          <w:p w14:paraId="04910DD3" w14:textId="77777777" w:rsidR="00086A57" w:rsidRPr="00B5610A" w:rsidRDefault="00086A57" w:rsidP="007C7B2F">
            <w:pPr>
              <w:rPr>
                <w:rFonts w:cs="Arial"/>
                <w:b/>
                <w:bCs/>
              </w:rPr>
            </w:pPr>
            <w:r w:rsidRPr="00B5610A">
              <w:rPr>
                <w:rFonts w:cs="Arial"/>
                <w:b/>
                <w:bCs/>
              </w:rPr>
              <w:lastRenderedPageBreak/>
              <w:t xml:space="preserve">SUMMARY OF RESEARCH –SURVEY METHOD: </w:t>
            </w:r>
          </w:p>
          <w:p w14:paraId="4BCC1CD0" w14:textId="77777777" w:rsidR="00086A57" w:rsidRDefault="00086A57" w:rsidP="007C7B2F">
            <w:pPr>
              <w:rPr>
                <w:rFonts w:cs="Arial"/>
                <w:i/>
                <w:iCs/>
              </w:rPr>
            </w:pPr>
            <w:r w:rsidRPr="00B3336E">
              <w:rPr>
                <w:rFonts w:cs="Arial"/>
                <w:i/>
                <w:iCs/>
              </w:rPr>
              <w:t>Summary of qualitative or quantitative methods, and survey techniques being considered.</w:t>
            </w:r>
          </w:p>
          <w:p w14:paraId="707A2423" w14:textId="77777777" w:rsidR="00086A57" w:rsidRPr="00B3336E" w:rsidRDefault="00086A57" w:rsidP="007C7B2F">
            <w:pPr>
              <w:rPr>
                <w:rFonts w:cs="Arial"/>
                <w:i/>
                <w:iCs/>
              </w:rPr>
            </w:pPr>
          </w:p>
          <w:p w14:paraId="18C944FC" w14:textId="5DC65968" w:rsidR="00086A57" w:rsidRPr="00A97F44" w:rsidRDefault="00086A57" w:rsidP="007C7B2F">
            <w:pPr>
              <w:spacing w:line="360" w:lineRule="auto"/>
              <w:rPr>
                <w:rFonts w:ascii="Arial" w:hAnsi="Arial" w:cs="Arial"/>
                <w:sz w:val="24"/>
                <w:szCs w:val="24"/>
              </w:rPr>
            </w:pPr>
            <w:r w:rsidRPr="00A97F44">
              <w:rPr>
                <w:rFonts w:ascii="Arial" w:hAnsi="Arial" w:cs="Arial"/>
                <w:sz w:val="24"/>
                <w:szCs w:val="24"/>
              </w:rPr>
              <w:t xml:space="preserve">An aspect of this research will be the use of an online questionnaire. This will help in finding out more about the public’s opinion on the topic of forensic evidence as both open and closed ended questions will be used. Open ended questions </w:t>
            </w:r>
            <w:r>
              <w:rPr>
                <w:rFonts w:ascii="Arial" w:hAnsi="Arial" w:cs="Arial"/>
                <w:sz w:val="24"/>
                <w:szCs w:val="24"/>
              </w:rPr>
              <w:t xml:space="preserve">will </w:t>
            </w:r>
            <w:r w:rsidRPr="00A97F44">
              <w:rPr>
                <w:rFonts w:ascii="Arial" w:hAnsi="Arial" w:cs="Arial"/>
                <w:sz w:val="24"/>
                <w:szCs w:val="24"/>
              </w:rPr>
              <w:t>allow for in depth responses which will help provide substance to my investigation into public perception. Closed ended questions will be beneficial as the</w:t>
            </w:r>
            <w:r w:rsidR="00A811FB">
              <w:rPr>
                <w:rFonts w:ascii="Arial" w:hAnsi="Arial" w:cs="Arial"/>
                <w:sz w:val="24"/>
                <w:szCs w:val="24"/>
              </w:rPr>
              <w:t>se</w:t>
            </w:r>
            <w:r w:rsidRPr="00A97F44">
              <w:rPr>
                <w:rFonts w:ascii="Arial" w:hAnsi="Arial" w:cs="Arial"/>
                <w:sz w:val="24"/>
                <w:szCs w:val="24"/>
              </w:rPr>
              <w:t xml:space="preserve"> will simplify the recording and analysis aspect</w:t>
            </w:r>
            <w:r>
              <w:rPr>
                <w:rFonts w:ascii="Arial" w:hAnsi="Arial" w:cs="Arial"/>
                <w:sz w:val="24"/>
                <w:szCs w:val="24"/>
              </w:rPr>
              <w:t xml:space="preserve"> </w:t>
            </w:r>
            <w:r w:rsidR="00A811FB">
              <w:rPr>
                <w:rFonts w:ascii="Arial" w:hAnsi="Arial" w:cs="Arial"/>
                <w:sz w:val="24"/>
                <w:szCs w:val="24"/>
              </w:rPr>
              <w:t xml:space="preserve">and will be useful in creating statistics from a questionnaire </w:t>
            </w:r>
            <w:r w:rsidRPr="00A97F44">
              <w:rPr>
                <w:rFonts w:ascii="Arial" w:hAnsi="Arial" w:cs="Arial"/>
                <w:sz w:val="24"/>
                <w:szCs w:val="24"/>
              </w:rPr>
              <w:t xml:space="preserve">(Cottrell, 2024, p. 368). </w:t>
            </w:r>
            <w:r w:rsidR="00A811FB">
              <w:rPr>
                <w:rFonts w:ascii="Arial" w:hAnsi="Arial" w:cs="Arial"/>
                <w:sz w:val="24"/>
                <w:szCs w:val="24"/>
              </w:rPr>
              <w:t xml:space="preserve">A type of closed ended question which will be used in my study </w:t>
            </w:r>
            <w:r w:rsidR="00D577B4">
              <w:rPr>
                <w:rFonts w:ascii="Arial" w:hAnsi="Arial" w:cs="Arial"/>
                <w:sz w:val="24"/>
                <w:szCs w:val="24"/>
              </w:rPr>
              <w:t xml:space="preserve">are Likert scale questions. This is where a scale will be used to answer a question; </w:t>
            </w:r>
            <w:proofErr w:type="gramStart"/>
            <w:r w:rsidR="00D577B4">
              <w:rPr>
                <w:rFonts w:ascii="Arial" w:hAnsi="Arial" w:cs="Arial"/>
                <w:sz w:val="24"/>
                <w:szCs w:val="24"/>
              </w:rPr>
              <w:t>typically</w:t>
            </w:r>
            <w:proofErr w:type="gramEnd"/>
            <w:r w:rsidR="00D577B4">
              <w:rPr>
                <w:rFonts w:ascii="Arial" w:hAnsi="Arial" w:cs="Arial"/>
                <w:sz w:val="24"/>
                <w:szCs w:val="24"/>
              </w:rPr>
              <w:t xml:space="preserve"> a scale of five to seven points. </w:t>
            </w:r>
          </w:p>
          <w:p w14:paraId="7C682B2B" w14:textId="5B928D3C" w:rsidR="00086A57" w:rsidRPr="00A97F44" w:rsidRDefault="00086A57" w:rsidP="007C7B2F">
            <w:pPr>
              <w:spacing w:line="360" w:lineRule="auto"/>
              <w:rPr>
                <w:rFonts w:ascii="Arial" w:hAnsi="Arial" w:cs="Arial"/>
                <w:sz w:val="24"/>
                <w:szCs w:val="24"/>
              </w:rPr>
            </w:pPr>
            <w:r w:rsidRPr="00A97F44">
              <w:rPr>
                <w:rFonts w:ascii="Arial" w:hAnsi="Arial" w:cs="Arial"/>
                <w:sz w:val="24"/>
                <w:szCs w:val="24"/>
              </w:rPr>
              <w:t xml:space="preserve">This mixed method approach of primary </w:t>
            </w:r>
            <w:r>
              <w:rPr>
                <w:rFonts w:ascii="Arial" w:hAnsi="Arial" w:cs="Arial"/>
                <w:sz w:val="24"/>
                <w:szCs w:val="24"/>
              </w:rPr>
              <w:t xml:space="preserve">data being my questionnaire </w:t>
            </w:r>
            <w:r w:rsidRPr="00A97F44">
              <w:rPr>
                <w:rFonts w:ascii="Arial" w:hAnsi="Arial" w:cs="Arial"/>
                <w:sz w:val="24"/>
                <w:szCs w:val="24"/>
              </w:rPr>
              <w:t xml:space="preserve">and secondary data </w:t>
            </w:r>
            <w:r>
              <w:rPr>
                <w:rFonts w:ascii="Arial" w:hAnsi="Arial" w:cs="Arial"/>
                <w:sz w:val="24"/>
                <w:szCs w:val="24"/>
              </w:rPr>
              <w:t xml:space="preserve">being the use of academic sources </w:t>
            </w:r>
            <w:r w:rsidRPr="00A97F44">
              <w:rPr>
                <w:rFonts w:ascii="Arial" w:hAnsi="Arial" w:cs="Arial"/>
                <w:sz w:val="24"/>
                <w:szCs w:val="24"/>
              </w:rPr>
              <w:t xml:space="preserve">will result in both qualitative and quantitative data which will add value to my research. </w:t>
            </w:r>
            <w:r w:rsidR="009B6271">
              <w:rPr>
                <w:rFonts w:ascii="Arial" w:hAnsi="Arial" w:cs="Arial"/>
                <w:sz w:val="24"/>
                <w:szCs w:val="24"/>
              </w:rPr>
              <w:t xml:space="preserve">Open ended questions within my primary research will contribute to qualitative data which </w:t>
            </w:r>
            <w:r w:rsidRPr="00A97F44">
              <w:rPr>
                <w:rFonts w:ascii="Arial" w:hAnsi="Arial" w:cs="Arial"/>
                <w:sz w:val="24"/>
                <w:szCs w:val="24"/>
              </w:rPr>
              <w:t>is essential in exploring the topic of forensic evidence as it will provide how forensic evidence is viewed, interpretated and how it influences the courtroom. Quantitative data will come in useful when analysing things such as case outcomes and conviction rates. Furthermore, quantitative data will help</w:t>
            </w:r>
            <w:r>
              <w:rPr>
                <w:rFonts w:ascii="Arial" w:hAnsi="Arial" w:cs="Arial"/>
                <w:sz w:val="24"/>
                <w:szCs w:val="24"/>
              </w:rPr>
              <w:t xml:space="preserve"> to</w:t>
            </w:r>
            <w:r w:rsidRPr="00A97F44">
              <w:rPr>
                <w:rFonts w:ascii="Arial" w:hAnsi="Arial" w:cs="Arial"/>
                <w:sz w:val="24"/>
                <w:szCs w:val="24"/>
              </w:rPr>
              <w:t xml:space="preserve"> identify any trends or patterns when it comes to using forensic evidence in trial.  </w:t>
            </w:r>
          </w:p>
          <w:p w14:paraId="434D1698" w14:textId="77777777" w:rsidR="00086A57" w:rsidRPr="00B5610A" w:rsidRDefault="00086A57" w:rsidP="007C7B2F">
            <w:pPr>
              <w:rPr>
                <w:rFonts w:cs="Arial"/>
              </w:rPr>
            </w:pPr>
          </w:p>
          <w:p w14:paraId="7F68965D" w14:textId="77777777" w:rsidR="00086A57" w:rsidRPr="00B61956" w:rsidRDefault="00086A57" w:rsidP="007C7B2F">
            <w:pPr>
              <w:jc w:val="both"/>
              <w:rPr>
                <w:rFonts w:cstheme="minorHAnsi"/>
              </w:rPr>
            </w:pPr>
          </w:p>
        </w:tc>
      </w:tr>
      <w:tr w:rsidR="00086A57" w:rsidRPr="00B61956" w14:paraId="12CD055F" w14:textId="77777777" w:rsidTr="007C7B2F">
        <w:trPr>
          <w:trHeight w:val="465"/>
        </w:trPr>
        <w:tc>
          <w:tcPr>
            <w:tcW w:w="10141" w:type="dxa"/>
            <w:gridSpan w:val="2"/>
            <w:tcMar>
              <w:top w:w="0" w:type="dxa"/>
              <w:left w:w="108" w:type="dxa"/>
              <w:bottom w:w="0" w:type="dxa"/>
              <w:right w:w="108" w:type="dxa"/>
            </w:tcMar>
          </w:tcPr>
          <w:p w14:paraId="1BB0877D" w14:textId="77777777" w:rsidR="00086A57" w:rsidRDefault="00086A57" w:rsidP="007C7B2F">
            <w:pPr>
              <w:rPr>
                <w:rFonts w:cstheme="minorHAnsi"/>
              </w:rPr>
            </w:pPr>
            <w:r w:rsidRPr="00B5610A">
              <w:rPr>
                <w:rFonts w:cs="Arial"/>
                <w:b/>
                <w:bCs/>
              </w:rPr>
              <w:t>SUMMARY OF SAMPLING FRAMEWORK:</w:t>
            </w:r>
            <w:r w:rsidRPr="00B5610A">
              <w:rPr>
                <w:rFonts w:cstheme="minorHAnsi"/>
              </w:rPr>
              <w:t xml:space="preserve"> </w:t>
            </w:r>
          </w:p>
          <w:p w14:paraId="5E4A771D" w14:textId="77777777" w:rsidR="00086A57" w:rsidRPr="00B3336E" w:rsidRDefault="00086A57" w:rsidP="007C7B2F">
            <w:pPr>
              <w:rPr>
                <w:rFonts w:cstheme="minorHAnsi"/>
                <w:i/>
                <w:iCs/>
              </w:rPr>
            </w:pPr>
            <w:r w:rsidRPr="00B3336E">
              <w:rPr>
                <w:rFonts w:cs="Arial"/>
                <w:i/>
                <w:iCs/>
              </w:rPr>
              <w:lastRenderedPageBreak/>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69C86FEB" w14:textId="77777777" w:rsidR="00086A57" w:rsidRDefault="00086A57" w:rsidP="007C7B2F">
            <w:pPr>
              <w:spacing w:line="360" w:lineRule="auto"/>
              <w:jc w:val="both"/>
              <w:rPr>
                <w:rFonts w:cstheme="minorHAnsi"/>
              </w:rPr>
            </w:pPr>
          </w:p>
          <w:p w14:paraId="497A8926"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It is intended for the general public to participate in my research as this would create a sample of potential jurors which consists of the people who would provide the needed and useful perspectives to meet my research aims. </w:t>
            </w:r>
          </w:p>
          <w:p w14:paraId="7CEC5D87" w14:textId="77777777" w:rsidR="00086A57" w:rsidRPr="00B61956" w:rsidRDefault="00086A57" w:rsidP="007C7B2F">
            <w:pPr>
              <w:jc w:val="both"/>
              <w:rPr>
                <w:rFonts w:cstheme="minorHAnsi"/>
              </w:rPr>
            </w:pPr>
          </w:p>
        </w:tc>
      </w:tr>
      <w:tr w:rsidR="00086A57" w:rsidRPr="00B61956" w14:paraId="5A4293CB" w14:textId="77777777" w:rsidTr="007C7B2F">
        <w:trPr>
          <w:trHeight w:val="1831"/>
        </w:trPr>
        <w:tc>
          <w:tcPr>
            <w:tcW w:w="10141" w:type="dxa"/>
            <w:gridSpan w:val="2"/>
            <w:tcMar>
              <w:top w:w="0" w:type="dxa"/>
              <w:left w:w="108" w:type="dxa"/>
              <w:bottom w:w="0" w:type="dxa"/>
              <w:right w:w="108" w:type="dxa"/>
            </w:tcMar>
          </w:tcPr>
          <w:p w14:paraId="5E53D4C4" w14:textId="77777777" w:rsidR="00086A57" w:rsidRPr="00B5610A" w:rsidRDefault="00086A57" w:rsidP="007C7B2F">
            <w:pPr>
              <w:jc w:val="both"/>
              <w:rPr>
                <w:rFonts w:cs="Arial"/>
                <w:b/>
                <w:bCs/>
              </w:rPr>
            </w:pPr>
            <w:r>
              <w:rPr>
                <w:rFonts w:cs="Arial"/>
                <w:b/>
                <w:bCs/>
              </w:rPr>
              <w:lastRenderedPageBreak/>
              <w:t>INITIAL REFERENCE LIST:</w:t>
            </w:r>
          </w:p>
          <w:p w14:paraId="51165970" w14:textId="77777777" w:rsidR="00086A57" w:rsidRDefault="00086A57" w:rsidP="007C7B2F">
            <w:pPr>
              <w:jc w:val="both"/>
              <w:rPr>
                <w:rFonts w:cs="Arial"/>
                <w:i/>
                <w:iCs/>
              </w:rPr>
            </w:pPr>
            <w:r w:rsidRPr="00B3336E">
              <w:rPr>
                <w:rFonts w:cs="Arial"/>
                <w:i/>
                <w:iCs/>
              </w:rPr>
              <w:t>Please follow the Harvard referencing system</w:t>
            </w:r>
          </w:p>
          <w:p w14:paraId="61720FA7" w14:textId="77777777" w:rsidR="00086A57" w:rsidRDefault="00086A57" w:rsidP="007C7B2F">
            <w:pPr>
              <w:spacing w:line="360" w:lineRule="auto"/>
              <w:jc w:val="both"/>
              <w:rPr>
                <w:rFonts w:cs="Arial"/>
                <w:i/>
                <w:iCs/>
              </w:rPr>
            </w:pPr>
          </w:p>
          <w:p w14:paraId="6FCF5E12"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Beaufort-Moore, D. (2015) </w:t>
            </w:r>
            <w:r w:rsidRPr="00116FBD">
              <w:rPr>
                <w:rFonts w:ascii="Arial" w:hAnsi="Arial" w:cs="Arial"/>
                <w:i/>
                <w:iCs/>
                <w:sz w:val="24"/>
                <w:szCs w:val="24"/>
              </w:rPr>
              <w:t>Crime Scene Management and Evidence Recovery</w:t>
            </w:r>
            <w:r w:rsidRPr="00116FBD">
              <w:rPr>
                <w:rFonts w:ascii="Arial" w:hAnsi="Arial" w:cs="Arial"/>
                <w:sz w:val="24"/>
                <w:szCs w:val="24"/>
              </w:rPr>
              <w:t>. 2</w:t>
            </w:r>
            <w:r w:rsidRPr="00116FBD">
              <w:rPr>
                <w:rFonts w:ascii="Arial" w:hAnsi="Arial" w:cs="Arial"/>
                <w:sz w:val="24"/>
                <w:szCs w:val="24"/>
                <w:vertAlign w:val="superscript"/>
              </w:rPr>
              <w:t>nd</w:t>
            </w:r>
            <w:r w:rsidRPr="00116FBD">
              <w:rPr>
                <w:rFonts w:ascii="Arial" w:hAnsi="Arial" w:cs="Arial"/>
                <w:sz w:val="24"/>
                <w:szCs w:val="24"/>
              </w:rPr>
              <w:t xml:space="preserve"> </w:t>
            </w:r>
            <w:proofErr w:type="spellStart"/>
            <w:r w:rsidRPr="00116FBD">
              <w:rPr>
                <w:rFonts w:ascii="Arial" w:hAnsi="Arial" w:cs="Arial"/>
                <w:sz w:val="24"/>
                <w:szCs w:val="24"/>
              </w:rPr>
              <w:t>edn</w:t>
            </w:r>
            <w:proofErr w:type="spellEnd"/>
            <w:r w:rsidRPr="00116FBD">
              <w:rPr>
                <w:rFonts w:ascii="Arial" w:hAnsi="Arial" w:cs="Arial"/>
                <w:sz w:val="24"/>
                <w:szCs w:val="24"/>
              </w:rPr>
              <w:t>. Oxford University Press.</w:t>
            </w:r>
          </w:p>
          <w:p w14:paraId="0158C1AB"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Cottrell, S. (2024) </w:t>
            </w:r>
            <w:r w:rsidRPr="00116FBD">
              <w:rPr>
                <w:rFonts w:ascii="Arial" w:hAnsi="Arial" w:cs="Arial"/>
                <w:i/>
                <w:iCs/>
                <w:sz w:val="24"/>
                <w:szCs w:val="24"/>
              </w:rPr>
              <w:t>The Study Skills Handbook</w:t>
            </w:r>
            <w:r w:rsidRPr="00116FBD">
              <w:rPr>
                <w:rFonts w:ascii="Arial" w:hAnsi="Arial" w:cs="Arial"/>
                <w:sz w:val="24"/>
                <w:szCs w:val="24"/>
              </w:rPr>
              <w:t>. 6</w:t>
            </w:r>
            <w:r w:rsidRPr="00116FBD">
              <w:rPr>
                <w:rFonts w:ascii="Arial" w:hAnsi="Arial" w:cs="Arial"/>
                <w:sz w:val="24"/>
                <w:szCs w:val="24"/>
                <w:vertAlign w:val="superscript"/>
              </w:rPr>
              <w:t>th</w:t>
            </w:r>
            <w:r w:rsidRPr="00116FBD">
              <w:rPr>
                <w:rFonts w:ascii="Arial" w:hAnsi="Arial" w:cs="Arial"/>
                <w:sz w:val="24"/>
                <w:szCs w:val="24"/>
              </w:rPr>
              <w:t xml:space="preserve"> </w:t>
            </w:r>
            <w:proofErr w:type="spellStart"/>
            <w:r w:rsidRPr="00116FBD">
              <w:rPr>
                <w:rFonts w:ascii="Arial" w:hAnsi="Arial" w:cs="Arial"/>
                <w:sz w:val="24"/>
                <w:szCs w:val="24"/>
              </w:rPr>
              <w:t>edn</w:t>
            </w:r>
            <w:proofErr w:type="spellEnd"/>
            <w:r w:rsidRPr="00116FBD">
              <w:rPr>
                <w:rFonts w:ascii="Arial" w:hAnsi="Arial" w:cs="Arial"/>
                <w:sz w:val="24"/>
                <w:szCs w:val="24"/>
              </w:rPr>
              <w:t>. Bloomsbury Publishing Plc.</w:t>
            </w:r>
          </w:p>
          <w:p w14:paraId="450A6A9A"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Hibbitt, S. and Shaw, G. (2023) </w:t>
            </w:r>
            <w:r w:rsidRPr="00116FBD">
              <w:rPr>
                <w:rFonts w:ascii="Arial" w:hAnsi="Arial" w:cs="Arial"/>
                <w:i/>
                <w:iCs/>
                <w:sz w:val="24"/>
                <w:szCs w:val="24"/>
              </w:rPr>
              <w:t>Crime Investigators’ Handbook.</w:t>
            </w:r>
            <w:r w:rsidRPr="00116FBD">
              <w:rPr>
                <w:rFonts w:ascii="Arial" w:hAnsi="Arial" w:cs="Arial"/>
                <w:sz w:val="24"/>
                <w:szCs w:val="24"/>
              </w:rPr>
              <w:t xml:space="preserve"> 3</w:t>
            </w:r>
            <w:r w:rsidRPr="00116FBD">
              <w:rPr>
                <w:rFonts w:ascii="Arial" w:hAnsi="Arial" w:cs="Arial"/>
                <w:sz w:val="24"/>
                <w:szCs w:val="24"/>
                <w:vertAlign w:val="superscript"/>
              </w:rPr>
              <w:t>rd</w:t>
            </w:r>
            <w:r w:rsidRPr="00116FBD">
              <w:rPr>
                <w:rFonts w:ascii="Arial" w:hAnsi="Arial" w:cs="Arial"/>
                <w:sz w:val="24"/>
                <w:szCs w:val="24"/>
              </w:rPr>
              <w:t xml:space="preserve"> </w:t>
            </w:r>
            <w:proofErr w:type="spellStart"/>
            <w:r w:rsidRPr="00116FBD">
              <w:rPr>
                <w:rFonts w:ascii="Arial" w:hAnsi="Arial" w:cs="Arial"/>
                <w:sz w:val="24"/>
                <w:szCs w:val="24"/>
              </w:rPr>
              <w:t>edn</w:t>
            </w:r>
            <w:proofErr w:type="spellEnd"/>
            <w:r w:rsidRPr="00116FBD">
              <w:rPr>
                <w:rFonts w:ascii="Arial" w:hAnsi="Arial" w:cs="Arial"/>
                <w:sz w:val="24"/>
                <w:szCs w:val="24"/>
              </w:rPr>
              <w:t>. Oxford University Press.</w:t>
            </w:r>
          </w:p>
          <w:p w14:paraId="3BA8799A"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Jackson, A. and Jackson, J. (2017) </w:t>
            </w:r>
            <w:r w:rsidRPr="00116FBD">
              <w:rPr>
                <w:rFonts w:ascii="Arial" w:hAnsi="Arial" w:cs="Arial"/>
                <w:i/>
                <w:iCs/>
                <w:sz w:val="24"/>
                <w:szCs w:val="24"/>
              </w:rPr>
              <w:t>Forensic Science.</w:t>
            </w:r>
            <w:r w:rsidRPr="00116FBD">
              <w:rPr>
                <w:rFonts w:ascii="Arial" w:hAnsi="Arial" w:cs="Arial"/>
                <w:sz w:val="24"/>
                <w:szCs w:val="24"/>
              </w:rPr>
              <w:t xml:space="preserve"> 4</w:t>
            </w:r>
            <w:r w:rsidRPr="00116FBD">
              <w:rPr>
                <w:rFonts w:ascii="Arial" w:hAnsi="Arial" w:cs="Arial"/>
                <w:sz w:val="24"/>
                <w:szCs w:val="24"/>
                <w:vertAlign w:val="superscript"/>
              </w:rPr>
              <w:t>th</w:t>
            </w:r>
            <w:r w:rsidRPr="00116FBD">
              <w:rPr>
                <w:rFonts w:ascii="Arial" w:hAnsi="Arial" w:cs="Arial"/>
                <w:sz w:val="24"/>
                <w:szCs w:val="24"/>
              </w:rPr>
              <w:t xml:space="preserve"> </w:t>
            </w:r>
            <w:proofErr w:type="spellStart"/>
            <w:r w:rsidRPr="00116FBD">
              <w:rPr>
                <w:rFonts w:ascii="Arial" w:hAnsi="Arial" w:cs="Arial"/>
                <w:sz w:val="24"/>
                <w:szCs w:val="24"/>
              </w:rPr>
              <w:t>edn</w:t>
            </w:r>
            <w:proofErr w:type="spellEnd"/>
            <w:r w:rsidRPr="00116FBD">
              <w:rPr>
                <w:rFonts w:ascii="Arial" w:hAnsi="Arial" w:cs="Arial"/>
                <w:sz w:val="24"/>
                <w:szCs w:val="24"/>
              </w:rPr>
              <w:t>. Pearson.</w:t>
            </w:r>
          </w:p>
          <w:p w14:paraId="494DDE37"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Poyser, S. and Nurse, A. and Milne, R. (2018) </w:t>
            </w:r>
            <w:r w:rsidRPr="00116FBD">
              <w:rPr>
                <w:rFonts w:ascii="Arial" w:hAnsi="Arial" w:cs="Arial"/>
                <w:i/>
                <w:iCs/>
                <w:sz w:val="24"/>
                <w:szCs w:val="24"/>
              </w:rPr>
              <w:t>Miscarriages of Justice</w:t>
            </w:r>
            <w:r w:rsidRPr="00116FBD">
              <w:rPr>
                <w:rFonts w:ascii="Arial" w:hAnsi="Arial" w:cs="Arial"/>
                <w:sz w:val="24"/>
                <w:szCs w:val="24"/>
              </w:rPr>
              <w:t>. Policy Press.</w:t>
            </w:r>
          </w:p>
          <w:p w14:paraId="4B52B294" w14:textId="77777777" w:rsidR="00086A57" w:rsidRPr="00116FBD" w:rsidRDefault="00086A57" w:rsidP="007C7B2F">
            <w:pPr>
              <w:pStyle w:val="NoSpacing"/>
              <w:spacing w:line="360" w:lineRule="auto"/>
              <w:rPr>
                <w:rFonts w:ascii="Arial" w:hAnsi="Arial" w:cs="Arial"/>
                <w:sz w:val="24"/>
                <w:szCs w:val="24"/>
              </w:rPr>
            </w:pPr>
            <w:r w:rsidRPr="00116FBD">
              <w:rPr>
                <w:rFonts w:ascii="Arial" w:hAnsi="Arial" w:cs="Arial"/>
                <w:sz w:val="24"/>
                <w:szCs w:val="24"/>
              </w:rPr>
              <w:t xml:space="preserve">Sammons, A. and </w:t>
            </w:r>
            <w:proofErr w:type="spellStart"/>
            <w:r w:rsidRPr="00116FBD">
              <w:rPr>
                <w:rFonts w:ascii="Arial" w:hAnsi="Arial" w:cs="Arial"/>
                <w:sz w:val="24"/>
                <w:szCs w:val="24"/>
              </w:rPr>
              <w:t>Putwain</w:t>
            </w:r>
            <w:proofErr w:type="spellEnd"/>
            <w:r w:rsidRPr="00116FBD">
              <w:rPr>
                <w:rFonts w:ascii="Arial" w:hAnsi="Arial" w:cs="Arial"/>
                <w:sz w:val="24"/>
                <w:szCs w:val="24"/>
              </w:rPr>
              <w:t xml:space="preserve">, D. (2018) </w:t>
            </w:r>
            <w:r w:rsidRPr="00116FBD">
              <w:rPr>
                <w:rFonts w:ascii="Arial" w:hAnsi="Arial" w:cs="Arial"/>
                <w:i/>
                <w:iCs/>
                <w:sz w:val="24"/>
                <w:szCs w:val="24"/>
              </w:rPr>
              <w:t>Psychology and Crime</w:t>
            </w:r>
            <w:r w:rsidRPr="00116FBD">
              <w:rPr>
                <w:rFonts w:ascii="Arial" w:hAnsi="Arial" w:cs="Arial"/>
                <w:sz w:val="24"/>
                <w:szCs w:val="24"/>
              </w:rPr>
              <w:t>. 2</w:t>
            </w:r>
            <w:r w:rsidRPr="00116FBD">
              <w:rPr>
                <w:rFonts w:ascii="Arial" w:hAnsi="Arial" w:cs="Arial"/>
                <w:sz w:val="24"/>
                <w:szCs w:val="24"/>
                <w:vertAlign w:val="superscript"/>
              </w:rPr>
              <w:t>nd</w:t>
            </w:r>
            <w:r w:rsidRPr="00116FBD">
              <w:rPr>
                <w:rFonts w:ascii="Arial" w:hAnsi="Arial" w:cs="Arial"/>
                <w:sz w:val="24"/>
                <w:szCs w:val="24"/>
              </w:rPr>
              <w:t xml:space="preserve"> </w:t>
            </w:r>
            <w:proofErr w:type="spellStart"/>
            <w:r w:rsidRPr="00116FBD">
              <w:rPr>
                <w:rFonts w:ascii="Arial" w:hAnsi="Arial" w:cs="Arial"/>
                <w:sz w:val="24"/>
                <w:szCs w:val="24"/>
              </w:rPr>
              <w:t>edn</w:t>
            </w:r>
            <w:proofErr w:type="spellEnd"/>
            <w:r w:rsidRPr="00116FBD">
              <w:rPr>
                <w:rFonts w:ascii="Arial" w:hAnsi="Arial" w:cs="Arial"/>
                <w:sz w:val="24"/>
                <w:szCs w:val="24"/>
              </w:rPr>
              <w:t xml:space="preserve">. Routledge. Available at: </w:t>
            </w:r>
            <w:hyperlink r:id="rId5" w:history="1">
              <w:r w:rsidRPr="00116FBD">
                <w:rPr>
                  <w:rStyle w:val="Hyperlink"/>
                  <w:rFonts w:ascii="Arial" w:hAnsi="Arial" w:cs="Arial"/>
                  <w:sz w:val="24"/>
                  <w:szCs w:val="24"/>
                </w:rPr>
                <w:t>https://www.taylorfrancis.com/chapters/mono/10.4324/9781351252140-8/courtroom-processes-aidan-sammons-david-putwain?context=ubx&amp;refId=e765521b-9caa-4c0e-8bc3-2e4a5bb329e4</w:t>
              </w:r>
            </w:hyperlink>
            <w:r w:rsidRPr="00116FBD">
              <w:rPr>
                <w:rFonts w:ascii="Arial" w:hAnsi="Arial" w:cs="Arial"/>
                <w:sz w:val="24"/>
                <w:szCs w:val="24"/>
              </w:rPr>
              <w:t xml:space="preserve"> (Accessed: 30 April 2026)</w:t>
            </w:r>
          </w:p>
          <w:p w14:paraId="3E99C65C" w14:textId="77777777" w:rsidR="00086A57" w:rsidRPr="00116FBD" w:rsidRDefault="00086A57" w:rsidP="007C7B2F">
            <w:pPr>
              <w:spacing w:line="360" w:lineRule="auto"/>
              <w:jc w:val="both"/>
              <w:rPr>
                <w:rFonts w:ascii="Arial" w:hAnsi="Arial" w:cs="Arial"/>
                <w:sz w:val="24"/>
                <w:szCs w:val="24"/>
              </w:rPr>
            </w:pPr>
            <w:r w:rsidRPr="00116FBD">
              <w:rPr>
                <w:rFonts w:ascii="Arial" w:hAnsi="Arial" w:cs="Arial"/>
                <w:sz w:val="24"/>
                <w:szCs w:val="24"/>
              </w:rPr>
              <w:t xml:space="preserve">Sammons, J. (2015) </w:t>
            </w:r>
            <w:r w:rsidRPr="00116FBD">
              <w:rPr>
                <w:rFonts w:ascii="Arial" w:hAnsi="Arial" w:cs="Arial"/>
                <w:i/>
                <w:iCs/>
                <w:sz w:val="24"/>
                <w:szCs w:val="24"/>
              </w:rPr>
              <w:t>The Basics of Digital Forensics.</w:t>
            </w:r>
            <w:r w:rsidRPr="00116FBD">
              <w:rPr>
                <w:rFonts w:ascii="Arial" w:hAnsi="Arial" w:cs="Arial"/>
                <w:sz w:val="24"/>
                <w:szCs w:val="24"/>
              </w:rPr>
              <w:t xml:space="preserve"> 2</w:t>
            </w:r>
            <w:r w:rsidRPr="00116FBD">
              <w:rPr>
                <w:rFonts w:ascii="Arial" w:hAnsi="Arial" w:cs="Arial"/>
                <w:sz w:val="24"/>
                <w:szCs w:val="24"/>
                <w:vertAlign w:val="superscript"/>
              </w:rPr>
              <w:t>nd</w:t>
            </w:r>
            <w:r w:rsidRPr="00116FBD">
              <w:rPr>
                <w:rFonts w:ascii="Arial" w:hAnsi="Arial" w:cs="Arial"/>
                <w:sz w:val="24"/>
                <w:szCs w:val="24"/>
              </w:rPr>
              <w:t xml:space="preserve"> </w:t>
            </w:r>
            <w:proofErr w:type="spellStart"/>
            <w:r w:rsidRPr="00116FBD">
              <w:rPr>
                <w:rFonts w:ascii="Arial" w:hAnsi="Arial" w:cs="Arial"/>
                <w:sz w:val="24"/>
                <w:szCs w:val="24"/>
              </w:rPr>
              <w:t>edn</w:t>
            </w:r>
            <w:proofErr w:type="spellEnd"/>
            <w:r w:rsidRPr="00116FBD">
              <w:rPr>
                <w:rFonts w:ascii="Arial" w:hAnsi="Arial" w:cs="Arial"/>
                <w:sz w:val="24"/>
                <w:szCs w:val="24"/>
              </w:rPr>
              <w:t>. Syngress.</w:t>
            </w:r>
          </w:p>
          <w:p w14:paraId="2C5B9529" w14:textId="77777777" w:rsidR="00086A57" w:rsidRPr="00B61956" w:rsidRDefault="00086A57" w:rsidP="007C7B2F">
            <w:pPr>
              <w:jc w:val="both"/>
              <w:rPr>
                <w:rFonts w:cstheme="minorHAnsi"/>
                <w:bCs/>
                <w:i/>
              </w:rPr>
            </w:pPr>
          </w:p>
          <w:p w14:paraId="50760249" w14:textId="77777777" w:rsidR="00086A57" w:rsidRPr="00B61956" w:rsidRDefault="00086A57" w:rsidP="007C7B2F">
            <w:pPr>
              <w:jc w:val="both"/>
              <w:rPr>
                <w:rFonts w:cstheme="minorHAnsi"/>
              </w:rPr>
            </w:pPr>
          </w:p>
        </w:tc>
      </w:tr>
    </w:tbl>
    <w:p w14:paraId="472CB474" w14:textId="77777777" w:rsidR="00086A57" w:rsidRPr="00B61956" w:rsidRDefault="00086A57" w:rsidP="00086A57">
      <w:pPr>
        <w:jc w:val="both"/>
        <w:rPr>
          <w:rFonts w:cstheme="minorHAnsi"/>
          <w:b/>
          <w:bCs/>
        </w:rPr>
      </w:pPr>
    </w:p>
    <w:p w14:paraId="19139A96" w14:textId="77777777" w:rsidR="00086A57" w:rsidRPr="00B3336E" w:rsidRDefault="00086A57" w:rsidP="00086A57"/>
    <w:p w14:paraId="201E3B2B" w14:textId="77777777" w:rsidR="00086A57" w:rsidRDefault="00086A57" w:rsidP="00086A57"/>
    <w:p w14:paraId="42D0AFD2" w14:textId="77777777" w:rsidR="00086A57" w:rsidRDefault="00086A57" w:rsidP="00086A57"/>
    <w:p w14:paraId="5AF5E4E7" w14:textId="77777777" w:rsidR="00086A57" w:rsidRDefault="00086A57" w:rsidP="00086A57"/>
    <w:p w14:paraId="265B550D" w14:textId="77777777" w:rsidR="00086A57" w:rsidRDefault="00086A57" w:rsidP="00086A57"/>
    <w:p w14:paraId="620E9C10" w14:textId="77777777" w:rsidR="007C224B" w:rsidRDefault="007C224B"/>
    <w:sectPr w:rsidR="007C2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A57"/>
    <w:rsid w:val="00086A57"/>
    <w:rsid w:val="000E1569"/>
    <w:rsid w:val="005B471C"/>
    <w:rsid w:val="006D04D8"/>
    <w:rsid w:val="006F6BA7"/>
    <w:rsid w:val="00762286"/>
    <w:rsid w:val="007C224B"/>
    <w:rsid w:val="00851995"/>
    <w:rsid w:val="009B6271"/>
    <w:rsid w:val="009F77AE"/>
    <w:rsid w:val="00A811FB"/>
    <w:rsid w:val="00D577B4"/>
    <w:rsid w:val="00E05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F0E2"/>
  <w15:chartTrackingRefBased/>
  <w15:docId w15:val="{E367071F-03E9-4937-8E9D-91F27F06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A57"/>
  </w:style>
  <w:style w:type="paragraph" w:styleId="Heading1">
    <w:name w:val="heading 1"/>
    <w:basedOn w:val="Normal"/>
    <w:next w:val="Normal"/>
    <w:link w:val="Heading1Char"/>
    <w:uiPriority w:val="99"/>
    <w:qFormat/>
    <w:rsid w:val="00086A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86A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6A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6A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6A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6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6A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86A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6A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6A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6A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6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A57"/>
    <w:rPr>
      <w:rFonts w:eastAsiaTheme="majorEastAsia" w:cstheme="majorBidi"/>
      <w:color w:val="272727" w:themeColor="text1" w:themeTint="D8"/>
    </w:rPr>
  </w:style>
  <w:style w:type="paragraph" w:styleId="Title">
    <w:name w:val="Title"/>
    <w:basedOn w:val="Normal"/>
    <w:next w:val="Normal"/>
    <w:link w:val="TitleChar"/>
    <w:uiPriority w:val="10"/>
    <w:qFormat/>
    <w:rsid w:val="00086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A57"/>
    <w:pPr>
      <w:spacing w:before="160"/>
      <w:jc w:val="center"/>
    </w:pPr>
    <w:rPr>
      <w:i/>
      <w:iCs/>
      <w:color w:val="404040" w:themeColor="text1" w:themeTint="BF"/>
    </w:rPr>
  </w:style>
  <w:style w:type="character" w:customStyle="1" w:styleId="QuoteChar">
    <w:name w:val="Quote Char"/>
    <w:basedOn w:val="DefaultParagraphFont"/>
    <w:link w:val="Quote"/>
    <w:uiPriority w:val="29"/>
    <w:rsid w:val="00086A57"/>
    <w:rPr>
      <w:i/>
      <w:iCs/>
      <w:color w:val="404040" w:themeColor="text1" w:themeTint="BF"/>
    </w:rPr>
  </w:style>
  <w:style w:type="paragraph" w:styleId="ListParagraph">
    <w:name w:val="List Paragraph"/>
    <w:basedOn w:val="Normal"/>
    <w:uiPriority w:val="34"/>
    <w:qFormat/>
    <w:rsid w:val="00086A57"/>
    <w:pPr>
      <w:ind w:left="720"/>
      <w:contextualSpacing/>
    </w:pPr>
  </w:style>
  <w:style w:type="character" w:styleId="IntenseEmphasis">
    <w:name w:val="Intense Emphasis"/>
    <w:basedOn w:val="DefaultParagraphFont"/>
    <w:uiPriority w:val="21"/>
    <w:qFormat/>
    <w:rsid w:val="00086A57"/>
    <w:rPr>
      <w:i/>
      <w:iCs/>
      <w:color w:val="2F5496" w:themeColor="accent1" w:themeShade="BF"/>
    </w:rPr>
  </w:style>
  <w:style w:type="paragraph" w:styleId="IntenseQuote">
    <w:name w:val="Intense Quote"/>
    <w:basedOn w:val="Normal"/>
    <w:next w:val="Normal"/>
    <w:link w:val="IntenseQuoteChar"/>
    <w:uiPriority w:val="30"/>
    <w:qFormat/>
    <w:rsid w:val="00086A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6A57"/>
    <w:rPr>
      <w:i/>
      <w:iCs/>
      <w:color w:val="2F5496" w:themeColor="accent1" w:themeShade="BF"/>
    </w:rPr>
  </w:style>
  <w:style w:type="character" w:styleId="IntenseReference">
    <w:name w:val="Intense Reference"/>
    <w:basedOn w:val="DefaultParagraphFont"/>
    <w:uiPriority w:val="32"/>
    <w:qFormat/>
    <w:rsid w:val="00086A57"/>
    <w:rPr>
      <w:b/>
      <w:bCs/>
      <w:smallCaps/>
      <w:color w:val="2F5496" w:themeColor="accent1" w:themeShade="BF"/>
      <w:spacing w:val="5"/>
    </w:rPr>
  </w:style>
  <w:style w:type="paragraph" w:styleId="NoSpacing">
    <w:name w:val="No Spacing"/>
    <w:link w:val="NoSpacingChar"/>
    <w:uiPriority w:val="1"/>
    <w:qFormat/>
    <w:rsid w:val="00086A5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86A57"/>
    <w:rPr>
      <w:rFonts w:eastAsiaTheme="minorEastAsia"/>
      <w:kern w:val="0"/>
      <w:lang w:val="en-US"/>
      <w14:ligatures w14:val="none"/>
    </w:rPr>
  </w:style>
  <w:style w:type="character" w:styleId="Hyperlink">
    <w:name w:val="Hyperlink"/>
    <w:basedOn w:val="DefaultParagraphFont"/>
    <w:uiPriority w:val="99"/>
    <w:unhideWhenUsed/>
    <w:rsid w:val="00086A57"/>
    <w:rPr>
      <w:color w:val="0563C1" w:themeColor="hyperlink"/>
      <w:u w:val="single"/>
    </w:rPr>
  </w:style>
  <w:style w:type="table" w:styleId="TableGrid">
    <w:name w:val="Table Grid"/>
    <w:basedOn w:val="TableNormal"/>
    <w:uiPriority w:val="59"/>
    <w:rsid w:val="00086A5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86A57"/>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086A57"/>
    <w:rPr>
      <w:rFonts w:ascii="Arial" w:eastAsia="Times New Roman" w:hAnsi="Arial" w:cs="Times New Roman"/>
      <w:kern w:val="0"/>
      <w:sz w:val="24"/>
      <w:szCs w:val="20"/>
      <w14:ligatures w14:val="none"/>
    </w:rPr>
  </w:style>
  <w:style w:type="character" w:customStyle="1" w:styleId="lookup-resultcontent">
    <w:name w:val="lookup-result__content"/>
    <w:rsid w:val="00086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aylorfrancis.com/chapters/mono/10.4324/9781351252140-8/courtroom-processes-aidan-sammons-david-putwain?context=ubx&amp;refId=e765521b-9caa-4c0e-8bc3-2e4a5bb329e4"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Sienna Davies</dc:creator>
  <cp:keywords/>
  <dc:description/>
  <cp:lastModifiedBy>Sienna Davies</cp:lastModifiedBy>
  <cp:revision>1</cp:revision>
  <dcterms:created xsi:type="dcterms:W3CDTF">2026-10-01T08:51:00Z</dcterms:created>
  <dcterms:modified xsi:type="dcterms:W3CDTF">2026-10-01T10:53:00Z</dcterms:modified>
</cp:coreProperties>
</file>