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3E9CB" w14:textId="77777777" w:rsidR="00A7054E" w:rsidRPr="00A7054E" w:rsidRDefault="00A7054E" w:rsidP="00A7054E">
      <w:pPr>
        <w:pStyle w:val="commentcontentpara"/>
        <w:spacing w:before="0" w:beforeAutospacing="0" w:after="0" w:afterAutospacing="0"/>
        <w:rPr>
          <w:rFonts w:ascii="Arial" w:hAnsi="Arial" w:cs="Arial"/>
          <w:b/>
          <w:bCs/>
          <w:sz w:val="48"/>
          <w:szCs w:val="48"/>
        </w:rPr>
      </w:pPr>
      <w:r w:rsidRPr="00A7054E">
        <w:rPr>
          <w:rFonts w:ascii="Arial" w:hAnsi="Arial" w:cs="Arial"/>
          <w:b/>
          <w:bCs/>
          <w:sz w:val="48"/>
          <w:szCs w:val="48"/>
          <w:highlight w:val="darkGray"/>
        </w:rPr>
        <w:t>Critically evaluate the role of Equity in the laws of England and Wales</w:t>
      </w:r>
    </w:p>
    <w:p w14:paraId="2E287460" w14:textId="3D9307E0" w:rsidR="00A7054E" w:rsidRDefault="00A7054E" w:rsidP="001425DB">
      <w:pPr>
        <w:pStyle w:val="pb-2"/>
        <w:spacing w:line="360" w:lineRule="auto"/>
        <w:rPr>
          <w:rFonts w:ascii="Arial" w:hAnsi="Arial" w:cs="Arial"/>
        </w:rPr>
      </w:pPr>
      <w:r>
        <w:rPr>
          <w:rFonts w:ascii="Arial" w:hAnsi="Arial" w:cs="Arial"/>
        </w:rPr>
        <w:t xml:space="preserve">Assignment 1 - </w:t>
      </w:r>
      <w:r w:rsidRPr="00A7054E">
        <w:rPr>
          <w:rFonts w:ascii="Arial" w:hAnsi="Arial" w:cs="Arial"/>
          <w:b/>
        </w:rPr>
        <w:t>BMLW6007</w:t>
      </w:r>
      <w:r w:rsidR="00186956">
        <w:rPr>
          <w:rFonts w:ascii="Arial" w:hAnsi="Arial" w:cs="Arial"/>
          <w:b/>
        </w:rPr>
        <w:t xml:space="preserve"> </w:t>
      </w:r>
    </w:p>
    <w:p w14:paraId="216E36EE" w14:textId="77777777" w:rsidR="00A7054E" w:rsidRDefault="00A7054E" w:rsidP="001425DB">
      <w:pPr>
        <w:pStyle w:val="pb-2"/>
        <w:spacing w:line="360" w:lineRule="auto"/>
        <w:rPr>
          <w:rFonts w:ascii="Arial" w:hAnsi="Arial" w:cs="Arial"/>
        </w:rPr>
      </w:pPr>
    </w:p>
    <w:p w14:paraId="11CE8E2A" w14:textId="77777777" w:rsidR="00A7054E" w:rsidRDefault="00A7054E" w:rsidP="001425DB">
      <w:pPr>
        <w:pStyle w:val="pb-2"/>
        <w:spacing w:line="360" w:lineRule="auto"/>
        <w:rPr>
          <w:rFonts w:ascii="Arial" w:hAnsi="Arial" w:cs="Arial"/>
        </w:rPr>
      </w:pPr>
    </w:p>
    <w:p w14:paraId="2E62267F" w14:textId="77777777" w:rsidR="00A7054E" w:rsidRDefault="00A7054E" w:rsidP="001425DB">
      <w:pPr>
        <w:pStyle w:val="pb-2"/>
        <w:spacing w:line="360" w:lineRule="auto"/>
        <w:rPr>
          <w:rFonts w:ascii="Arial" w:hAnsi="Arial" w:cs="Arial"/>
        </w:rPr>
      </w:pPr>
    </w:p>
    <w:p w14:paraId="6AD80C2C" w14:textId="77777777" w:rsidR="00A7054E" w:rsidRDefault="00A7054E" w:rsidP="001425DB">
      <w:pPr>
        <w:pStyle w:val="pb-2"/>
        <w:spacing w:line="360" w:lineRule="auto"/>
        <w:rPr>
          <w:rFonts w:ascii="Arial" w:hAnsi="Arial" w:cs="Arial"/>
        </w:rPr>
      </w:pPr>
    </w:p>
    <w:p w14:paraId="315C9154" w14:textId="77777777" w:rsidR="00A7054E" w:rsidRDefault="00A7054E" w:rsidP="001425DB">
      <w:pPr>
        <w:pStyle w:val="pb-2"/>
        <w:spacing w:line="360" w:lineRule="auto"/>
        <w:rPr>
          <w:rFonts w:ascii="Arial" w:hAnsi="Arial" w:cs="Arial"/>
        </w:rPr>
      </w:pPr>
    </w:p>
    <w:p w14:paraId="7EB0A063" w14:textId="77777777" w:rsidR="00A7054E" w:rsidRDefault="00A7054E" w:rsidP="001425DB">
      <w:pPr>
        <w:pStyle w:val="pb-2"/>
        <w:spacing w:line="360" w:lineRule="auto"/>
        <w:rPr>
          <w:rFonts w:ascii="Arial" w:hAnsi="Arial" w:cs="Arial"/>
        </w:rPr>
      </w:pPr>
    </w:p>
    <w:p w14:paraId="5379F01C" w14:textId="77777777" w:rsidR="00A7054E" w:rsidRDefault="00A7054E" w:rsidP="001425DB">
      <w:pPr>
        <w:pStyle w:val="pb-2"/>
        <w:spacing w:line="360" w:lineRule="auto"/>
        <w:rPr>
          <w:rFonts w:ascii="Arial" w:hAnsi="Arial" w:cs="Arial"/>
        </w:rPr>
      </w:pPr>
    </w:p>
    <w:p w14:paraId="1B585538" w14:textId="77777777" w:rsidR="00A7054E" w:rsidRDefault="00A7054E" w:rsidP="001425DB">
      <w:pPr>
        <w:pStyle w:val="pb-2"/>
        <w:spacing w:line="360" w:lineRule="auto"/>
        <w:rPr>
          <w:rFonts w:ascii="Arial" w:hAnsi="Arial" w:cs="Arial"/>
        </w:rPr>
      </w:pPr>
    </w:p>
    <w:p w14:paraId="2DF97AD9" w14:textId="77777777" w:rsidR="00A7054E" w:rsidRDefault="00A7054E" w:rsidP="001425DB">
      <w:pPr>
        <w:pStyle w:val="pb-2"/>
        <w:spacing w:line="360" w:lineRule="auto"/>
        <w:rPr>
          <w:rFonts w:ascii="Arial" w:hAnsi="Arial" w:cs="Arial"/>
        </w:rPr>
      </w:pPr>
    </w:p>
    <w:p w14:paraId="04FE62DC" w14:textId="77777777" w:rsidR="00A7054E" w:rsidRDefault="00A7054E" w:rsidP="001425DB">
      <w:pPr>
        <w:pStyle w:val="pb-2"/>
        <w:spacing w:line="360" w:lineRule="auto"/>
        <w:rPr>
          <w:rFonts w:ascii="Arial" w:hAnsi="Arial" w:cs="Arial"/>
        </w:rPr>
      </w:pPr>
    </w:p>
    <w:p w14:paraId="17C5E747" w14:textId="77777777" w:rsidR="00A7054E" w:rsidRDefault="00A7054E" w:rsidP="001425DB">
      <w:pPr>
        <w:pStyle w:val="pb-2"/>
        <w:spacing w:line="360" w:lineRule="auto"/>
        <w:rPr>
          <w:rFonts w:ascii="Arial" w:hAnsi="Arial" w:cs="Arial"/>
        </w:rPr>
      </w:pPr>
    </w:p>
    <w:p w14:paraId="07A88B68" w14:textId="77777777" w:rsidR="00A7054E" w:rsidRDefault="00A7054E" w:rsidP="001425DB">
      <w:pPr>
        <w:pStyle w:val="pb-2"/>
        <w:spacing w:line="360" w:lineRule="auto"/>
        <w:rPr>
          <w:rFonts w:ascii="Arial" w:hAnsi="Arial" w:cs="Arial"/>
        </w:rPr>
      </w:pPr>
    </w:p>
    <w:p w14:paraId="4F38715D" w14:textId="77777777" w:rsidR="00A7054E" w:rsidRDefault="00A7054E" w:rsidP="001425DB">
      <w:pPr>
        <w:pStyle w:val="pb-2"/>
        <w:spacing w:line="360" w:lineRule="auto"/>
        <w:rPr>
          <w:rFonts w:ascii="Arial" w:hAnsi="Arial" w:cs="Arial"/>
        </w:rPr>
      </w:pPr>
    </w:p>
    <w:p w14:paraId="1A347828" w14:textId="77777777" w:rsidR="00A7054E" w:rsidRDefault="00A7054E" w:rsidP="001425DB">
      <w:pPr>
        <w:pStyle w:val="pb-2"/>
        <w:spacing w:line="360" w:lineRule="auto"/>
        <w:rPr>
          <w:rFonts w:ascii="Arial" w:hAnsi="Arial" w:cs="Arial"/>
        </w:rPr>
      </w:pPr>
    </w:p>
    <w:p w14:paraId="0E8CA639" w14:textId="77777777" w:rsidR="00A7054E" w:rsidRDefault="00A7054E" w:rsidP="001425DB">
      <w:pPr>
        <w:pStyle w:val="pb-2"/>
        <w:spacing w:line="360" w:lineRule="auto"/>
        <w:rPr>
          <w:rFonts w:ascii="Arial" w:hAnsi="Arial" w:cs="Arial"/>
        </w:rPr>
      </w:pPr>
    </w:p>
    <w:p w14:paraId="1950B669" w14:textId="7EB6A47E" w:rsidR="00A7054E" w:rsidRDefault="00A7054E" w:rsidP="001425DB">
      <w:pPr>
        <w:pStyle w:val="pb-2"/>
        <w:spacing w:line="360" w:lineRule="auto"/>
        <w:rPr>
          <w:rFonts w:ascii="Arial" w:hAnsi="Arial" w:cs="Arial"/>
        </w:rPr>
      </w:pPr>
    </w:p>
    <w:p w14:paraId="3FD18184" w14:textId="77777777" w:rsidR="00A7054E" w:rsidRDefault="00A7054E" w:rsidP="001425DB">
      <w:pPr>
        <w:pStyle w:val="pb-2"/>
        <w:spacing w:line="360" w:lineRule="auto"/>
        <w:rPr>
          <w:rFonts w:ascii="Arial" w:hAnsi="Arial" w:cs="Arial"/>
        </w:rPr>
      </w:pPr>
    </w:p>
    <w:p w14:paraId="2F0CE071" w14:textId="2C752640" w:rsidR="00B117E5" w:rsidRPr="004612AC" w:rsidRDefault="00B117E5" w:rsidP="001425DB">
      <w:pPr>
        <w:pStyle w:val="pb-2"/>
        <w:spacing w:line="360" w:lineRule="auto"/>
        <w:rPr>
          <w:rFonts w:ascii="Arial" w:hAnsi="Arial" w:cs="Arial"/>
          <w:color w:val="000000" w:themeColor="text1"/>
        </w:rPr>
      </w:pPr>
      <w:r w:rsidRPr="004612AC">
        <w:rPr>
          <w:rFonts w:ascii="Arial" w:hAnsi="Arial" w:cs="Arial"/>
          <w:color w:val="000000" w:themeColor="text1"/>
        </w:rPr>
        <w:lastRenderedPageBreak/>
        <w:t xml:space="preserve">In this essay, the importance of equity as a modern source of law is discussed through </w:t>
      </w:r>
      <w:r w:rsidRPr="004612AC">
        <w:rPr>
          <w:rStyle w:val="issue-underline"/>
          <w:rFonts w:ascii="Arial" w:hAnsi="Arial" w:cs="Arial"/>
          <w:color w:val="000000" w:themeColor="text1"/>
        </w:rPr>
        <w:t>the lens of</w:t>
      </w:r>
      <w:r w:rsidRPr="004612AC">
        <w:rPr>
          <w:rFonts w:ascii="Arial" w:hAnsi="Arial" w:cs="Arial"/>
          <w:color w:val="000000" w:themeColor="text1"/>
        </w:rPr>
        <w:t xml:space="preserve"> its historical </w:t>
      </w:r>
      <w:r w:rsidRPr="004612AC">
        <w:rPr>
          <w:rStyle w:val="issue-underline"/>
          <w:rFonts w:ascii="Arial" w:hAnsi="Arial" w:cs="Arial"/>
          <w:color w:val="000000" w:themeColor="text1"/>
        </w:rPr>
        <w:t>development,</w:t>
      </w:r>
      <w:r w:rsidRPr="004612AC">
        <w:rPr>
          <w:rFonts w:ascii="Arial" w:hAnsi="Arial" w:cs="Arial"/>
          <w:color w:val="000000" w:themeColor="text1"/>
        </w:rPr>
        <w:t xml:space="preserve"> </w:t>
      </w:r>
      <w:r w:rsidR="00A84EE5">
        <w:rPr>
          <w:rFonts w:ascii="Arial" w:hAnsi="Arial" w:cs="Arial"/>
          <w:color w:val="000000" w:themeColor="text1"/>
        </w:rPr>
        <w:t>concerning</w:t>
      </w:r>
      <w:r w:rsidRPr="004612AC">
        <w:rPr>
          <w:rFonts w:ascii="Arial" w:hAnsi="Arial" w:cs="Arial"/>
          <w:color w:val="000000" w:themeColor="text1"/>
        </w:rPr>
        <w:t xml:space="preserve"> </w:t>
      </w:r>
      <w:r w:rsidR="00A8625A" w:rsidRPr="004612AC">
        <w:rPr>
          <w:rFonts w:ascii="Arial" w:hAnsi="Arial" w:cs="Arial"/>
          <w:color w:val="000000" w:themeColor="text1"/>
        </w:rPr>
        <w:t xml:space="preserve">the role of equity in the laws of England and Wales. The </w:t>
      </w:r>
      <w:r w:rsidR="00D15F5F" w:rsidRPr="004612AC">
        <w:rPr>
          <w:rFonts w:ascii="Arial" w:hAnsi="Arial" w:cs="Arial"/>
          <w:color w:val="000000" w:themeColor="text1"/>
        </w:rPr>
        <w:t xml:space="preserve">focus </w:t>
      </w:r>
      <w:r w:rsidR="00A8625A" w:rsidRPr="004612AC">
        <w:rPr>
          <w:rFonts w:ascii="Arial" w:hAnsi="Arial" w:cs="Arial"/>
          <w:color w:val="000000" w:themeColor="text1"/>
        </w:rPr>
        <w:t xml:space="preserve">throughout this essay </w:t>
      </w:r>
      <w:r w:rsidR="00D15F5F" w:rsidRPr="004612AC">
        <w:rPr>
          <w:rFonts w:ascii="Arial" w:hAnsi="Arial" w:cs="Arial"/>
          <w:color w:val="000000" w:themeColor="text1"/>
        </w:rPr>
        <w:t xml:space="preserve">is predominantly </w:t>
      </w:r>
      <w:r w:rsidR="00A84EE5">
        <w:rPr>
          <w:rFonts w:ascii="Arial" w:hAnsi="Arial" w:cs="Arial"/>
          <w:color w:val="000000" w:themeColor="text1"/>
        </w:rPr>
        <w:t>on the effectiveness of equity, determining the position of common law and</w:t>
      </w:r>
      <w:r w:rsidR="00A8625A" w:rsidRPr="004612AC">
        <w:rPr>
          <w:rFonts w:ascii="Arial" w:hAnsi="Arial" w:cs="Arial"/>
          <w:color w:val="000000" w:themeColor="text1"/>
        </w:rPr>
        <w:t xml:space="preserve"> the issues caused</w:t>
      </w:r>
      <w:r w:rsidR="00D15F5F" w:rsidRPr="004612AC">
        <w:rPr>
          <w:rFonts w:ascii="Arial" w:hAnsi="Arial" w:cs="Arial"/>
          <w:color w:val="000000" w:themeColor="text1"/>
        </w:rPr>
        <w:t xml:space="preserve">. </w:t>
      </w:r>
      <w:r w:rsidRPr="004612AC">
        <w:rPr>
          <w:rFonts w:ascii="Arial" w:hAnsi="Arial" w:cs="Arial"/>
          <w:color w:val="000000" w:themeColor="text1"/>
        </w:rPr>
        <w:t xml:space="preserve">According to Hudson (2008), equity is the process by which a system of law puts the </w:t>
      </w:r>
      <w:r w:rsidR="00A84EE5">
        <w:rPr>
          <w:rFonts w:ascii="Arial" w:hAnsi="Arial" w:cs="Arial"/>
          <w:color w:val="000000" w:themeColor="text1"/>
        </w:rPr>
        <w:t>need</w:t>
      </w:r>
      <w:r w:rsidRPr="004612AC">
        <w:rPr>
          <w:rFonts w:ascii="Arial" w:hAnsi="Arial" w:cs="Arial"/>
          <w:color w:val="000000" w:themeColor="text1"/>
        </w:rPr>
        <w:t xml:space="preserve"> for certainty in rulemaking alongside the need for judicial discretion to ensure fairness in individual factual circumstances. Common law and equity were born from history in the genesis of common law. Elliot and Quinn (2015) concur that England and Wales had two legal systems coexisting until the year 1875: the common law system dating back to the </w:t>
      </w:r>
      <w:r w:rsidR="00E7359E" w:rsidRPr="004612AC">
        <w:rPr>
          <w:rFonts w:ascii="Arial" w:hAnsi="Arial" w:cs="Arial"/>
          <w:color w:val="000000" w:themeColor="text1"/>
        </w:rPr>
        <w:t>eleventh and twelfth</w:t>
      </w:r>
      <w:r w:rsidRPr="004612AC">
        <w:rPr>
          <w:rFonts w:ascii="Arial" w:hAnsi="Arial" w:cs="Arial"/>
          <w:color w:val="000000" w:themeColor="text1"/>
        </w:rPr>
        <w:t xml:space="preserve"> centu</w:t>
      </w:r>
      <w:r w:rsidR="00E7359E" w:rsidRPr="004612AC">
        <w:rPr>
          <w:rFonts w:ascii="Arial" w:hAnsi="Arial" w:cs="Arial"/>
          <w:color w:val="000000" w:themeColor="text1"/>
        </w:rPr>
        <w:t>ries</w:t>
      </w:r>
      <w:r w:rsidRPr="004612AC">
        <w:rPr>
          <w:rFonts w:ascii="Arial" w:hAnsi="Arial" w:cs="Arial"/>
          <w:color w:val="000000" w:themeColor="text1"/>
        </w:rPr>
        <w:t xml:space="preserve">, and the equity system from the </w:t>
      </w:r>
      <w:r w:rsidR="00E7359E" w:rsidRPr="004612AC">
        <w:rPr>
          <w:rFonts w:ascii="Arial" w:hAnsi="Arial" w:cs="Arial"/>
          <w:color w:val="000000" w:themeColor="text1"/>
        </w:rPr>
        <w:t>fourteenth</w:t>
      </w:r>
      <w:r w:rsidRPr="004612AC">
        <w:rPr>
          <w:rFonts w:ascii="Arial" w:hAnsi="Arial" w:cs="Arial"/>
          <w:color w:val="000000" w:themeColor="text1"/>
        </w:rPr>
        <w:t xml:space="preserve"> century. These two laws are derived from the same source of law, the King-in-Council. As the </w:t>
      </w:r>
      <w:r w:rsidR="00E7359E" w:rsidRPr="004612AC">
        <w:rPr>
          <w:rFonts w:ascii="Arial" w:hAnsi="Arial" w:cs="Arial"/>
          <w:color w:val="000000" w:themeColor="text1"/>
        </w:rPr>
        <w:t>nineteenth</w:t>
      </w:r>
      <w:r w:rsidRPr="004612AC">
        <w:rPr>
          <w:rFonts w:ascii="Arial" w:hAnsi="Arial" w:cs="Arial"/>
          <w:color w:val="000000" w:themeColor="text1"/>
        </w:rPr>
        <w:t xml:space="preserve"> century came to an end, they evolved in parallel. The </w:t>
      </w:r>
      <w:r w:rsidRPr="004612AC">
        <w:rPr>
          <w:rStyle w:val="issue-underline"/>
          <w:rFonts w:ascii="Arial" w:hAnsi="Arial" w:cs="Arial"/>
          <w:color w:val="000000" w:themeColor="text1"/>
        </w:rPr>
        <w:t>common</w:t>
      </w:r>
      <w:r w:rsidRPr="004612AC">
        <w:rPr>
          <w:rFonts w:ascii="Arial" w:hAnsi="Arial" w:cs="Arial"/>
          <w:color w:val="000000" w:themeColor="text1"/>
        </w:rPr>
        <w:t xml:space="preserve"> law and equity jurisdictions merged in 1876. </w:t>
      </w:r>
    </w:p>
    <w:p w14:paraId="3245EE5A" w14:textId="4E05E024" w:rsidR="0058010B" w:rsidRPr="004612AC" w:rsidRDefault="00B117E5" w:rsidP="001425DB">
      <w:pPr>
        <w:spacing w:line="360" w:lineRule="auto"/>
        <w:rPr>
          <w:rStyle w:val="Strong"/>
          <w:rFonts w:ascii="Arial" w:hAnsi="Arial" w:cs="Arial"/>
          <w:b w:val="0"/>
          <w:bCs w:val="0"/>
          <w:color w:val="000000" w:themeColor="text1"/>
          <w:sz w:val="24"/>
          <w:szCs w:val="24"/>
        </w:rPr>
      </w:pPr>
      <w:r w:rsidRPr="004612AC">
        <w:rPr>
          <w:rFonts w:ascii="Arial" w:hAnsi="Arial" w:cs="Arial"/>
          <w:color w:val="000000" w:themeColor="text1"/>
          <w:sz w:val="24"/>
          <w:szCs w:val="24"/>
        </w:rPr>
        <w:t xml:space="preserve">Common law, also known as case law, is a body of unwritten laws based on legal precedents established by the courts. </w:t>
      </w:r>
      <w:r w:rsidRPr="004612AC">
        <w:rPr>
          <w:rStyle w:val="Strong"/>
          <w:rFonts w:ascii="Arial" w:hAnsi="Arial" w:cs="Arial"/>
          <w:b w:val="0"/>
          <w:bCs w:val="0"/>
          <w:color w:val="000000" w:themeColor="text1"/>
          <w:sz w:val="24"/>
          <w:szCs w:val="24"/>
        </w:rPr>
        <w:t>It evolved from the practices of the English royal courts after the Norman Conquest in 1066</w:t>
      </w:r>
      <w:r w:rsidR="0058010B" w:rsidRPr="004612AC">
        <w:rPr>
          <w:rStyle w:val="Strong"/>
          <w:rFonts w:ascii="Arial" w:hAnsi="Arial" w:cs="Arial"/>
          <w:b w:val="0"/>
          <w:bCs w:val="0"/>
          <w:color w:val="000000" w:themeColor="text1"/>
          <w:sz w:val="24"/>
          <w:szCs w:val="24"/>
        </w:rPr>
        <w:t xml:space="preserve"> and was created by the King</w:t>
      </w:r>
      <w:r w:rsidRPr="004612AC">
        <w:rPr>
          <w:rStyle w:val="Strong"/>
          <w:rFonts w:ascii="Arial" w:hAnsi="Arial" w:cs="Arial"/>
          <w:b w:val="0"/>
          <w:bCs w:val="0"/>
          <w:color w:val="000000" w:themeColor="text1"/>
          <w:sz w:val="24"/>
          <w:szCs w:val="24"/>
        </w:rPr>
        <w:t>.</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Courts of local jurisdiction were organised within feudal structures and administered by feudal lords.</w:t>
      </w:r>
      <w:r w:rsidRPr="004612AC">
        <w:rPr>
          <w:rStyle w:val="apple-converted-space"/>
          <w:rFonts w:ascii="Arial" w:hAnsi="Arial" w:cs="Arial"/>
          <w:color w:val="000000" w:themeColor="text1"/>
          <w:sz w:val="24"/>
          <w:szCs w:val="24"/>
        </w:rPr>
        <w:t> </w:t>
      </w:r>
      <w:r w:rsidRPr="004612AC">
        <w:rPr>
          <w:rStyle w:val="Strong"/>
          <w:rFonts w:ascii="Arial" w:hAnsi="Arial" w:cs="Arial"/>
          <w:b w:val="0"/>
          <w:bCs w:val="0"/>
          <w:color w:val="000000" w:themeColor="text1"/>
          <w:sz w:val="24"/>
          <w:szCs w:val="24"/>
        </w:rPr>
        <w:t>As part of the Royal Courts, also known as the Courts of Common Pleas, there were three courts: the King's Bench, the Court of Common Pleas, and the Exchequer</w:t>
      </w:r>
      <w:r w:rsidR="00B71629" w:rsidRPr="004612AC">
        <w:rPr>
          <w:rStyle w:val="Strong"/>
          <w:rFonts w:ascii="Arial" w:hAnsi="Arial" w:cs="Arial"/>
          <w:b w:val="0"/>
          <w:bCs w:val="0"/>
          <w:color w:val="000000" w:themeColor="text1"/>
          <w:sz w:val="24"/>
          <w:szCs w:val="24"/>
        </w:rPr>
        <w:t xml:space="preserve"> </w:t>
      </w:r>
      <w:r w:rsidRPr="004612AC">
        <w:rPr>
          <w:rStyle w:val="Strong"/>
          <w:rFonts w:ascii="Arial" w:hAnsi="Arial" w:cs="Arial"/>
          <w:b w:val="0"/>
          <w:bCs w:val="0"/>
          <w:color w:val="000000" w:themeColor="text1"/>
          <w:sz w:val="24"/>
          <w:szCs w:val="24"/>
        </w:rPr>
        <w:t xml:space="preserve">(Ramjohn, 2019). </w:t>
      </w:r>
    </w:p>
    <w:p w14:paraId="6B29CAD5" w14:textId="77777777" w:rsidR="00433252" w:rsidRPr="004612AC" w:rsidRDefault="00433252" w:rsidP="001425DB">
      <w:pPr>
        <w:spacing w:line="360" w:lineRule="auto"/>
        <w:rPr>
          <w:rStyle w:val="apple-converted-space"/>
          <w:rFonts w:ascii="Arial" w:hAnsi="Arial" w:cs="Arial"/>
          <w:color w:val="000000" w:themeColor="text1"/>
          <w:sz w:val="24"/>
          <w:szCs w:val="24"/>
        </w:rPr>
      </w:pPr>
    </w:p>
    <w:p w14:paraId="5C01F7EA" w14:textId="25493726" w:rsidR="00C64471" w:rsidRPr="004612AC" w:rsidRDefault="00C64471" w:rsidP="001425DB">
      <w:pPr>
        <w:spacing w:line="360" w:lineRule="auto"/>
        <w:rPr>
          <w:rStyle w:val="apple-converted-space"/>
          <w:rFonts w:ascii="Arial" w:hAnsi="Arial" w:cs="Arial"/>
          <w:color w:val="000000" w:themeColor="text1"/>
          <w:sz w:val="24"/>
          <w:szCs w:val="24"/>
        </w:rPr>
      </w:pPr>
      <w:r w:rsidRPr="004612AC">
        <w:rPr>
          <w:rFonts w:ascii="Arial" w:hAnsi="Arial" w:cs="Arial"/>
          <w:color w:val="000000" w:themeColor="text1"/>
          <w:sz w:val="24"/>
          <w:szCs w:val="24"/>
        </w:rPr>
        <w:t>T</w:t>
      </w:r>
      <w:r w:rsidR="00E7359E" w:rsidRPr="004612AC">
        <w:rPr>
          <w:rFonts w:ascii="Arial" w:hAnsi="Arial" w:cs="Arial"/>
          <w:color w:val="000000" w:themeColor="text1"/>
          <w:sz w:val="24"/>
          <w:szCs w:val="24"/>
        </w:rPr>
        <w:t xml:space="preserve">o elaborate, the </w:t>
      </w:r>
      <w:r w:rsidRPr="004612AC">
        <w:rPr>
          <w:rFonts w:ascii="Arial" w:hAnsi="Arial" w:cs="Arial"/>
          <w:color w:val="000000" w:themeColor="text1"/>
          <w:sz w:val="24"/>
          <w:szCs w:val="24"/>
        </w:rPr>
        <w:t xml:space="preserve">common law system was </w:t>
      </w:r>
      <w:r w:rsidR="00433252">
        <w:rPr>
          <w:rFonts w:ascii="Arial" w:hAnsi="Arial" w:cs="Arial"/>
          <w:color w:val="000000" w:themeColor="text1"/>
          <w:sz w:val="24"/>
          <w:szCs w:val="24"/>
        </w:rPr>
        <w:t xml:space="preserve">restrictive, and </w:t>
      </w:r>
      <w:r w:rsidR="00433252" w:rsidRPr="004612AC">
        <w:rPr>
          <w:rStyle w:val="apple-converted-space"/>
          <w:rFonts w:ascii="Arial" w:hAnsi="Arial" w:cs="Arial"/>
          <w:color w:val="000000" w:themeColor="text1"/>
          <w:sz w:val="24"/>
          <w:szCs w:val="24"/>
        </w:rPr>
        <w:t>the overall attitude of the judges was strict and inflexible</w:t>
      </w:r>
      <w:r w:rsidRPr="004612AC">
        <w:rPr>
          <w:rFonts w:ascii="Arial" w:hAnsi="Arial" w:cs="Arial"/>
          <w:color w:val="000000" w:themeColor="text1"/>
          <w:sz w:val="24"/>
          <w:szCs w:val="24"/>
        </w:rPr>
        <w:t>.</w:t>
      </w:r>
      <w:r w:rsidRPr="004612AC">
        <w:rPr>
          <w:rStyle w:val="apple-converted-space"/>
          <w:rFonts w:ascii="Arial" w:hAnsi="Arial" w:cs="Arial"/>
          <w:color w:val="000000" w:themeColor="text1"/>
          <w:sz w:val="24"/>
          <w:szCs w:val="24"/>
        </w:rPr>
        <w:t> </w:t>
      </w:r>
      <w:r w:rsidRPr="004612AC">
        <w:rPr>
          <w:rStyle w:val="issue-underline"/>
          <w:rFonts w:ascii="Arial" w:hAnsi="Arial" w:cs="Arial"/>
          <w:color w:val="000000" w:themeColor="text1"/>
          <w:sz w:val="24"/>
          <w:szCs w:val="24"/>
        </w:rPr>
        <w:t>Nonetheless,</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claimants could petition the King if no remedy had been awarded or was available.</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The King eventually delegated this function to his chief minister, the Lord Chancellor. For determining whether a remedy should be awarded in an individual case, the Lord Chancellor was likely to have considered biblical notions of fairness and justice</w:t>
      </w:r>
      <w:r w:rsidR="00931DCF">
        <w:rPr>
          <w:rFonts w:ascii="Arial" w:hAnsi="Arial" w:cs="Arial"/>
          <w:color w:val="000000" w:themeColor="text1"/>
          <w:sz w:val="24"/>
          <w:szCs w:val="24"/>
        </w:rPr>
        <w:t xml:space="preserve">. </w:t>
      </w:r>
      <w:r w:rsidR="00BA22F1" w:rsidRPr="004612AC">
        <w:rPr>
          <w:rFonts w:ascii="Arial" w:hAnsi="Arial" w:cs="Arial"/>
          <w:color w:val="000000" w:themeColor="text1"/>
          <w:sz w:val="24"/>
          <w:szCs w:val="24"/>
        </w:rPr>
        <w:t>H</w:t>
      </w:r>
      <w:r w:rsidRPr="004612AC">
        <w:rPr>
          <w:rFonts w:ascii="Arial" w:hAnsi="Arial" w:cs="Arial"/>
          <w:color w:val="000000" w:themeColor="text1"/>
          <w:sz w:val="24"/>
          <w:szCs w:val="24"/>
        </w:rPr>
        <w:t>owever, the Lord Chancellor's decision was influenced by his conscience.</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As a discretionary system, equity developed through the exercise of conscience</w:t>
      </w:r>
      <w:r w:rsidR="00031EA7" w:rsidRPr="004612AC">
        <w:rPr>
          <w:rFonts w:ascii="Arial" w:hAnsi="Arial" w:cs="Arial"/>
          <w:color w:val="000000" w:themeColor="text1"/>
          <w:sz w:val="24"/>
          <w:szCs w:val="24"/>
        </w:rPr>
        <w:t xml:space="preserve"> </w:t>
      </w:r>
      <w:r w:rsidR="00A57850" w:rsidRPr="004612AC">
        <w:rPr>
          <w:rFonts w:ascii="Arial" w:hAnsi="Arial" w:cs="Arial"/>
          <w:color w:val="000000" w:themeColor="text1"/>
          <w:sz w:val="24"/>
          <w:szCs w:val="24"/>
        </w:rPr>
        <w:t xml:space="preserve">(Davies and Virgo, 2019). </w:t>
      </w:r>
    </w:p>
    <w:p w14:paraId="05E10ECB" w14:textId="77777777" w:rsidR="0058010B" w:rsidRPr="004612AC" w:rsidRDefault="0058010B" w:rsidP="00B117E5">
      <w:pPr>
        <w:spacing w:line="360" w:lineRule="auto"/>
        <w:rPr>
          <w:rStyle w:val="Strong"/>
          <w:rFonts w:ascii="Arial" w:hAnsi="Arial" w:cs="Arial"/>
          <w:b w:val="0"/>
          <w:bCs w:val="0"/>
          <w:color w:val="000000" w:themeColor="text1"/>
          <w:sz w:val="24"/>
          <w:szCs w:val="24"/>
        </w:rPr>
      </w:pPr>
    </w:p>
    <w:p w14:paraId="084EFE65" w14:textId="0BEC3887" w:rsidR="00A55851" w:rsidRPr="004612AC" w:rsidRDefault="00E7359E" w:rsidP="00B117E5">
      <w:pPr>
        <w:spacing w:line="360" w:lineRule="auto"/>
        <w:rPr>
          <w:rStyle w:val="apple-converted-space"/>
          <w:rFonts w:ascii="-webkit-standard" w:hAnsi="-webkit-standard"/>
          <w:color w:val="000000" w:themeColor="text1"/>
          <w:sz w:val="27"/>
          <w:szCs w:val="27"/>
        </w:rPr>
      </w:pPr>
      <w:r w:rsidRPr="004612AC">
        <w:rPr>
          <w:rFonts w:ascii="Arial" w:hAnsi="Arial" w:cs="Arial"/>
          <w:color w:val="000000" w:themeColor="text1"/>
          <w:sz w:val="24"/>
          <w:szCs w:val="24"/>
        </w:rPr>
        <w:t>Furthermore, t</w:t>
      </w:r>
      <w:r w:rsidR="00B117E5" w:rsidRPr="004612AC">
        <w:rPr>
          <w:rFonts w:ascii="Arial" w:hAnsi="Arial" w:cs="Arial"/>
          <w:color w:val="000000" w:themeColor="text1"/>
          <w:sz w:val="24"/>
          <w:szCs w:val="24"/>
        </w:rPr>
        <w:t>he common law frequently caused</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issues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with the writ system.</w:t>
      </w:r>
      <w:r w:rsidR="00B117E5" w:rsidRPr="004612AC">
        <w:rPr>
          <w:rStyle w:val="apple-converted-space"/>
          <w:rFonts w:ascii="Arial" w:hAnsi="Arial" w:cs="Arial"/>
          <w:color w:val="000000" w:themeColor="text1"/>
          <w:sz w:val="24"/>
          <w:szCs w:val="24"/>
        </w:rPr>
        <w:t xml:space="preserve"> It was established that </w:t>
      </w:r>
      <w:r w:rsidR="00B117E5" w:rsidRPr="004612AC">
        <w:rPr>
          <w:rFonts w:ascii="Arial" w:hAnsi="Arial" w:cs="Arial"/>
          <w:color w:val="000000" w:themeColor="text1"/>
          <w:sz w:val="24"/>
          <w:szCs w:val="24"/>
        </w:rPr>
        <w:t>the chancellor must grant a writ if someone wants to bring a case to the royal court.</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The use of old writs was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acceptable, however,</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 xml:space="preserve">there </w:t>
      </w:r>
      <w:r w:rsidR="00B117E5" w:rsidRPr="004612AC">
        <w:rPr>
          <w:rFonts w:ascii="Arial" w:hAnsi="Arial" w:cs="Arial"/>
          <w:color w:val="000000" w:themeColor="text1"/>
          <w:sz w:val="24"/>
          <w:szCs w:val="24"/>
        </w:rPr>
        <w:lastRenderedPageBreak/>
        <w:t>were</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limitations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to</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using</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 xml:space="preserve">new </w:t>
      </w:r>
      <w:r w:rsidR="00B117E5" w:rsidRPr="004612AC">
        <w:rPr>
          <w:rFonts w:ascii="Arial" w:hAnsi="Arial" w:cs="Arial"/>
          <w:color w:val="000000" w:themeColor="text1"/>
          <w:sz w:val="24"/>
          <w:szCs w:val="24"/>
        </w:rPr>
        <w:t>ones due to the need for</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new</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 xml:space="preserve">remedies to be imposed, which the </w:t>
      </w:r>
      <w:r w:rsidR="00A84EE5">
        <w:rPr>
          <w:rFonts w:ascii="Arial" w:hAnsi="Arial" w:cs="Arial"/>
          <w:color w:val="000000" w:themeColor="text1"/>
          <w:sz w:val="24"/>
          <w:szCs w:val="24"/>
        </w:rPr>
        <w:t>King's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Council</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did not want. Therefore, no</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new</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writs could be issued without permission from the King's Council in the</w:t>
      </w:r>
      <w:r w:rsidR="00B117E5" w:rsidRPr="004612AC">
        <w:rPr>
          <w:rStyle w:val="apple-converted-space"/>
          <w:rFonts w:ascii="Arial" w:hAnsi="Arial" w:cs="Arial"/>
          <w:color w:val="000000" w:themeColor="text1"/>
          <w:sz w:val="24"/>
          <w:szCs w:val="24"/>
        </w:rPr>
        <w:t> </w:t>
      </w:r>
      <w:r w:rsidR="00727188" w:rsidRPr="004612AC">
        <w:rPr>
          <w:rStyle w:val="apple-converted-space"/>
          <w:rFonts w:ascii="Arial" w:hAnsi="Arial" w:cs="Arial"/>
          <w:color w:val="000000" w:themeColor="text1"/>
          <w:sz w:val="24"/>
          <w:szCs w:val="24"/>
        </w:rPr>
        <w:t>(</w:t>
      </w:r>
      <w:r w:rsidR="00B117E5" w:rsidRPr="004612AC">
        <w:rPr>
          <w:rStyle w:val="issue-underline"/>
          <w:rFonts w:ascii="Arial" w:hAnsi="Arial" w:cs="Arial"/>
          <w:color w:val="000000" w:themeColor="text1"/>
          <w:sz w:val="24"/>
          <w:szCs w:val="24"/>
        </w:rPr>
        <w:t>Provision of Oxford</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1248). This resulted in many cases</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becoming</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unsolved.</w:t>
      </w:r>
      <w:r w:rsidR="00B117E5" w:rsidRPr="004612AC">
        <w:rPr>
          <w:rStyle w:val="apple-converted-space"/>
          <w:rFonts w:ascii="-webkit-standard" w:hAnsi="-webkit-standard"/>
          <w:color w:val="000000" w:themeColor="text1"/>
          <w:sz w:val="27"/>
          <w:szCs w:val="27"/>
        </w:rPr>
        <w:t> </w:t>
      </w:r>
      <w:r w:rsidR="00BA5B28" w:rsidRPr="004612AC">
        <w:rPr>
          <w:rFonts w:ascii="Arial" w:hAnsi="Arial" w:cs="Arial"/>
          <w:color w:val="000000" w:themeColor="text1"/>
          <w:sz w:val="24"/>
          <w:szCs w:val="24"/>
        </w:rPr>
        <w:t>The number of petitions to the Chancellor grew over the fifteenth and sixteenth centuries, resulting in common lawsuits, which established the technical and inflexible forms of action, leading at the time to a situation in which a just case might fail because of the lack of formalities (Oldham, 2005)</w:t>
      </w:r>
    </w:p>
    <w:p w14:paraId="6C1C7982" w14:textId="5AB3C17E" w:rsidR="00A55851" w:rsidRPr="004612AC" w:rsidRDefault="00546102" w:rsidP="0053655C">
      <w:pPr>
        <w:pStyle w:val="pb-2"/>
        <w:spacing w:line="360" w:lineRule="auto"/>
        <w:rPr>
          <w:rStyle w:val="apple-converted-space"/>
          <w:rFonts w:ascii="Arial" w:hAnsi="Arial" w:cs="Arial"/>
          <w:color w:val="000000" w:themeColor="text1"/>
        </w:rPr>
      </w:pPr>
      <w:r w:rsidRPr="004612AC">
        <w:rPr>
          <w:rFonts w:ascii="Arial" w:hAnsi="Arial" w:cs="Arial"/>
          <w:color w:val="000000" w:themeColor="text1"/>
        </w:rPr>
        <w:t>A</w:t>
      </w:r>
      <w:r w:rsidR="00E7359E" w:rsidRPr="004612AC">
        <w:rPr>
          <w:rFonts w:ascii="Arial" w:hAnsi="Arial" w:cs="Arial"/>
          <w:color w:val="000000" w:themeColor="text1"/>
        </w:rPr>
        <w:t>dditionally, a</w:t>
      </w:r>
      <w:r w:rsidRPr="004612AC">
        <w:rPr>
          <w:rFonts w:ascii="Arial" w:hAnsi="Arial" w:cs="Arial"/>
          <w:color w:val="000000" w:themeColor="text1"/>
        </w:rPr>
        <w:t xml:space="preserve">s monetary compensation was not suitable for a fair and just remedy, the law of equity was established in the court of chancery in the fourteenth century, </w:t>
      </w:r>
      <w:r w:rsidR="00A84EE5">
        <w:rPr>
          <w:rFonts w:ascii="Arial" w:hAnsi="Arial" w:cs="Arial"/>
          <w:color w:val="000000" w:themeColor="text1"/>
        </w:rPr>
        <w:t>because</w:t>
      </w:r>
      <w:r w:rsidRPr="004612AC">
        <w:rPr>
          <w:rFonts w:ascii="Arial" w:hAnsi="Arial" w:cs="Arial"/>
          <w:color w:val="000000" w:themeColor="text1"/>
        </w:rPr>
        <w:t xml:space="preserve"> the common law was unsuitable, and sometimes a well-deserving plaintiff was denied access due to the narrow and rigid standards of writs.</w:t>
      </w:r>
      <w:r w:rsidRPr="004612AC">
        <w:rPr>
          <w:rStyle w:val="apple-converted-space"/>
          <w:rFonts w:ascii="Arial" w:hAnsi="Arial" w:cs="Arial"/>
          <w:color w:val="000000" w:themeColor="text1"/>
        </w:rPr>
        <w:t> </w:t>
      </w:r>
      <w:r w:rsidRPr="004612AC">
        <w:rPr>
          <w:rFonts w:ascii="Arial" w:hAnsi="Arial" w:cs="Arial"/>
          <w:color w:val="000000" w:themeColor="text1"/>
        </w:rPr>
        <w:t>Throughout history, the twelve maxims have been filtered through previous decisions.</w:t>
      </w:r>
      <w:r w:rsidRPr="004612AC">
        <w:rPr>
          <w:rStyle w:val="apple-converted-space"/>
          <w:rFonts w:ascii="Arial" w:hAnsi="Arial" w:cs="Arial"/>
          <w:color w:val="000000" w:themeColor="text1"/>
        </w:rPr>
        <w:t> </w:t>
      </w:r>
      <w:r w:rsidRPr="004612AC">
        <w:rPr>
          <w:rFonts w:ascii="Arial" w:hAnsi="Arial" w:cs="Arial"/>
          <w:color w:val="000000" w:themeColor="text1"/>
        </w:rPr>
        <w:t xml:space="preserve">For those who have not acted </w:t>
      </w:r>
      <w:r w:rsidR="00A84EE5">
        <w:rPr>
          <w:rFonts w:ascii="Arial" w:hAnsi="Arial" w:cs="Arial"/>
          <w:color w:val="000000" w:themeColor="text1"/>
        </w:rPr>
        <w:t>equitably</w:t>
      </w:r>
      <w:r w:rsidRPr="004612AC">
        <w:rPr>
          <w:rFonts w:ascii="Arial" w:hAnsi="Arial" w:cs="Arial"/>
          <w:color w:val="000000" w:themeColor="text1"/>
        </w:rPr>
        <w:t xml:space="preserve">, these maxims limit the grant of equitable remedies (Virgo, 2020). A constant conflict existed between the decisions of the </w:t>
      </w:r>
      <w:r w:rsidR="00A84EE5">
        <w:rPr>
          <w:rFonts w:ascii="Arial" w:hAnsi="Arial" w:cs="Arial"/>
          <w:color w:val="000000" w:themeColor="text1"/>
        </w:rPr>
        <w:t>Court</w:t>
      </w:r>
      <w:r w:rsidRPr="004612AC">
        <w:rPr>
          <w:rFonts w:ascii="Arial" w:hAnsi="Arial" w:cs="Arial"/>
          <w:color w:val="000000" w:themeColor="text1"/>
        </w:rPr>
        <w:t xml:space="preserve"> of </w:t>
      </w:r>
      <w:r w:rsidR="00A84EE5">
        <w:rPr>
          <w:rFonts w:ascii="Arial" w:hAnsi="Arial" w:cs="Arial"/>
          <w:color w:val="000000" w:themeColor="text1"/>
        </w:rPr>
        <w:t>Chancery</w:t>
      </w:r>
      <w:r w:rsidRPr="004612AC">
        <w:rPr>
          <w:rFonts w:ascii="Arial" w:hAnsi="Arial" w:cs="Arial"/>
          <w:color w:val="000000" w:themeColor="text1"/>
        </w:rPr>
        <w:t xml:space="preserve"> and the common law during the seventeenth century.</w:t>
      </w:r>
      <w:r w:rsidRPr="004612AC">
        <w:rPr>
          <w:rStyle w:val="apple-converted-space"/>
          <w:rFonts w:ascii="Arial" w:hAnsi="Arial" w:cs="Arial"/>
          <w:color w:val="000000" w:themeColor="text1"/>
        </w:rPr>
        <w:t> </w:t>
      </w:r>
      <w:r w:rsidRPr="004612AC">
        <w:rPr>
          <w:rFonts w:ascii="Arial" w:hAnsi="Arial" w:cs="Arial"/>
          <w:color w:val="000000" w:themeColor="text1"/>
        </w:rPr>
        <w:t xml:space="preserve">This rivalry was ended in </w:t>
      </w:r>
      <w:r w:rsidR="00727188" w:rsidRPr="004612AC">
        <w:rPr>
          <w:rFonts w:ascii="Arial" w:hAnsi="Arial" w:cs="Arial"/>
          <w:color w:val="000000" w:themeColor="text1"/>
        </w:rPr>
        <w:t>the ‘</w:t>
      </w:r>
      <w:r w:rsidRPr="004612AC">
        <w:rPr>
          <w:rFonts w:ascii="Arial" w:hAnsi="Arial" w:cs="Arial"/>
          <w:color w:val="000000" w:themeColor="text1"/>
        </w:rPr>
        <w:t>Earl of</w:t>
      </w:r>
      <w:r w:rsidRPr="004612AC">
        <w:rPr>
          <w:rStyle w:val="apple-converted-space"/>
          <w:rFonts w:ascii="Arial" w:hAnsi="Arial" w:cs="Arial"/>
          <w:color w:val="000000" w:themeColor="text1"/>
        </w:rPr>
        <w:t> </w:t>
      </w:r>
      <w:r w:rsidRPr="004612AC">
        <w:rPr>
          <w:rFonts w:ascii="Arial" w:hAnsi="Arial" w:cs="Arial"/>
          <w:color w:val="000000" w:themeColor="text1"/>
        </w:rPr>
        <w:t xml:space="preserve">Oxford's </w:t>
      </w:r>
      <w:r w:rsidR="00727188" w:rsidRPr="004612AC">
        <w:rPr>
          <w:rFonts w:ascii="Arial" w:hAnsi="Arial" w:cs="Arial"/>
          <w:color w:val="000000" w:themeColor="text1"/>
        </w:rPr>
        <w:t>C</w:t>
      </w:r>
      <w:r w:rsidRPr="004612AC">
        <w:rPr>
          <w:rFonts w:ascii="Arial" w:hAnsi="Arial" w:cs="Arial"/>
          <w:color w:val="000000" w:themeColor="text1"/>
        </w:rPr>
        <w:t>ase</w:t>
      </w:r>
      <w:r w:rsidR="00727188" w:rsidRPr="004612AC">
        <w:rPr>
          <w:rFonts w:ascii="Arial" w:hAnsi="Arial" w:cs="Arial"/>
          <w:color w:val="000000" w:themeColor="text1"/>
        </w:rPr>
        <w:t>’ (</w:t>
      </w:r>
      <w:r w:rsidRPr="004612AC">
        <w:rPr>
          <w:rFonts w:ascii="Arial" w:hAnsi="Arial" w:cs="Arial"/>
          <w:color w:val="000000" w:themeColor="text1"/>
        </w:rPr>
        <w:t>1615</w:t>
      </w:r>
      <w:r w:rsidR="00727188" w:rsidRPr="004612AC">
        <w:rPr>
          <w:rFonts w:ascii="Arial" w:hAnsi="Arial" w:cs="Arial"/>
          <w:color w:val="000000" w:themeColor="text1"/>
        </w:rPr>
        <w:t>)</w:t>
      </w:r>
      <w:r w:rsidR="00CC0FAC" w:rsidRPr="004612AC">
        <w:rPr>
          <w:rFonts w:ascii="Arial" w:hAnsi="Arial" w:cs="Arial"/>
          <w:color w:val="000000" w:themeColor="text1"/>
        </w:rPr>
        <w:t>, i</w:t>
      </w:r>
      <w:r w:rsidRPr="004612AC">
        <w:rPr>
          <w:rFonts w:ascii="Arial" w:hAnsi="Arial" w:cs="Arial"/>
          <w:color w:val="000000" w:themeColor="text1"/>
        </w:rPr>
        <w:t xml:space="preserve">n which the </w:t>
      </w:r>
      <w:r w:rsidR="00CC0FAC" w:rsidRPr="004612AC">
        <w:rPr>
          <w:rFonts w:ascii="Arial" w:hAnsi="Arial" w:cs="Arial"/>
          <w:color w:val="000000" w:themeColor="text1"/>
        </w:rPr>
        <w:t>K</w:t>
      </w:r>
      <w:r w:rsidRPr="004612AC">
        <w:rPr>
          <w:rFonts w:ascii="Arial" w:hAnsi="Arial" w:cs="Arial"/>
          <w:color w:val="000000" w:themeColor="text1"/>
        </w:rPr>
        <w:t xml:space="preserve">ing stated, </w:t>
      </w:r>
      <w:r w:rsidR="00865770" w:rsidRPr="004612AC">
        <w:rPr>
          <w:rFonts w:ascii="Arial" w:hAnsi="Arial" w:cs="Arial"/>
          <w:color w:val="000000" w:themeColor="text1"/>
        </w:rPr>
        <w:t>“</w:t>
      </w:r>
      <w:r w:rsidRPr="004612AC">
        <w:rPr>
          <w:rFonts w:ascii="Arial" w:hAnsi="Arial" w:cs="Arial"/>
          <w:color w:val="000000" w:themeColor="text1"/>
        </w:rPr>
        <w:t>Where common law and equity conflict equity should prevail</w:t>
      </w:r>
      <w:r w:rsidR="00865770" w:rsidRPr="004612AC">
        <w:rPr>
          <w:rFonts w:ascii="Arial" w:hAnsi="Arial" w:cs="Arial"/>
          <w:color w:val="000000" w:themeColor="text1"/>
        </w:rPr>
        <w:t>”</w:t>
      </w:r>
      <w:r w:rsidRPr="004612AC">
        <w:rPr>
          <w:rFonts w:ascii="Arial" w:hAnsi="Arial" w:cs="Arial"/>
          <w:color w:val="000000" w:themeColor="text1"/>
        </w:rPr>
        <w:t>.</w:t>
      </w:r>
      <w:r w:rsidRPr="004612AC">
        <w:rPr>
          <w:rStyle w:val="apple-converted-space"/>
          <w:rFonts w:ascii="Arial" w:hAnsi="Arial" w:cs="Arial"/>
          <w:color w:val="000000" w:themeColor="text1"/>
        </w:rPr>
        <w:t> </w:t>
      </w:r>
      <w:r w:rsidRPr="004612AC">
        <w:rPr>
          <w:rFonts w:ascii="Arial" w:hAnsi="Arial" w:cs="Arial"/>
          <w:color w:val="000000" w:themeColor="text1"/>
        </w:rPr>
        <w:t>There is now a unified court system, in which common law and equity are decided by the same judges</w:t>
      </w:r>
      <w:r w:rsidR="00727188" w:rsidRPr="004612AC">
        <w:rPr>
          <w:rFonts w:ascii="Arial" w:hAnsi="Arial" w:cs="Arial"/>
          <w:color w:val="000000" w:themeColor="text1"/>
        </w:rPr>
        <w:t xml:space="preserve">. </w:t>
      </w:r>
    </w:p>
    <w:p w14:paraId="41819416" w14:textId="5C84E3B4" w:rsidR="00B117E5" w:rsidRPr="004612AC" w:rsidRDefault="00B117E5"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Moreover, </w:t>
      </w:r>
      <w:r w:rsidR="00E7359E" w:rsidRPr="004612AC">
        <w:rPr>
          <w:rFonts w:ascii="Arial" w:hAnsi="Arial" w:cs="Arial"/>
          <w:color w:val="000000" w:themeColor="text1"/>
        </w:rPr>
        <w:t>e</w:t>
      </w:r>
      <w:r w:rsidRPr="004612AC">
        <w:rPr>
          <w:rFonts w:ascii="Arial" w:hAnsi="Arial" w:cs="Arial"/>
          <w:color w:val="000000" w:themeColor="text1"/>
        </w:rPr>
        <w:t xml:space="preserve">quity distinguishes itself from </w:t>
      </w:r>
      <w:r w:rsidR="00E7359E" w:rsidRPr="004612AC">
        <w:rPr>
          <w:rFonts w:ascii="Arial" w:hAnsi="Arial" w:cs="Arial"/>
          <w:color w:val="000000" w:themeColor="text1"/>
        </w:rPr>
        <w:t>c</w:t>
      </w:r>
      <w:r w:rsidRPr="004612AC">
        <w:rPr>
          <w:rFonts w:ascii="Arial" w:hAnsi="Arial" w:cs="Arial"/>
          <w:color w:val="000000" w:themeColor="text1"/>
        </w:rPr>
        <w:t xml:space="preserve">ommon </w:t>
      </w:r>
      <w:r w:rsidR="00E7359E" w:rsidRPr="004612AC">
        <w:rPr>
          <w:rFonts w:ascii="Arial" w:hAnsi="Arial" w:cs="Arial"/>
          <w:color w:val="000000" w:themeColor="text1"/>
        </w:rPr>
        <w:t>l</w:t>
      </w:r>
      <w:r w:rsidRPr="004612AC">
        <w:rPr>
          <w:rFonts w:ascii="Arial" w:hAnsi="Arial" w:cs="Arial"/>
          <w:color w:val="000000" w:themeColor="text1"/>
        </w:rPr>
        <w:t>aw in several ways.</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These characteristics derive from the historical origins of </w:t>
      </w:r>
      <w:r w:rsidR="00E7359E" w:rsidRPr="004612AC">
        <w:rPr>
          <w:rFonts w:ascii="Arial" w:hAnsi="Arial" w:cs="Arial"/>
          <w:color w:val="000000" w:themeColor="text1"/>
        </w:rPr>
        <w:t>e</w:t>
      </w:r>
      <w:r w:rsidRPr="004612AC">
        <w:rPr>
          <w:rFonts w:ascii="Arial" w:hAnsi="Arial" w:cs="Arial"/>
          <w:color w:val="000000" w:themeColor="text1"/>
        </w:rPr>
        <w:t>quity. Equity has developed from this discretionary jurisdiction into a distinct body of law (Watt, 2021).</w:t>
      </w:r>
      <w:r w:rsidRPr="004612AC">
        <w:rPr>
          <w:rStyle w:val="apple-converted-space"/>
          <w:rFonts w:ascii="Arial" w:hAnsi="Arial" w:cs="Arial"/>
          <w:color w:val="000000" w:themeColor="text1"/>
          <w:sz w:val="27"/>
          <w:szCs w:val="27"/>
        </w:rPr>
        <w:t xml:space="preserve"> </w:t>
      </w:r>
      <w:r w:rsidRPr="004612AC">
        <w:rPr>
          <w:rFonts w:ascii="Arial" w:hAnsi="Arial" w:cs="Arial"/>
          <w:color w:val="000000" w:themeColor="text1"/>
        </w:rPr>
        <w:t xml:space="preserve">There are two fundamental features of </w:t>
      </w:r>
      <w:r w:rsidR="00E7359E" w:rsidRPr="004612AC">
        <w:rPr>
          <w:rFonts w:ascii="Arial" w:hAnsi="Arial" w:cs="Arial"/>
          <w:color w:val="000000" w:themeColor="text1"/>
        </w:rPr>
        <w:t>e</w:t>
      </w:r>
      <w:r w:rsidRPr="004612AC">
        <w:rPr>
          <w:rFonts w:ascii="Arial" w:hAnsi="Arial" w:cs="Arial"/>
          <w:color w:val="000000" w:themeColor="text1"/>
        </w:rPr>
        <w:t xml:space="preserve">quity as a body of law that are evident in this historical relationship between the </w:t>
      </w:r>
      <w:r w:rsidR="00E7359E" w:rsidRPr="004612AC">
        <w:rPr>
          <w:rFonts w:ascii="Arial" w:hAnsi="Arial" w:cs="Arial"/>
          <w:color w:val="000000" w:themeColor="text1"/>
        </w:rPr>
        <w:t>c</w:t>
      </w:r>
      <w:r w:rsidRPr="004612AC">
        <w:rPr>
          <w:rFonts w:ascii="Arial" w:hAnsi="Arial" w:cs="Arial"/>
          <w:color w:val="000000" w:themeColor="text1"/>
        </w:rPr>
        <w:t xml:space="preserve">ommon </w:t>
      </w:r>
      <w:r w:rsidR="00E7359E" w:rsidRPr="004612AC">
        <w:rPr>
          <w:rFonts w:ascii="Arial" w:hAnsi="Arial" w:cs="Arial"/>
          <w:color w:val="000000" w:themeColor="text1"/>
        </w:rPr>
        <w:t>l</w:t>
      </w:r>
      <w:r w:rsidRPr="004612AC">
        <w:rPr>
          <w:rFonts w:ascii="Arial" w:hAnsi="Arial" w:cs="Arial"/>
          <w:color w:val="000000" w:themeColor="text1"/>
        </w:rPr>
        <w:t xml:space="preserve">aw and </w:t>
      </w:r>
      <w:r w:rsidR="00E7359E" w:rsidRPr="004612AC">
        <w:rPr>
          <w:rFonts w:ascii="Arial" w:hAnsi="Arial" w:cs="Arial"/>
          <w:color w:val="000000" w:themeColor="text1"/>
        </w:rPr>
        <w:t>e</w:t>
      </w:r>
      <w:r w:rsidRPr="004612AC">
        <w:rPr>
          <w:rFonts w:ascii="Arial" w:hAnsi="Arial" w:cs="Arial"/>
          <w:color w:val="000000" w:themeColor="text1"/>
        </w:rPr>
        <w:t>quity.</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The main purpose of </w:t>
      </w:r>
      <w:r w:rsidR="00E7359E" w:rsidRPr="004612AC">
        <w:rPr>
          <w:rFonts w:ascii="Arial" w:hAnsi="Arial" w:cs="Arial"/>
          <w:color w:val="000000" w:themeColor="text1"/>
        </w:rPr>
        <w:t>e</w:t>
      </w:r>
      <w:r w:rsidRPr="004612AC">
        <w:rPr>
          <w:rFonts w:ascii="Arial" w:hAnsi="Arial" w:cs="Arial"/>
          <w:color w:val="000000" w:themeColor="text1"/>
        </w:rPr>
        <w:t xml:space="preserve">quity is to modify the harshness and rigidity of the </w:t>
      </w:r>
      <w:r w:rsidR="00E7359E" w:rsidRPr="004612AC">
        <w:rPr>
          <w:rFonts w:ascii="Arial" w:hAnsi="Arial" w:cs="Arial"/>
          <w:color w:val="000000" w:themeColor="text1"/>
        </w:rPr>
        <w:t>c</w:t>
      </w:r>
      <w:r w:rsidRPr="004612AC">
        <w:rPr>
          <w:rFonts w:ascii="Arial" w:hAnsi="Arial" w:cs="Arial"/>
          <w:color w:val="000000" w:themeColor="text1"/>
        </w:rPr>
        <w:t xml:space="preserve">ommon </w:t>
      </w:r>
      <w:r w:rsidR="00E7359E" w:rsidRPr="004612AC">
        <w:rPr>
          <w:rFonts w:ascii="Arial" w:hAnsi="Arial" w:cs="Arial"/>
          <w:color w:val="000000" w:themeColor="text1"/>
        </w:rPr>
        <w:t>l</w:t>
      </w:r>
      <w:r w:rsidRPr="004612AC">
        <w:rPr>
          <w:rFonts w:ascii="Arial" w:hAnsi="Arial" w:cs="Arial"/>
          <w:color w:val="000000" w:themeColor="text1"/>
        </w:rPr>
        <w:t>aw, so it is characterised by flexibility.</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A second reason is that </w:t>
      </w:r>
      <w:r w:rsidR="00E7359E" w:rsidRPr="004612AC">
        <w:rPr>
          <w:rFonts w:ascii="Arial" w:hAnsi="Arial" w:cs="Arial"/>
          <w:color w:val="000000" w:themeColor="text1"/>
        </w:rPr>
        <w:t>e</w:t>
      </w:r>
      <w:r w:rsidRPr="004612AC">
        <w:rPr>
          <w:rFonts w:ascii="Arial" w:hAnsi="Arial" w:cs="Arial"/>
          <w:color w:val="000000" w:themeColor="text1"/>
        </w:rPr>
        <w:t xml:space="preserve">quity was founded on the exercise of the Lord Chancellor's discretion, reflecting his conscience, and as such is a jurisdiction grounded on fairness, justice, and morality (Griffin, 2022). </w:t>
      </w:r>
    </w:p>
    <w:p w14:paraId="30EFE32B" w14:textId="69BDF052" w:rsidR="00727188" w:rsidRPr="004612AC" w:rsidRDefault="00E7359E"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In addition, </w:t>
      </w:r>
      <w:r w:rsidR="008A4AD7" w:rsidRPr="004612AC">
        <w:rPr>
          <w:rFonts w:ascii="Arial" w:hAnsi="Arial" w:cs="Arial"/>
          <w:color w:val="000000" w:themeColor="text1"/>
        </w:rPr>
        <w:t xml:space="preserve">during the nineteenth century, there were two separate courts for common law and equity. However, these courts caused several issues, creating an unideal system. This led to the creation of the </w:t>
      </w:r>
      <w:r w:rsidR="009F7486" w:rsidRPr="004612AC">
        <w:rPr>
          <w:rFonts w:ascii="Arial" w:hAnsi="Arial" w:cs="Arial"/>
          <w:color w:val="000000" w:themeColor="text1"/>
        </w:rPr>
        <w:t>Judicature Act</w:t>
      </w:r>
      <w:r w:rsidR="008A4AD7" w:rsidRPr="004612AC">
        <w:rPr>
          <w:rFonts w:ascii="Arial" w:hAnsi="Arial" w:cs="Arial"/>
          <w:color w:val="000000" w:themeColor="text1"/>
        </w:rPr>
        <w:t xml:space="preserve">, which </w:t>
      </w:r>
      <w:r w:rsidR="009F7486" w:rsidRPr="004612AC">
        <w:rPr>
          <w:rFonts w:ascii="Arial" w:hAnsi="Arial" w:cs="Arial"/>
          <w:color w:val="000000" w:themeColor="text1"/>
        </w:rPr>
        <w:t xml:space="preserve">came into effect </w:t>
      </w:r>
      <w:r w:rsidR="009F7486" w:rsidRPr="004612AC">
        <w:rPr>
          <w:rFonts w:ascii="Arial" w:hAnsi="Arial" w:cs="Arial"/>
          <w:color w:val="000000" w:themeColor="text1"/>
        </w:rPr>
        <w:lastRenderedPageBreak/>
        <w:t xml:space="preserve">in 1875, </w:t>
      </w:r>
      <w:r w:rsidR="008A4AD7" w:rsidRPr="004612AC">
        <w:rPr>
          <w:rFonts w:ascii="Arial" w:hAnsi="Arial" w:cs="Arial"/>
          <w:color w:val="000000" w:themeColor="text1"/>
        </w:rPr>
        <w:t xml:space="preserve">resulting in a </w:t>
      </w:r>
      <w:r w:rsidR="009F7486" w:rsidRPr="004612AC">
        <w:rPr>
          <w:rFonts w:ascii="Arial" w:hAnsi="Arial" w:cs="Arial"/>
          <w:color w:val="000000" w:themeColor="text1"/>
        </w:rPr>
        <w:t>revolution of equity. It was under this Act that equity and common law were administered in the same courts. This led to the use of equitable remedies by the common law courts to a limited extent. It merged administration with principles instead of separating the two. Under section 25 of this Act, however, equity should prevail over common law in cases where there are conflicts or variances between the two</w:t>
      </w:r>
      <w:r w:rsidR="00727188" w:rsidRPr="004612AC">
        <w:rPr>
          <w:rFonts w:ascii="Arial" w:hAnsi="Arial" w:cs="Arial"/>
          <w:color w:val="000000" w:themeColor="text1"/>
        </w:rPr>
        <w:t xml:space="preserve"> (Judicature Act, (1873) Amendment Act, 1875). </w:t>
      </w:r>
    </w:p>
    <w:p w14:paraId="5BD2AF3E" w14:textId="442A668F" w:rsidR="00380E91" w:rsidRPr="004612AC" w:rsidRDefault="00380E91" w:rsidP="00B117E5">
      <w:pPr>
        <w:pStyle w:val="pb-2"/>
        <w:spacing w:line="360" w:lineRule="auto"/>
        <w:rPr>
          <w:rFonts w:ascii="Arial" w:hAnsi="Arial" w:cs="Arial"/>
          <w:color w:val="000000" w:themeColor="text1"/>
        </w:rPr>
      </w:pPr>
      <w:r w:rsidRPr="004612AC">
        <w:rPr>
          <w:rFonts w:ascii="Arial" w:hAnsi="Arial" w:cs="Arial"/>
          <w:color w:val="000000" w:themeColor="text1"/>
        </w:rPr>
        <w:t>In order for the rules of equity to become more structured, two forces had to act.</w:t>
      </w:r>
      <w:r w:rsidRPr="004612AC">
        <w:rPr>
          <w:rStyle w:val="apple-converted-space"/>
          <w:rFonts w:ascii="Arial" w:hAnsi="Arial" w:cs="Arial"/>
          <w:color w:val="000000" w:themeColor="text1"/>
        </w:rPr>
        <w:t> </w:t>
      </w:r>
      <w:r w:rsidRPr="004612AC">
        <w:rPr>
          <w:rFonts w:ascii="Arial" w:hAnsi="Arial" w:cs="Arial"/>
          <w:color w:val="000000" w:themeColor="text1"/>
        </w:rPr>
        <w:t>The doctrine of precedent increased in importance with an increase in case law being published and with more common law lawyers practising and adjudicating in the Chancery.</w:t>
      </w:r>
      <w:r w:rsidRPr="004612AC">
        <w:rPr>
          <w:rStyle w:val="apple-converted-space"/>
          <w:rFonts w:ascii="Arial" w:hAnsi="Arial" w:cs="Arial"/>
          <w:color w:val="000000" w:themeColor="text1"/>
        </w:rPr>
        <w:t> </w:t>
      </w:r>
      <w:r w:rsidRPr="004612AC">
        <w:rPr>
          <w:rFonts w:ascii="Arial" w:hAnsi="Arial" w:cs="Arial"/>
          <w:color w:val="000000" w:themeColor="text1"/>
        </w:rPr>
        <w:t>The Chancellors themselves also enacted a series of reforms.</w:t>
      </w:r>
      <w:r w:rsidRPr="004612AC">
        <w:rPr>
          <w:rStyle w:val="apple-converted-space"/>
          <w:rFonts w:ascii="Arial" w:hAnsi="Arial" w:cs="Arial"/>
          <w:color w:val="000000" w:themeColor="text1"/>
        </w:rPr>
        <w:t> </w:t>
      </w:r>
      <w:r w:rsidRPr="004612AC">
        <w:rPr>
          <w:rFonts w:ascii="Arial" w:hAnsi="Arial" w:cs="Arial"/>
          <w:color w:val="000000" w:themeColor="text1"/>
        </w:rPr>
        <w:t>Rather than allow</w:t>
      </w:r>
      <w:r w:rsidR="00076369" w:rsidRPr="004612AC">
        <w:rPr>
          <w:rFonts w:ascii="Arial" w:hAnsi="Arial" w:cs="Arial"/>
          <w:color w:val="000000" w:themeColor="text1"/>
        </w:rPr>
        <w:t>ing</w:t>
      </w:r>
      <w:r w:rsidRPr="004612AC">
        <w:rPr>
          <w:rFonts w:ascii="Arial" w:hAnsi="Arial" w:cs="Arial"/>
          <w:color w:val="000000" w:themeColor="text1"/>
        </w:rPr>
        <w:t xml:space="preserve"> cases to be decided based on inclinations, Lord Ellesmere and Lord Nottingham began systemati</w:t>
      </w:r>
      <w:r w:rsidR="004950CD" w:rsidRPr="004612AC">
        <w:rPr>
          <w:rFonts w:ascii="Arial" w:hAnsi="Arial" w:cs="Arial"/>
          <w:color w:val="000000" w:themeColor="text1"/>
        </w:rPr>
        <w:t>s</w:t>
      </w:r>
      <w:r w:rsidRPr="004612AC">
        <w:rPr>
          <w:rFonts w:ascii="Arial" w:hAnsi="Arial" w:cs="Arial"/>
          <w:color w:val="000000" w:themeColor="text1"/>
        </w:rPr>
        <w:t xml:space="preserve">ing the rules in the late </w:t>
      </w:r>
      <w:r w:rsidR="00865770" w:rsidRPr="004612AC">
        <w:rPr>
          <w:rFonts w:ascii="Arial" w:hAnsi="Arial" w:cs="Arial"/>
          <w:color w:val="000000" w:themeColor="text1"/>
        </w:rPr>
        <w:t>fifteen</w:t>
      </w:r>
      <w:r w:rsidRPr="004612AC">
        <w:rPr>
          <w:rFonts w:ascii="Arial" w:hAnsi="Arial" w:cs="Arial"/>
          <w:color w:val="000000" w:themeColor="text1"/>
        </w:rPr>
        <w:t xml:space="preserve"> and early </w:t>
      </w:r>
      <w:r w:rsidR="00865770" w:rsidRPr="004612AC">
        <w:rPr>
          <w:rFonts w:ascii="Arial" w:hAnsi="Arial" w:cs="Arial"/>
          <w:color w:val="000000" w:themeColor="text1"/>
        </w:rPr>
        <w:t xml:space="preserve">sixteen </w:t>
      </w:r>
      <w:r w:rsidR="00A84EE5">
        <w:rPr>
          <w:rFonts w:ascii="Arial" w:hAnsi="Arial" w:cs="Arial"/>
          <w:color w:val="000000" w:themeColor="text1"/>
        </w:rPr>
        <w:t>hundred</w:t>
      </w:r>
      <w:r w:rsidR="00BA5B28" w:rsidRPr="004612AC">
        <w:rPr>
          <w:rFonts w:ascii="Arial" w:hAnsi="Arial" w:cs="Arial"/>
          <w:color w:val="000000" w:themeColor="text1"/>
        </w:rPr>
        <w:t xml:space="preserve"> </w:t>
      </w:r>
      <w:r w:rsidR="00022F47" w:rsidRPr="004612AC">
        <w:rPr>
          <w:rFonts w:ascii="Arial" w:hAnsi="Arial" w:cs="Arial"/>
          <w:color w:val="000000" w:themeColor="text1"/>
        </w:rPr>
        <w:t>(</w:t>
      </w:r>
      <w:proofErr w:type="spellStart"/>
      <w:r w:rsidR="00022F47" w:rsidRPr="004612AC">
        <w:rPr>
          <w:rFonts w:ascii="Arial" w:hAnsi="Arial" w:cs="Arial"/>
          <w:color w:val="000000" w:themeColor="text1"/>
        </w:rPr>
        <w:t>Schatzberger</w:t>
      </w:r>
      <w:proofErr w:type="spellEnd"/>
      <w:r w:rsidR="00022F47" w:rsidRPr="004612AC">
        <w:rPr>
          <w:rFonts w:ascii="Arial" w:hAnsi="Arial" w:cs="Arial"/>
          <w:color w:val="000000" w:themeColor="text1"/>
        </w:rPr>
        <w:t xml:space="preserve">, 2020). </w:t>
      </w:r>
      <w:r w:rsidRPr="004612AC">
        <w:rPr>
          <w:rFonts w:ascii="Arial" w:hAnsi="Arial" w:cs="Arial"/>
          <w:color w:val="000000" w:themeColor="text1"/>
        </w:rPr>
        <w:t xml:space="preserve"> In </w:t>
      </w:r>
      <w:r w:rsidR="00022F47" w:rsidRPr="004612AC">
        <w:rPr>
          <w:rFonts w:ascii="Arial" w:hAnsi="Arial" w:cs="Arial"/>
          <w:color w:val="000000" w:themeColor="text1"/>
        </w:rPr>
        <w:t>‘</w:t>
      </w:r>
      <w:r w:rsidRPr="004612AC">
        <w:rPr>
          <w:rFonts w:ascii="Arial" w:hAnsi="Arial" w:cs="Arial"/>
          <w:color w:val="000000" w:themeColor="text1"/>
        </w:rPr>
        <w:t>Cook v Fountain</w:t>
      </w:r>
      <w:r w:rsidR="00022F47" w:rsidRPr="004612AC">
        <w:rPr>
          <w:rFonts w:ascii="Arial" w:hAnsi="Arial" w:cs="Arial"/>
          <w:color w:val="000000" w:themeColor="text1"/>
        </w:rPr>
        <w:t xml:space="preserve">’ </w:t>
      </w:r>
      <w:r w:rsidRPr="004612AC">
        <w:rPr>
          <w:rFonts w:ascii="Arial" w:hAnsi="Arial" w:cs="Arial"/>
          <w:color w:val="000000" w:themeColor="text1"/>
        </w:rPr>
        <w:t>(1676), Lord Nottingham expressed a</w:t>
      </w:r>
      <w:r w:rsidRPr="004612AC">
        <w:rPr>
          <w:rStyle w:val="apple-converted-space"/>
          <w:rFonts w:ascii="Arial" w:hAnsi="Arial" w:cs="Arial"/>
          <w:color w:val="000000" w:themeColor="text1"/>
        </w:rPr>
        <w:t> </w:t>
      </w:r>
      <w:r w:rsidR="00076369" w:rsidRPr="004612AC">
        <w:rPr>
          <w:rStyle w:val="issue-underline"/>
          <w:rFonts w:ascii="Arial" w:hAnsi="Arial" w:cs="Arial"/>
          <w:color w:val="000000" w:themeColor="text1"/>
        </w:rPr>
        <w:t>harsher</w:t>
      </w:r>
      <w:r w:rsidRPr="004612AC">
        <w:rPr>
          <w:rStyle w:val="apple-converted-space"/>
          <w:rFonts w:ascii="Arial" w:hAnsi="Arial" w:cs="Arial"/>
          <w:color w:val="000000" w:themeColor="text1"/>
        </w:rPr>
        <w:t> </w:t>
      </w:r>
      <w:r w:rsidRPr="004612AC">
        <w:rPr>
          <w:rFonts w:ascii="Arial" w:hAnsi="Arial" w:cs="Arial"/>
          <w:color w:val="000000" w:themeColor="text1"/>
        </w:rPr>
        <w:t>and more</w:t>
      </w:r>
      <w:r w:rsidRPr="004612AC">
        <w:rPr>
          <w:rStyle w:val="apple-converted-space"/>
          <w:rFonts w:ascii="Arial" w:hAnsi="Arial" w:cs="Arial"/>
          <w:color w:val="000000" w:themeColor="text1"/>
        </w:rPr>
        <w:t> </w:t>
      </w:r>
      <w:r w:rsidRPr="004612AC">
        <w:rPr>
          <w:rFonts w:ascii="Arial" w:hAnsi="Arial" w:cs="Arial"/>
          <w:color w:val="000000" w:themeColor="text1"/>
        </w:rPr>
        <w:t>rule-based</w:t>
      </w:r>
      <w:r w:rsidRPr="004612AC">
        <w:rPr>
          <w:rStyle w:val="apple-converted-space"/>
          <w:rFonts w:ascii="Arial" w:hAnsi="Arial" w:cs="Arial"/>
          <w:color w:val="000000" w:themeColor="text1"/>
        </w:rPr>
        <w:t> </w:t>
      </w:r>
      <w:r w:rsidRPr="004612AC">
        <w:rPr>
          <w:rFonts w:ascii="Arial" w:hAnsi="Arial" w:cs="Arial"/>
          <w:color w:val="000000" w:themeColor="text1"/>
        </w:rPr>
        <w:t>character of equity. A substantive body of equitable rules and principles was created following his</w:t>
      </w:r>
      <w:r w:rsidRPr="004612AC">
        <w:rPr>
          <w:rStyle w:val="apple-converted-space"/>
          <w:rFonts w:ascii="Arial" w:hAnsi="Arial" w:cs="Arial"/>
          <w:color w:val="000000" w:themeColor="text1"/>
        </w:rPr>
        <w:t> </w:t>
      </w:r>
      <w:r w:rsidRPr="004612AC">
        <w:rPr>
          <w:rFonts w:ascii="Arial" w:hAnsi="Arial" w:cs="Arial"/>
          <w:color w:val="000000" w:themeColor="text1"/>
        </w:rPr>
        <w:t>statement</w:t>
      </w:r>
      <w:r w:rsidR="008D35BB" w:rsidRPr="004612AC">
        <w:rPr>
          <w:rFonts w:ascii="Arial" w:hAnsi="Arial" w:cs="Arial"/>
          <w:color w:val="000000" w:themeColor="text1"/>
        </w:rPr>
        <w:t xml:space="preserve"> in this case</w:t>
      </w:r>
      <w:r w:rsidRPr="004612AC">
        <w:rPr>
          <w:rFonts w:ascii="Arial" w:hAnsi="Arial" w:cs="Arial"/>
          <w:color w:val="000000" w:themeColor="text1"/>
        </w:rPr>
        <w:t>;</w:t>
      </w:r>
      <w:r w:rsidRPr="004612AC">
        <w:rPr>
          <w:rStyle w:val="apple-converted-space"/>
          <w:rFonts w:ascii="Arial" w:hAnsi="Arial" w:cs="Arial"/>
          <w:color w:val="000000" w:themeColor="text1"/>
        </w:rPr>
        <w:t> </w:t>
      </w:r>
      <w:r w:rsidRPr="004612AC">
        <w:rPr>
          <w:rFonts w:ascii="Arial" w:hAnsi="Arial" w:cs="Arial"/>
          <w:color w:val="000000" w:themeColor="text1"/>
        </w:rPr>
        <w:t>"The conscience by which I am</w:t>
      </w:r>
      <w:r w:rsidRPr="004612AC">
        <w:rPr>
          <w:rStyle w:val="apple-converted-space"/>
          <w:rFonts w:ascii="Arial" w:hAnsi="Arial" w:cs="Arial"/>
          <w:color w:val="000000" w:themeColor="text1"/>
        </w:rPr>
        <w:t> </w:t>
      </w:r>
      <w:r w:rsidRPr="004612AC">
        <w:rPr>
          <w:rFonts w:ascii="Arial" w:hAnsi="Arial" w:cs="Arial"/>
          <w:color w:val="000000" w:themeColor="text1"/>
        </w:rPr>
        <w:t>proceeding</w:t>
      </w:r>
      <w:r w:rsidRPr="004612AC">
        <w:rPr>
          <w:rStyle w:val="apple-converted-space"/>
          <w:rFonts w:ascii="Arial" w:hAnsi="Arial" w:cs="Arial"/>
          <w:color w:val="000000" w:themeColor="text1"/>
        </w:rPr>
        <w:t> </w:t>
      </w:r>
      <w:r w:rsidRPr="004612AC">
        <w:rPr>
          <w:rFonts w:ascii="Arial" w:hAnsi="Arial" w:cs="Arial"/>
          <w:color w:val="000000" w:themeColor="text1"/>
        </w:rPr>
        <w:t>is merely</w:t>
      </w:r>
      <w:r w:rsidRPr="004612AC">
        <w:rPr>
          <w:rStyle w:val="apple-converted-space"/>
          <w:rFonts w:ascii="Arial" w:hAnsi="Arial" w:cs="Arial"/>
          <w:color w:val="000000" w:themeColor="text1"/>
        </w:rPr>
        <w:t> </w:t>
      </w:r>
      <w:r w:rsidRPr="004612AC">
        <w:rPr>
          <w:rFonts w:ascii="Arial" w:hAnsi="Arial" w:cs="Arial"/>
          <w:color w:val="000000" w:themeColor="text1"/>
        </w:rPr>
        <w:t>civilis et</w:t>
      </w:r>
      <w:r w:rsidRPr="004612AC">
        <w:rPr>
          <w:rStyle w:val="apple-converted-space"/>
          <w:rFonts w:ascii="Arial" w:hAnsi="Arial" w:cs="Arial"/>
          <w:color w:val="000000" w:themeColor="text1"/>
        </w:rPr>
        <w:t> </w:t>
      </w:r>
      <w:r w:rsidRPr="004612AC">
        <w:rPr>
          <w:rFonts w:ascii="Arial" w:hAnsi="Arial" w:cs="Arial"/>
          <w:color w:val="000000" w:themeColor="text1"/>
        </w:rPr>
        <w:t>politica and tied to certain</w:t>
      </w:r>
      <w:r w:rsidRPr="004612AC">
        <w:rPr>
          <w:rStyle w:val="apple-converted-space"/>
          <w:rFonts w:ascii="Arial" w:hAnsi="Arial" w:cs="Arial"/>
          <w:color w:val="000000" w:themeColor="text1"/>
        </w:rPr>
        <w:t> </w:t>
      </w:r>
      <w:r w:rsidRPr="004612AC">
        <w:rPr>
          <w:rFonts w:ascii="Arial" w:hAnsi="Arial" w:cs="Arial"/>
          <w:color w:val="000000" w:themeColor="text1"/>
        </w:rPr>
        <w:t>measures</w:t>
      </w:r>
      <w:r w:rsidR="00076369" w:rsidRPr="004612AC">
        <w:rPr>
          <w:rFonts w:ascii="Arial" w:hAnsi="Arial" w:cs="Arial"/>
          <w:color w:val="000000" w:themeColor="text1"/>
        </w:rPr>
        <w:t>”.</w:t>
      </w:r>
      <w:r w:rsidR="00D01EB3">
        <w:rPr>
          <w:rFonts w:ascii="Arial" w:hAnsi="Arial" w:cs="Arial"/>
          <w:color w:val="000000" w:themeColor="text1"/>
        </w:rPr>
        <w:t xml:space="preserve"> </w:t>
      </w:r>
      <w:r w:rsidR="00FD3A62">
        <w:rPr>
          <w:rFonts w:ascii="Arial" w:hAnsi="Arial" w:cs="Arial"/>
          <w:color w:val="000000" w:themeColor="text1"/>
        </w:rPr>
        <w:t>This</w:t>
      </w:r>
      <w:r w:rsidR="00D01EB3">
        <w:rPr>
          <w:rFonts w:ascii="Arial" w:hAnsi="Arial" w:cs="Arial"/>
          <w:color w:val="000000" w:themeColor="text1"/>
        </w:rPr>
        <w:t xml:space="preserve"> statement demonstrates how equity can also be restrictive, </w:t>
      </w:r>
      <w:r w:rsidR="00E32E39">
        <w:rPr>
          <w:rFonts w:ascii="Arial" w:hAnsi="Arial" w:cs="Arial"/>
          <w:color w:val="000000" w:themeColor="text1"/>
        </w:rPr>
        <w:t>which influences injustice</w:t>
      </w:r>
      <w:r w:rsidR="00FD3A62">
        <w:rPr>
          <w:rFonts w:ascii="Arial" w:hAnsi="Arial" w:cs="Arial"/>
          <w:color w:val="000000" w:themeColor="text1"/>
        </w:rPr>
        <w:t>s</w:t>
      </w:r>
      <w:r w:rsidR="00E32E39">
        <w:rPr>
          <w:rFonts w:ascii="Arial" w:hAnsi="Arial" w:cs="Arial"/>
          <w:color w:val="000000" w:themeColor="text1"/>
        </w:rPr>
        <w:t xml:space="preserve">. </w:t>
      </w:r>
    </w:p>
    <w:p w14:paraId="2369B630" w14:textId="13F36C14" w:rsidR="0053655C" w:rsidRPr="004612AC" w:rsidRDefault="00A57850"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Duddington (2009) </w:t>
      </w:r>
      <w:r w:rsidR="0089314D" w:rsidRPr="004612AC">
        <w:rPr>
          <w:rFonts w:ascii="Arial" w:hAnsi="Arial" w:cs="Arial"/>
          <w:color w:val="000000" w:themeColor="text1"/>
        </w:rPr>
        <w:t xml:space="preserve">specifies </w:t>
      </w:r>
      <w:r w:rsidR="00E7359E" w:rsidRPr="004612AC">
        <w:rPr>
          <w:rFonts w:ascii="Arial" w:hAnsi="Arial" w:cs="Arial"/>
          <w:color w:val="000000" w:themeColor="text1"/>
        </w:rPr>
        <w:t>the</w:t>
      </w:r>
      <w:r w:rsidR="00865770" w:rsidRPr="004612AC">
        <w:rPr>
          <w:rFonts w:ascii="Arial" w:hAnsi="Arial" w:cs="Arial"/>
          <w:color w:val="000000" w:themeColor="text1"/>
        </w:rPr>
        <w:t>re are</w:t>
      </w:r>
      <w:r w:rsidR="00E7359E" w:rsidRPr="004612AC">
        <w:rPr>
          <w:rFonts w:ascii="Arial" w:hAnsi="Arial" w:cs="Arial"/>
          <w:color w:val="000000" w:themeColor="text1"/>
        </w:rPr>
        <w:t xml:space="preserve"> </w:t>
      </w:r>
      <w:r w:rsidR="0053655C" w:rsidRPr="004612AC">
        <w:rPr>
          <w:rFonts w:ascii="Arial" w:hAnsi="Arial" w:cs="Arial"/>
          <w:color w:val="000000" w:themeColor="text1"/>
        </w:rPr>
        <w:t>two rules created for the court of chancery</w:t>
      </w:r>
      <w:r w:rsidR="00865770" w:rsidRPr="004612AC">
        <w:rPr>
          <w:rFonts w:ascii="Arial" w:hAnsi="Arial" w:cs="Arial"/>
          <w:color w:val="000000" w:themeColor="text1"/>
        </w:rPr>
        <w:t xml:space="preserve">; </w:t>
      </w:r>
      <w:r w:rsidR="0053655C" w:rsidRPr="004612AC">
        <w:rPr>
          <w:rFonts w:ascii="Arial" w:hAnsi="Arial" w:cs="Arial"/>
          <w:color w:val="000000" w:themeColor="text1"/>
        </w:rPr>
        <w:t>The defendant could be integrated, and the only remedy was an injunction. A penalty of imprisonment was issued for failing to follow this outcome. Th</w:t>
      </w:r>
      <w:r w:rsidR="00BA5B28" w:rsidRPr="004612AC">
        <w:rPr>
          <w:rFonts w:ascii="Arial" w:hAnsi="Arial" w:cs="Arial"/>
          <w:color w:val="000000" w:themeColor="text1"/>
        </w:rPr>
        <w:t>e</w:t>
      </w:r>
      <w:r w:rsidR="0053655C" w:rsidRPr="004612AC">
        <w:rPr>
          <w:rFonts w:ascii="Arial" w:hAnsi="Arial" w:cs="Arial"/>
          <w:color w:val="000000" w:themeColor="text1"/>
        </w:rPr>
        <w:t xml:space="preserve"> foundation of equity </w:t>
      </w:r>
      <w:r w:rsidR="00BA5B28" w:rsidRPr="004612AC">
        <w:rPr>
          <w:rFonts w:ascii="Arial" w:hAnsi="Arial" w:cs="Arial"/>
          <w:color w:val="000000" w:themeColor="text1"/>
        </w:rPr>
        <w:t xml:space="preserve">following the ‘Earl of Oxford’s case’ </w:t>
      </w:r>
      <w:r w:rsidR="0053655C" w:rsidRPr="004612AC">
        <w:rPr>
          <w:rFonts w:ascii="Arial" w:hAnsi="Arial" w:cs="Arial"/>
          <w:color w:val="000000" w:themeColor="text1"/>
        </w:rPr>
        <w:t>continued</w:t>
      </w:r>
      <w:r w:rsidR="00CC0FAC" w:rsidRPr="004612AC">
        <w:rPr>
          <w:rFonts w:ascii="Arial" w:hAnsi="Arial" w:cs="Arial"/>
          <w:color w:val="000000" w:themeColor="text1"/>
        </w:rPr>
        <w:t>, where in the eighteenth century, Lord Nottingham created the law of perpetuities, where a court order concern</w:t>
      </w:r>
      <w:r w:rsidR="0089314D" w:rsidRPr="004612AC">
        <w:rPr>
          <w:rFonts w:ascii="Arial" w:hAnsi="Arial" w:cs="Arial"/>
          <w:color w:val="000000" w:themeColor="text1"/>
        </w:rPr>
        <w:t>ed</w:t>
      </w:r>
      <w:r w:rsidR="00CC0FAC" w:rsidRPr="004612AC">
        <w:rPr>
          <w:rFonts w:ascii="Arial" w:hAnsi="Arial" w:cs="Arial"/>
          <w:color w:val="000000" w:themeColor="text1"/>
        </w:rPr>
        <w:t xml:space="preserve"> awarding damages in a particular amount of time. As of the nineteenth century, it would be the individual’s choice of which court to attend. However, it was established that equity kept growing, leading to disputes between the two courts becoming unable to do each other’s </w:t>
      </w:r>
      <w:r w:rsidR="0089314D" w:rsidRPr="004612AC">
        <w:rPr>
          <w:rFonts w:ascii="Arial" w:hAnsi="Arial" w:cs="Arial"/>
          <w:color w:val="000000" w:themeColor="text1"/>
        </w:rPr>
        <w:t xml:space="preserve">roles. </w:t>
      </w:r>
    </w:p>
    <w:p w14:paraId="194C9134" w14:textId="2103887C" w:rsidR="00757531" w:rsidRPr="004612AC" w:rsidRDefault="00757531"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Among the leading cases illustrating the difference between modern equity and older equity, </w:t>
      </w:r>
      <w:r w:rsidR="00022F47" w:rsidRPr="004612AC">
        <w:rPr>
          <w:rFonts w:ascii="Arial" w:hAnsi="Arial" w:cs="Arial"/>
          <w:color w:val="000000" w:themeColor="text1"/>
        </w:rPr>
        <w:t>‘</w:t>
      </w:r>
      <w:r w:rsidRPr="004612AC">
        <w:rPr>
          <w:rFonts w:ascii="Arial" w:hAnsi="Arial" w:cs="Arial"/>
          <w:color w:val="000000" w:themeColor="text1"/>
        </w:rPr>
        <w:t>Walsh v Lonsdale</w:t>
      </w:r>
      <w:r w:rsidR="00022F47" w:rsidRPr="004612AC">
        <w:rPr>
          <w:rFonts w:ascii="Arial" w:hAnsi="Arial" w:cs="Arial"/>
          <w:color w:val="000000" w:themeColor="text1"/>
        </w:rPr>
        <w:t>’</w:t>
      </w:r>
      <w:r w:rsidRPr="004612AC">
        <w:rPr>
          <w:rFonts w:ascii="Arial" w:hAnsi="Arial" w:cs="Arial"/>
          <w:color w:val="000000" w:themeColor="text1"/>
        </w:rPr>
        <w:t xml:space="preserve"> </w:t>
      </w:r>
      <w:r w:rsidR="00022F47" w:rsidRPr="004612AC">
        <w:rPr>
          <w:rFonts w:ascii="Arial" w:hAnsi="Arial" w:cs="Arial"/>
          <w:color w:val="000000" w:themeColor="text1"/>
        </w:rPr>
        <w:t>(</w:t>
      </w:r>
      <w:r w:rsidRPr="004612AC">
        <w:rPr>
          <w:rFonts w:ascii="Arial" w:hAnsi="Arial" w:cs="Arial"/>
          <w:color w:val="000000" w:themeColor="text1"/>
        </w:rPr>
        <w:t>1882</w:t>
      </w:r>
      <w:r w:rsidR="00022F47" w:rsidRPr="004612AC">
        <w:rPr>
          <w:rFonts w:ascii="Arial" w:hAnsi="Arial" w:cs="Arial"/>
          <w:color w:val="000000" w:themeColor="text1"/>
        </w:rPr>
        <w:t>)</w:t>
      </w:r>
      <w:r w:rsidRPr="004612AC">
        <w:rPr>
          <w:rFonts w:ascii="Arial" w:hAnsi="Arial" w:cs="Arial"/>
          <w:color w:val="000000" w:themeColor="text1"/>
        </w:rPr>
        <w:t xml:space="preserve"> illustrates how equity supplements common law when there are no appropriate remedies.</w:t>
      </w:r>
      <w:r w:rsidRPr="004612AC">
        <w:rPr>
          <w:rStyle w:val="apple-converted-space"/>
          <w:rFonts w:ascii="Arial" w:hAnsi="Arial" w:cs="Arial"/>
          <w:color w:val="000000" w:themeColor="text1"/>
          <w:sz w:val="27"/>
          <w:szCs w:val="27"/>
        </w:rPr>
        <w:t> </w:t>
      </w:r>
      <w:r w:rsidR="00022F47" w:rsidRPr="004612AC">
        <w:rPr>
          <w:rFonts w:ascii="Arial" w:hAnsi="Arial" w:cs="Arial"/>
          <w:color w:val="000000" w:themeColor="text1"/>
        </w:rPr>
        <w:t>Due to</w:t>
      </w:r>
      <w:r w:rsidRPr="004612AC">
        <w:rPr>
          <w:rFonts w:ascii="Arial" w:hAnsi="Arial" w:cs="Arial"/>
          <w:color w:val="000000" w:themeColor="text1"/>
        </w:rPr>
        <w:t xml:space="preserve"> the lease </w:t>
      </w:r>
      <w:r w:rsidR="00022F47" w:rsidRPr="004612AC">
        <w:rPr>
          <w:rFonts w:ascii="Arial" w:hAnsi="Arial" w:cs="Arial"/>
          <w:color w:val="000000" w:themeColor="text1"/>
        </w:rPr>
        <w:t>being</w:t>
      </w:r>
      <w:r w:rsidRPr="004612AC">
        <w:rPr>
          <w:rFonts w:ascii="Arial" w:hAnsi="Arial" w:cs="Arial"/>
          <w:color w:val="000000" w:themeColor="text1"/>
        </w:rPr>
        <w:t xml:space="preserve"> subject to the terms of the executory lease agreement, the landlord was entitled to claim the rent in </w:t>
      </w:r>
      <w:r w:rsidRPr="004612AC">
        <w:rPr>
          <w:rFonts w:ascii="Arial" w:hAnsi="Arial" w:cs="Arial"/>
          <w:color w:val="000000" w:themeColor="text1"/>
        </w:rPr>
        <w:lastRenderedPageBreak/>
        <w:t>advance.</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In this case, the court ordered specific performance, </w:t>
      </w:r>
      <w:r w:rsidR="00865770" w:rsidRPr="004612AC">
        <w:rPr>
          <w:rFonts w:ascii="Arial" w:hAnsi="Arial" w:cs="Arial"/>
          <w:color w:val="000000" w:themeColor="text1"/>
        </w:rPr>
        <w:t>however,</w:t>
      </w:r>
      <w:r w:rsidRPr="004612AC">
        <w:rPr>
          <w:rFonts w:ascii="Arial" w:hAnsi="Arial" w:cs="Arial"/>
          <w:color w:val="000000" w:themeColor="text1"/>
        </w:rPr>
        <w:t xml:space="preserve"> it is from the same court as opposed to different courts.</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It is clear from th</w:t>
      </w:r>
      <w:r w:rsidR="0089314D" w:rsidRPr="004612AC">
        <w:rPr>
          <w:rFonts w:ascii="Arial" w:hAnsi="Arial" w:cs="Arial"/>
          <w:color w:val="000000" w:themeColor="text1"/>
        </w:rPr>
        <w:t>is</w:t>
      </w:r>
      <w:r w:rsidRPr="004612AC">
        <w:rPr>
          <w:rFonts w:ascii="Arial" w:hAnsi="Arial" w:cs="Arial"/>
          <w:color w:val="000000" w:themeColor="text1"/>
        </w:rPr>
        <w:t xml:space="preserve"> judgment that the Judicature Act has a profound effect on the administration of law and equity.</w:t>
      </w:r>
      <w:r w:rsidRPr="004612AC">
        <w:rPr>
          <w:rFonts w:ascii="Arial" w:hAnsi="Arial" w:cs="Arial"/>
          <w:color w:val="000000" w:themeColor="text1"/>
          <w:sz w:val="27"/>
          <w:szCs w:val="27"/>
        </w:rPr>
        <w:t> </w:t>
      </w:r>
      <w:r w:rsidRPr="004612AC">
        <w:rPr>
          <w:rFonts w:ascii="Arial" w:hAnsi="Arial" w:cs="Arial"/>
          <w:color w:val="000000" w:themeColor="text1"/>
        </w:rPr>
        <w:t xml:space="preserve"> </w:t>
      </w:r>
    </w:p>
    <w:p w14:paraId="20C089AC" w14:textId="1D4D2619" w:rsidR="009F7486" w:rsidRPr="004612AC" w:rsidRDefault="00A57850"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Bray (2020) explains that </w:t>
      </w:r>
      <w:r w:rsidR="00931DCF">
        <w:rPr>
          <w:rFonts w:ascii="Arial" w:hAnsi="Arial" w:cs="Arial"/>
          <w:color w:val="000000" w:themeColor="text1"/>
        </w:rPr>
        <w:t>the development of equity provided more flexible answers,</w:t>
      </w:r>
      <w:r w:rsidR="009A620B" w:rsidRPr="004612AC">
        <w:rPr>
          <w:rFonts w:ascii="Arial" w:hAnsi="Arial" w:cs="Arial"/>
          <w:color w:val="000000" w:themeColor="text1"/>
        </w:rPr>
        <w:t xml:space="preserve"> sometimes more suited to particular circumstances.</w:t>
      </w:r>
      <w:r w:rsidR="009A620B" w:rsidRPr="004612AC">
        <w:rPr>
          <w:rStyle w:val="apple-converted-space"/>
          <w:rFonts w:ascii="Arial" w:hAnsi="Arial" w:cs="Arial"/>
          <w:color w:val="000000" w:themeColor="text1"/>
        </w:rPr>
        <w:t> </w:t>
      </w:r>
      <w:r w:rsidR="00A84EE5">
        <w:rPr>
          <w:rStyle w:val="apple-converted-space"/>
          <w:rFonts w:ascii="Arial" w:hAnsi="Arial" w:cs="Arial"/>
          <w:color w:val="000000" w:themeColor="text1"/>
        </w:rPr>
        <w:t>Several equitable remedies could</w:t>
      </w:r>
      <w:r w:rsidR="009A620B" w:rsidRPr="004612AC">
        <w:rPr>
          <w:rFonts w:ascii="Arial" w:hAnsi="Arial" w:cs="Arial"/>
          <w:color w:val="000000" w:themeColor="text1"/>
        </w:rPr>
        <w:t xml:space="preserve"> be used to resolve cases. These remedies included injunctions, specific performance, promissory estoppel, rescission, and rectification.</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As part of the injunction procedure, judges can order parties to perform specific acts or transactions or, on the contrary, refrain from doing so.</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 xml:space="preserve">This remedy </w:t>
      </w:r>
      <w:r w:rsidR="00F67C08" w:rsidRPr="004612AC">
        <w:rPr>
          <w:rFonts w:ascii="Arial" w:hAnsi="Arial" w:cs="Arial"/>
          <w:color w:val="000000" w:themeColor="text1"/>
        </w:rPr>
        <w:t>is seen</w:t>
      </w:r>
      <w:r w:rsidR="009A620B" w:rsidRPr="004612AC">
        <w:rPr>
          <w:rFonts w:ascii="Arial" w:hAnsi="Arial" w:cs="Arial"/>
          <w:color w:val="000000" w:themeColor="text1"/>
        </w:rPr>
        <w:t xml:space="preserve"> in</w:t>
      </w:r>
      <w:r w:rsidR="009A620B" w:rsidRPr="004612AC">
        <w:rPr>
          <w:rStyle w:val="apple-converted-space"/>
          <w:rFonts w:ascii="Arial" w:hAnsi="Arial" w:cs="Arial"/>
          <w:color w:val="000000" w:themeColor="text1"/>
        </w:rPr>
        <w:t> </w:t>
      </w:r>
      <w:r w:rsidR="009A620B" w:rsidRPr="004612AC">
        <w:rPr>
          <w:rStyle w:val="issue-underline"/>
          <w:rFonts w:ascii="Arial" w:hAnsi="Arial" w:cs="Arial"/>
          <w:color w:val="000000" w:themeColor="text1"/>
        </w:rPr>
        <w:t>the case of</w:t>
      </w:r>
      <w:r w:rsidR="009A620B" w:rsidRPr="004612AC">
        <w:rPr>
          <w:rFonts w:ascii="Arial" w:hAnsi="Arial" w:cs="Arial"/>
          <w:color w:val="000000" w:themeColor="text1"/>
        </w:rPr>
        <w:t> </w:t>
      </w:r>
      <w:r w:rsidR="00022F47" w:rsidRPr="004612AC">
        <w:rPr>
          <w:rFonts w:ascii="Arial" w:hAnsi="Arial" w:cs="Arial"/>
          <w:color w:val="000000" w:themeColor="text1"/>
        </w:rPr>
        <w:t>‘</w:t>
      </w:r>
      <w:r w:rsidR="009A620B" w:rsidRPr="004612AC">
        <w:rPr>
          <w:rStyle w:val="Emphasis"/>
          <w:rFonts w:ascii="Arial" w:hAnsi="Arial" w:cs="Arial"/>
          <w:i w:val="0"/>
          <w:iCs w:val="0"/>
          <w:color w:val="000000" w:themeColor="text1"/>
        </w:rPr>
        <w:t>Warner Bros. V Nelson</w:t>
      </w:r>
      <w:r w:rsidR="00022F47" w:rsidRPr="004612AC">
        <w:rPr>
          <w:rStyle w:val="Emphasis"/>
          <w:rFonts w:ascii="Arial" w:hAnsi="Arial" w:cs="Arial"/>
          <w:i w:val="0"/>
          <w:iCs w:val="0"/>
          <w:color w:val="000000" w:themeColor="text1"/>
        </w:rPr>
        <w:t>’</w:t>
      </w:r>
      <w:r w:rsidR="009A620B" w:rsidRPr="004612AC">
        <w:rPr>
          <w:rStyle w:val="Emphasis"/>
          <w:rFonts w:ascii="Arial" w:hAnsi="Arial" w:cs="Arial"/>
          <w:color w:val="000000" w:themeColor="text1"/>
        </w:rPr>
        <w:t> </w:t>
      </w:r>
      <w:r w:rsidR="00022F47" w:rsidRPr="004612AC">
        <w:rPr>
          <w:rFonts w:ascii="Arial" w:hAnsi="Arial" w:cs="Arial"/>
          <w:color w:val="000000" w:themeColor="text1"/>
        </w:rPr>
        <w:t>(</w:t>
      </w:r>
      <w:r w:rsidR="009A620B" w:rsidRPr="004612AC">
        <w:rPr>
          <w:rFonts w:ascii="Arial" w:hAnsi="Arial" w:cs="Arial"/>
          <w:color w:val="000000" w:themeColor="text1"/>
        </w:rPr>
        <w:t>1937</w:t>
      </w:r>
      <w:r w:rsidR="00022F47" w:rsidRPr="004612AC">
        <w:rPr>
          <w:rFonts w:ascii="Arial" w:hAnsi="Arial" w:cs="Arial"/>
          <w:color w:val="000000" w:themeColor="text1"/>
        </w:rPr>
        <w:t>)</w:t>
      </w:r>
      <w:r w:rsidR="009A620B" w:rsidRPr="004612AC">
        <w:rPr>
          <w:rFonts w:ascii="Arial" w:hAnsi="Arial" w:cs="Arial"/>
          <w:color w:val="000000" w:themeColor="text1"/>
        </w:rPr>
        <w:t>.</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During this case, a film star named Bette Davis breached her contract with Warner Brothers Pictures and worked for another film company.</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A negative injunction was awarded to Warner Bros to prevent her from working for anyone else.</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 xml:space="preserve">By filing an injunction, you are not only sanctioning past behaviour but also preventing future misconduct. </w:t>
      </w:r>
    </w:p>
    <w:p w14:paraId="2B86D600" w14:textId="16107DC5" w:rsidR="00500000" w:rsidRPr="004612AC" w:rsidRDefault="00BC58CB" w:rsidP="00B117E5">
      <w:pPr>
        <w:pStyle w:val="pb-2"/>
        <w:spacing w:line="360" w:lineRule="auto"/>
        <w:rPr>
          <w:rStyle w:val="apple-converted-space"/>
          <w:rFonts w:ascii="Arial" w:hAnsi="Arial" w:cs="Arial"/>
          <w:color w:val="000000" w:themeColor="text1"/>
        </w:rPr>
      </w:pPr>
      <w:r w:rsidRPr="004612AC">
        <w:rPr>
          <w:rFonts w:ascii="Arial" w:hAnsi="Arial" w:cs="Arial"/>
          <w:color w:val="000000" w:themeColor="text1"/>
        </w:rPr>
        <w:t>Equity continues to evolve in modern times.</w:t>
      </w:r>
      <w:r w:rsidRPr="004612AC">
        <w:rPr>
          <w:rStyle w:val="apple-converted-space"/>
          <w:rFonts w:ascii="Arial" w:hAnsi="Arial" w:cs="Arial"/>
          <w:color w:val="000000" w:themeColor="text1"/>
        </w:rPr>
        <w:t> </w:t>
      </w:r>
      <w:r w:rsidRPr="004612AC">
        <w:rPr>
          <w:rFonts w:ascii="Arial" w:hAnsi="Arial" w:cs="Arial"/>
          <w:color w:val="000000" w:themeColor="text1"/>
        </w:rPr>
        <w:t>As evidenced by Anton Piller Orders, equity plays an increasingly significant role in the civil justice system.</w:t>
      </w:r>
      <w:r w:rsidRPr="004612AC">
        <w:rPr>
          <w:rStyle w:val="apple-converted-space"/>
          <w:rFonts w:ascii="Arial" w:hAnsi="Arial" w:cs="Arial"/>
          <w:color w:val="000000" w:themeColor="text1"/>
        </w:rPr>
        <w:t> </w:t>
      </w:r>
      <w:r w:rsidR="00BA5B28" w:rsidRPr="004612AC">
        <w:rPr>
          <w:rStyle w:val="apple-converted-space"/>
          <w:rFonts w:ascii="Arial" w:hAnsi="Arial" w:cs="Arial"/>
          <w:color w:val="000000" w:themeColor="text1"/>
        </w:rPr>
        <w:t xml:space="preserve">The order </w:t>
      </w:r>
      <w:r w:rsidRPr="004612AC">
        <w:rPr>
          <w:rFonts w:ascii="Arial" w:hAnsi="Arial" w:cs="Arial"/>
          <w:color w:val="000000" w:themeColor="text1"/>
        </w:rPr>
        <w:t xml:space="preserve">empowered the court to search the defendant's premises as demonstrated by the case of </w:t>
      </w:r>
      <w:r w:rsidR="002D0491" w:rsidRPr="004612AC">
        <w:rPr>
          <w:rFonts w:ascii="Arial" w:hAnsi="Arial" w:cs="Arial"/>
          <w:color w:val="000000" w:themeColor="text1"/>
        </w:rPr>
        <w:t>‘</w:t>
      </w:r>
      <w:r w:rsidRPr="004612AC">
        <w:rPr>
          <w:rFonts w:ascii="Arial" w:hAnsi="Arial" w:cs="Arial"/>
          <w:color w:val="000000" w:themeColor="text1"/>
        </w:rPr>
        <w:t>Anton Piller KG v Manufacturing Processes Ltd</w:t>
      </w:r>
      <w:r w:rsidR="002D0491" w:rsidRPr="004612AC">
        <w:rPr>
          <w:rFonts w:ascii="Arial" w:hAnsi="Arial" w:cs="Arial"/>
          <w:color w:val="000000" w:themeColor="text1"/>
        </w:rPr>
        <w:t>’ (1976)</w:t>
      </w:r>
      <w:r w:rsidRPr="004612AC">
        <w:rPr>
          <w:rFonts w:ascii="Arial" w:hAnsi="Arial" w:cs="Arial"/>
          <w:color w:val="000000" w:themeColor="text1"/>
        </w:rPr>
        <w:t>.</w:t>
      </w:r>
      <w:r w:rsidRPr="004612AC">
        <w:rPr>
          <w:rStyle w:val="apple-converted-space"/>
          <w:rFonts w:ascii="Arial" w:hAnsi="Arial" w:cs="Arial"/>
          <w:color w:val="000000" w:themeColor="text1"/>
        </w:rPr>
        <w:t> </w:t>
      </w:r>
      <w:r w:rsidRPr="004612AC">
        <w:rPr>
          <w:rFonts w:ascii="Arial" w:hAnsi="Arial" w:cs="Arial"/>
          <w:color w:val="000000" w:themeColor="text1"/>
        </w:rPr>
        <w:t>The purpose of this order is to</w:t>
      </w:r>
      <w:r w:rsidRPr="004612AC">
        <w:rPr>
          <w:rStyle w:val="apple-converted-space"/>
          <w:rFonts w:ascii="Arial" w:hAnsi="Arial" w:cs="Arial"/>
          <w:color w:val="000000" w:themeColor="text1"/>
        </w:rPr>
        <w:t> </w:t>
      </w:r>
      <w:r w:rsidRPr="004612AC">
        <w:rPr>
          <w:rFonts w:ascii="Arial" w:hAnsi="Arial" w:cs="Arial"/>
          <w:color w:val="000000" w:themeColor="text1"/>
        </w:rPr>
        <w:t>provide an equitable</w:t>
      </w:r>
      <w:r w:rsidRPr="004612AC">
        <w:rPr>
          <w:rStyle w:val="apple-converted-space"/>
          <w:rFonts w:ascii="Arial" w:hAnsi="Arial" w:cs="Arial"/>
          <w:color w:val="000000" w:themeColor="text1"/>
        </w:rPr>
        <w:t xml:space="preserve"> remedy </w:t>
      </w:r>
      <w:r w:rsidRPr="004612AC">
        <w:rPr>
          <w:rStyle w:val="issue-underline"/>
          <w:rFonts w:ascii="Arial" w:hAnsi="Arial" w:cs="Arial"/>
          <w:color w:val="000000" w:themeColor="text1"/>
        </w:rPr>
        <w:t>for</w:t>
      </w:r>
      <w:r w:rsidRPr="004612AC">
        <w:rPr>
          <w:rStyle w:val="apple-converted-space"/>
          <w:rFonts w:ascii="Arial" w:hAnsi="Arial" w:cs="Arial"/>
          <w:color w:val="000000" w:themeColor="text1"/>
        </w:rPr>
        <w:t> </w:t>
      </w:r>
      <w:r w:rsidRPr="004612AC">
        <w:rPr>
          <w:rFonts w:ascii="Arial" w:hAnsi="Arial" w:cs="Arial"/>
          <w:color w:val="000000" w:themeColor="text1"/>
        </w:rPr>
        <w:t>cases where the common law is inflexible and cannot fairly resolve disputes.</w:t>
      </w:r>
      <w:r w:rsidRPr="004612AC">
        <w:rPr>
          <w:rStyle w:val="apple-converted-space"/>
          <w:rFonts w:ascii="Arial" w:hAnsi="Arial" w:cs="Arial"/>
          <w:color w:val="000000" w:themeColor="text1"/>
        </w:rPr>
        <w:t> </w:t>
      </w:r>
      <w:r w:rsidR="00500000" w:rsidRPr="004612AC">
        <w:rPr>
          <w:rStyle w:val="apple-converted-space"/>
          <w:rFonts w:ascii="Arial" w:hAnsi="Arial" w:cs="Arial"/>
          <w:color w:val="000000" w:themeColor="text1"/>
        </w:rPr>
        <w:t xml:space="preserve">It is only granted when deemed necessary, for example, in cases where it is feared that valuable evidence will be destroyed. This is </w:t>
      </w:r>
      <w:r w:rsidR="00D22026" w:rsidRPr="004612AC">
        <w:rPr>
          <w:rStyle w:val="apple-converted-space"/>
          <w:rFonts w:ascii="Arial" w:hAnsi="Arial" w:cs="Arial"/>
          <w:color w:val="000000" w:themeColor="text1"/>
        </w:rPr>
        <w:t>significant</w:t>
      </w:r>
      <w:r w:rsidR="00500000" w:rsidRPr="004612AC">
        <w:rPr>
          <w:rStyle w:val="apple-converted-space"/>
          <w:rFonts w:ascii="Arial" w:hAnsi="Arial" w:cs="Arial"/>
          <w:color w:val="000000" w:themeColor="text1"/>
        </w:rPr>
        <w:t xml:space="preserve"> within </w:t>
      </w:r>
      <w:proofErr w:type="gramStart"/>
      <w:r w:rsidR="00990EC5" w:rsidRPr="004612AC">
        <w:rPr>
          <w:rStyle w:val="apple-converted-space"/>
          <w:rFonts w:ascii="Arial" w:hAnsi="Arial" w:cs="Arial"/>
          <w:color w:val="000000" w:themeColor="text1"/>
        </w:rPr>
        <w:t>particular</w:t>
      </w:r>
      <w:r w:rsidR="00500000" w:rsidRPr="004612AC">
        <w:rPr>
          <w:rStyle w:val="apple-converted-space"/>
          <w:rFonts w:ascii="Arial" w:hAnsi="Arial" w:cs="Arial"/>
          <w:color w:val="000000" w:themeColor="text1"/>
        </w:rPr>
        <w:t xml:space="preserve"> cases</w:t>
      </w:r>
      <w:proofErr w:type="gramEnd"/>
      <w:r w:rsidR="00500000" w:rsidRPr="004612AC">
        <w:rPr>
          <w:rStyle w:val="apple-converted-space"/>
          <w:rFonts w:ascii="Arial" w:hAnsi="Arial" w:cs="Arial"/>
          <w:color w:val="000000" w:themeColor="text1"/>
        </w:rPr>
        <w:t xml:space="preserve"> as it prevents </w:t>
      </w:r>
      <w:r w:rsidR="00A84EE5">
        <w:rPr>
          <w:rStyle w:val="apple-converted-space"/>
          <w:rFonts w:ascii="Arial" w:hAnsi="Arial" w:cs="Arial"/>
          <w:color w:val="000000" w:themeColor="text1"/>
        </w:rPr>
        <w:t xml:space="preserve">the </w:t>
      </w:r>
      <w:r w:rsidR="00500000" w:rsidRPr="004612AC">
        <w:rPr>
          <w:rStyle w:val="apple-converted-space"/>
          <w:rFonts w:ascii="Arial" w:hAnsi="Arial" w:cs="Arial"/>
          <w:color w:val="000000" w:themeColor="text1"/>
        </w:rPr>
        <w:t>destruction of relevant evidence</w:t>
      </w:r>
      <w:r w:rsidR="00635579" w:rsidRPr="004612AC">
        <w:rPr>
          <w:rStyle w:val="apple-converted-space"/>
          <w:rFonts w:ascii="Arial" w:hAnsi="Arial" w:cs="Arial"/>
          <w:color w:val="000000" w:themeColor="text1"/>
        </w:rPr>
        <w:t xml:space="preserve">, ultimately creating justice for the innocent claimant. </w:t>
      </w:r>
    </w:p>
    <w:p w14:paraId="1600CE76" w14:textId="7134E732" w:rsidR="00635579" w:rsidRPr="004612AC" w:rsidRDefault="00433252" w:rsidP="00B117E5">
      <w:pPr>
        <w:pStyle w:val="pb-2"/>
        <w:spacing w:line="360" w:lineRule="auto"/>
        <w:rPr>
          <w:rFonts w:ascii="Arial" w:hAnsi="Arial" w:cs="Arial"/>
          <w:color w:val="000000" w:themeColor="text1"/>
        </w:rPr>
      </w:pPr>
      <w:r>
        <w:rPr>
          <w:rFonts w:ascii="Arial" w:hAnsi="Arial" w:cs="Arial"/>
          <w:color w:val="000000" w:themeColor="text1"/>
        </w:rPr>
        <w:t>According to Hayton and Mitchell (2005), i</w:t>
      </w:r>
      <w:r w:rsidR="008238BC" w:rsidRPr="004612AC">
        <w:rPr>
          <w:rFonts w:ascii="Arial" w:hAnsi="Arial" w:cs="Arial"/>
          <w:color w:val="000000" w:themeColor="text1"/>
        </w:rPr>
        <w:t xml:space="preserve">n the </w:t>
      </w:r>
      <w:r w:rsidR="00BA5B28" w:rsidRPr="004612AC">
        <w:rPr>
          <w:rFonts w:ascii="Arial" w:hAnsi="Arial" w:cs="Arial"/>
          <w:color w:val="000000" w:themeColor="text1"/>
        </w:rPr>
        <w:t>twenty-first</w:t>
      </w:r>
      <w:r w:rsidR="008238BC" w:rsidRPr="004612AC">
        <w:rPr>
          <w:rFonts w:ascii="Arial" w:hAnsi="Arial" w:cs="Arial"/>
          <w:color w:val="000000" w:themeColor="text1"/>
        </w:rPr>
        <w:t xml:space="preserve"> century, s</w:t>
      </w:r>
      <w:r w:rsidR="00635579" w:rsidRPr="004612AC">
        <w:rPr>
          <w:rFonts w:ascii="Arial" w:hAnsi="Arial" w:cs="Arial"/>
          <w:color w:val="000000" w:themeColor="text1"/>
        </w:rPr>
        <w:t xml:space="preserve">everal disciplines or topics within the English </w:t>
      </w:r>
      <w:r w:rsidR="002D0491" w:rsidRPr="004612AC">
        <w:rPr>
          <w:rFonts w:ascii="Arial" w:hAnsi="Arial" w:cs="Arial"/>
          <w:color w:val="000000" w:themeColor="text1"/>
        </w:rPr>
        <w:t>l</w:t>
      </w:r>
      <w:r w:rsidR="00635579" w:rsidRPr="004612AC">
        <w:rPr>
          <w:rFonts w:ascii="Arial" w:hAnsi="Arial" w:cs="Arial"/>
          <w:color w:val="000000" w:themeColor="text1"/>
        </w:rPr>
        <w:t xml:space="preserve">egal </w:t>
      </w:r>
      <w:r w:rsidR="002D0491" w:rsidRPr="004612AC">
        <w:rPr>
          <w:rFonts w:ascii="Arial" w:hAnsi="Arial" w:cs="Arial"/>
          <w:color w:val="000000" w:themeColor="text1"/>
        </w:rPr>
        <w:t>s</w:t>
      </w:r>
      <w:r w:rsidR="00635579" w:rsidRPr="004612AC">
        <w:rPr>
          <w:rFonts w:ascii="Arial" w:hAnsi="Arial" w:cs="Arial"/>
          <w:color w:val="000000" w:themeColor="text1"/>
        </w:rPr>
        <w:t>ystem demonstrate the importance of equity</w:t>
      </w:r>
      <w:r w:rsidR="008238BC" w:rsidRPr="004612AC">
        <w:rPr>
          <w:rFonts w:ascii="Arial" w:hAnsi="Arial" w:cs="Arial"/>
          <w:color w:val="000000" w:themeColor="text1"/>
        </w:rPr>
        <w:t xml:space="preserve">, </w:t>
      </w:r>
      <w:r w:rsidR="00635579" w:rsidRPr="004612AC">
        <w:rPr>
          <w:rFonts w:ascii="Arial" w:hAnsi="Arial" w:cs="Arial"/>
          <w:color w:val="000000" w:themeColor="text1"/>
        </w:rPr>
        <w:t xml:space="preserve">such as </w:t>
      </w:r>
      <w:r w:rsidR="00322C4D" w:rsidRPr="004612AC">
        <w:rPr>
          <w:rFonts w:ascii="Arial" w:hAnsi="Arial" w:cs="Arial"/>
          <w:color w:val="000000" w:themeColor="text1"/>
        </w:rPr>
        <w:t>c</w:t>
      </w:r>
      <w:r w:rsidR="00635579" w:rsidRPr="004612AC">
        <w:rPr>
          <w:rFonts w:ascii="Arial" w:hAnsi="Arial" w:cs="Arial"/>
          <w:color w:val="000000" w:themeColor="text1"/>
        </w:rPr>
        <w:t xml:space="preserve">ontract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w:t>
      </w:r>
      <w:r w:rsidR="00322C4D" w:rsidRPr="004612AC">
        <w:rPr>
          <w:rFonts w:ascii="Arial" w:hAnsi="Arial" w:cs="Arial"/>
          <w:color w:val="000000" w:themeColor="text1"/>
        </w:rPr>
        <w:t>t</w:t>
      </w:r>
      <w:r w:rsidR="00635579" w:rsidRPr="004612AC">
        <w:rPr>
          <w:rFonts w:ascii="Arial" w:hAnsi="Arial" w:cs="Arial"/>
          <w:color w:val="000000" w:themeColor="text1"/>
        </w:rPr>
        <w:t xml:space="preserve">ort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ortgages.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The principles of equity are used by Lord Denning in </w:t>
      </w:r>
      <w:r w:rsidR="00322C4D" w:rsidRPr="004612AC">
        <w:rPr>
          <w:rFonts w:ascii="Arial" w:hAnsi="Arial" w:cs="Arial"/>
          <w:color w:val="000000" w:themeColor="text1"/>
        </w:rPr>
        <w:t>c</w:t>
      </w:r>
      <w:r w:rsidR="00635579" w:rsidRPr="004612AC">
        <w:rPr>
          <w:rFonts w:ascii="Arial" w:hAnsi="Arial" w:cs="Arial"/>
          <w:color w:val="000000" w:themeColor="text1"/>
        </w:rPr>
        <w:t>ontract law to resolve contractual disputes, which include estoppel, undue influence, mistake, and equitable remedies.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The concept of equity is key in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ortgages.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To discuss these two topics, equity must be incorporated. During the process of both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 xml:space="preserve">ortgages, </w:t>
      </w:r>
      <w:r w:rsidR="00635579" w:rsidRPr="004612AC">
        <w:rPr>
          <w:rFonts w:ascii="Arial" w:hAnsi="Arial" w:cs="Arial"/>
          <w:color w:val="000000" w:themeColor="text1"/>
        </w:rPr>
        <w:lastRenderedPageBreak/>
        <w:t xml:space="preserve">one of the most </w:t>
      </w:r>
      <w:r w:rsidR="00322C4D" w:rsidRPr="004612AC">
        <w:rPr>
          <w:rFonts w:ascii="Arial" w:hAnsi="Arial" w:cs="Arial"/>
          <w:color w:val="000000" w:themeColor="text1"/>
        </w:rPr>
        <w:t>evident</w:t>
      </w:r>
      <w:r w:rsidR="00635579" w:rsidRPr="004612AC">
        <w:rPr>
          <w:rFonts w:ascii="Arial" w:hAnsi="Arial" w:cs="Arial"/>
          <w:color w:val="000000" w:themeColor="text1"/>
        </w:rPr>
        <w:t xml:space="preserve"> examples of equity is trust, and its connection to undue influence.</w:t>
      </w:r>
      <w:r w:rsidR="00635579" w:rsidRPr="004612AC">
        <w:rPr>
          <w:rStyle w:val="apple-converted-space"/>
          <w:rFonts w:ascii="Arial" w:hAnsi="Arial" w:cs="Arial"/>
          <w:color w:val="000000" w:themeColor="text1"/>
          <w:sz w:val="27"/>
          <w:szCs w:val="27"/>
        </w:rPr>
        <w:t> </w:t>
      </w:r>
    </w:p>
    <w:p w14:paraId="17EF8DB2" w14:textId="45465F12" w:rsidR="006D55BC" w:rsidRPr="004612AC" w:rsidRDefault="00A54A2A"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In contrast, </w:t>
      </w:r>
      <w:r w:rsidR="008238BC" w:rsidRPr="004612AC">
        <w:rPr>
          <w:rFonts w:ascii="Arial" w:hAnsi="Arial" w:cs="Arial"/>
          <w:color w:val="000000" w:themeColor="text1"/>
        </w:rPr>
        <w:t>t</w:t>
      </w:r>
      <w:r w:rsidR="006D55BC" w:rsidRPr="004612AC">
        <w:rPr>
          <w:rFonts w:ascii="Arial" w:hAnsi="Arial" w:cs="Arial"/>
          <w:color w:val="000000" w:themeColor="text1"/>
        </w:rPr>
        <w:t>he field of equity has undergone a lot of change over the years, with commentators left to navigate and make sense of those changes.</w:t>
      </w:r>
      <w:r w:rsidR="006D55BC" w:rsidRPr="004612AC">
        <w:rPr>
          <w:rStyle w:val="apple-converted-space"/>
          <w:rFonts w:ascii="Arial" w:hAnsi="Arial" w:cs="Arial"/>
          <w:color w:val="000000" w:themeColor="text1"/>
          <w:sz w:val="27"/>
          <w:szCs w:val="27"/>
        </w:rPr>
        <w:t> </w:t>
      </w:r>
      <w:r w:rsidR="006D55BC" w:rsidRPr="004612AC">
        <w:rPr>
          <w:rFonts w:ascii="Arial" w:hAnsi="Arial" w:cs="Arial"/>
          <w:color w:val="000000" w:themeColor="text1"/>
        </w:rPr>
        <w:t>It could be argued that the fusion of these two systems was the beginning of equity's decline to fill in the gaps within the law, or the beginning of its primacy.</w:t>
      </w:r>
      <w:r w:rsidR="006D55BC" w:rsidRPr="004612AC">
        <w:rPr>
          <w:rStyle w:val="apple-converted-space"/>
          <w:rFonts w:ascii="Arial" w:hAnsi="Arial" w:cs="Arial"/>
          <w:color w:val="000000" w:themeColor="text1"/>
          <w:sz w:val="27"/>
          <w:szCs w:val="27"/>
        </w:rPr>
        <w:t> </w:t>
      </w:r>
      <w:r w:rsidR="006D55BC" w:rsidRPr="004612AC">
        <w:rPr>
          <w:rFonts w:ascii="Arial" w:hAnsi="Arial" w:cs="Arial"/>
          <w:color w:val="000000" w:themeColor="text1"/>
        </w:rPr>
        <w:t>As a result of this debate, it is argued whether the two systems are becoming blurred, or whether this blurring is a result of a purported ‘fusion fallacy’, used to critici</w:t>
      </w:r>
      <w:r w:rsidR="002D0491" w:rsidRPr="004612AC">
        <w:rPr>
          <w:rFonts w:ascii="Arial" w:hAnsi="Arial" w:cs="Arial"/>
          <w:color w:val="000000" w:themeColor="text1"/>
        </w:rPr>
        <w:t>s</w:t>
      </w:r>
      <w:r w:rsidR="006D55BC" w:rsidRPr="004612AC">
        <w:rPr>
          <w:rFonts w:ascii="Arial" w:hAnsi="Arial" w:cs="Arial"/>
          <w:color w:val="000000" w:themeColor="text1"/>
        </w:rPr>
        <w:t>e proponents such as Lord Denning for believing that equity and common law are indistinguishable</w:t>
      </w:r>
      <w:r w:rsidR="00F94241" w:rsidRPr="004612AC">
        <w:rPr>
          <w:rFonts w:ascii="Arial" w:hAnsi="Arial" w:cs="Arial"/>
          <w:color w:val="000000" w:themeColor="text1"/>
        </w:rPr>
        <w:t xml:space="preserve"> (Griffin, 2022). </w:t>
      </w:r>
      <w:r w:rsidR="00224DA6" w:rsidRPr="004612AC">
        <w:rPr>
          <w:rFonts w:ascii="Arial" w:hAnsi="Arial" w:cs="Arial"/>
          <w:color w:val="000000" w:themeColor="text1"/>
        </w:rPr>
        <w:t xml:space="preserve">Some argue that equitable remedies are being used to protect common law rights, suggesting that the lines between equity and the common law are blurred, but not yet completely merged. Essentially, equity and the common law oppose each other in a dynamic </w:t>
      </w:r>
      <w:r w:rsidR="0089314D" w:rsidRPr="004612AC">
        <w:rPr>
          <w:rFonts w:ascii="Arial" w:hAnsi="Arial" w:cs="Arial"/>
          <w:color w:val="000000" w:themeColor="text1"/>
        </w:rPr>
        <w:t xml:space="preserve">way, </w:t>
      </w:r>
      <w:r w:rsidR="00224DA6" w:rsidRPr="004612AC">
        <w:rPr>
          <w:rFonts w:ascii="Arial" w:hAnsi="Arial" w:cs="Arial"/>
          <w:color w:val="000000" w:themeColor="text1"/>
        </w:rPr>
        <w:t xml:space="preserve">in which legal certainty and justice (equity) are continually at odds. There is no permanent solution to either of these twin objectives of the law. </w:t>
      </w:r>
      <w:r w:rsidR="00A84EE5">
        <w:rPr>
          <w:rFonts w:ascii="Arial" w:hAnsi="Arial" w:cs="Arial"/>
          <w:color w:val="000000" w:themeColor="text1"/>
        </w:rPr>
        <w:t>Modern</w:t>
      </w:r>
      <w:r w:rsidR="00224DA6" w:rsidRPr="004612AC">
        <w:rPr>
          <w:rFonts w:ascii="Arial" w:hAnsi="Arial" w:cs="Arial"/>
          <w:color w:val="000000" w:themeColor="text1"/>
        </w:rPr>
        <w:t xml:space="preserve"> commentators prefer to emphasi</w:t>
      </w:r>
      <w:r w:rsidR="00C3561B" w:rsidRPr="004612AC">
        <w:rPr>
          <w:rFonts w:ascii="Arial" w:hAnsi="Arial" w:cs="Arial"/>
          <w:color w:val="000000" w:themeColor="text1"/>
        </w:rPr>
        <w:t>s</w:t>
      </w:r>
      <w:r w:rsidR="00224DA6" w:rsidRPr="004612AC">
        <w:rPr>
          <w:rFonts w:ascii="Arial" w:hAnsi="Arial" w:cs="Arial"/>
          <w:color w:val="000000" w:themeColor="text1"/>
        </w:rPr>
        <w:t>e the differences between equity and common law rather than amalgamate them, valuing their strengths instead of their amalgamation. As the literature points out, there is no war, there is no need for fusion, and there is no need for separation; equity and the common law are integrated, co-dependent systems of law designed to achieve justice</w:t>
      </w:r>
      <w:r w:rsidR="00433252">
        <w:rPr>
          <w:rFonts w:ascii="Arial" w:hAnsi="Arial" w:cs="Arial"/>
          <w:color w:val="000000" w:themeColor="text1"/>
        </w:rPr>
        <w:t xml:space="preserve"> (Baker, 2019). </w:t>
      </w:r>
    </w:p>
    <w:p w14:paraId="2C716BDD" w14:textId="3E0A49A1" w:rsidR="00224DA6" w:rsidRPr="004612AC" w:rsidRDefault="008238BC"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Consequently, </w:t>
      </w:r>
      <w:r w:rsidR="00224DA6" w:rsidRPr="004612AC">
        <w:rPr>
          <w:rFonts w:ascii="Arial" w:hAnsi="Arial" w:cs="Arial"/>
          <w:color w:val="000000" w:themeColor="text1"/>
        </w:rPr>
        <w:t>the continued development of common law areas, such as trusts law, coupled with the increasing need for certainty has arguably led to an increase in the need for flexibility, giving equity a broader ambit. It has been argued that the unrestrained expansion of equity into business has potentially done more harm than good, despite this development not finding universal approval. The reason for this is that commercial issues generally require a greater degree of certainty than equity offers. It might therefore become less flexible due to the commercial prominence of English law, resulting in more stringent 'principles' that undermine equity's effectiveness</w:t>
      </w:r>
      <w:r w:rsidR="00561AFE" w:rsidRPr="004612AC">
        <w:rPr>
          <w:rFonts w:ascii="Arial" w:hAnsi="Arial" w:cs="Arial"/>
          <w:color w:val="000000" w:themeColor="text1"/>
        </w:rPr>
        <w:t xml:space="preserve"> (Mofatt, Bean and Probert</w:t>
      </w:r>
      <w:r w:rsidR="004E63F4" w:rsidRPr="004612AC">
        <w:rPr>
          <w:rFonts w:ascii="Arial" w:hAnsi="Arial" w:cs="Arial"/>
          <w:color w:val="000000" w:themeColor="text1"/>
        </w:rPr>
        <w:t xml:space="preserve">, 2009). </w:t>
      </w:r>
    </w:p>
    <w:p w14:paraId="39C59D64" w14:textId="2CE1B131" w:rsidR="00EA6810" w:rsidRPr="004612AC" w:rsidRDefault="004E63F4" w:rsidP="00224DA6">
      <w:pPr>
        <w:pStyle w:val="pb-2"/>
        <w:spacing w:line="360" w:lineRule="auto"/>
        <w:rPr>
          <w:rFonts w:ascii="Arial" w:hAnsi="Arial" w:cs="Arial"/>
          <w:color w:val="000000" w:themeColor="text1"/>
        </w:rPr>
      </w:pPr>
      <w:r w:rsidRPr="004612AC">
        <w:rPr>
          <w:rFonts w:ascii="Arial" w:hAnsi="Arial" w:cs="Arial"/>
          <w:color w:val="000000" w:themeColor="text1"/>
        </w:rPr>
        <w:t>Smit</w:t>
      </w:r>
      <w:r w:rsidR="00BA5B28" w:rsidRPr="004612AC">
        <w:rPr>
          <w:rFonts w:ascii="Arial" w:hAnsi="Arial" w:cs="Arial"/>
          <w:color w:val="000000" w:themeColor="text1"/>
        </w:rPr>
        <w:t xml:space="preserve">h </w:t>
      </w:r>
      <w:r w:rsidRPr="004612AC">
        <w:rPr>
          <w:rFonts w:ascii="Arial" w:hAnsi="Arial" w:cs="Arial"/>
          <w:color w:val="000000" w:themeColor="text1"/>
        </w:rPr>
        <w:t xml:space="preserve">(2020) </w:t>
      </w:r>
      <w:r w:rsidR="008238BC" w:rsidRPr="004612AC">
        <w:rPr>
          <w:rFonts w:ascii="Arial" w:hAnsi="Arial" w:cs="Arial"/>
          <w:color w:val="000000" w:themeColor="text1"/>
        </w:rPr>
        <w:t xml:space="preserve">also </w:t>
      </w:r>
      <w:r w:rsidRPr="004612AC">
        <w:rPr>
          <w:rFonts w:ascii="Arial" w:hAnsi="Arial" w:cs="Arial"/>
          <w:color w:val="000000" w:themeColor="text1"/>
        </w:rPr>
        <w:t>states that t</w:t>
      </w:r>
      <w:r w:rsidR="00EA6810" w:rsidRPr="004612AC">
        <w:rPr>
          <w:rFonts w:ascii="Arial" w:hAnsi="Arial" w:cs="Arial"/>
          <w:color w:val="000000" w:themeColor="text1"/>
        </w:rPr>
        <w:t xml:space="preserve">here can indeed be a rigidity to equity's application just as </w:t>
      </w:r>
      <w:r w:rsidR="00990EC5" w:rsidRPr="004612AC">
        <w:rPr>
          <w:rFonts w:ascii="Arial" w:hAnsi="Arial" w:cs="Arial"/>
          <w:color w:val="000000" w:themeColor="text1"/>
        </w:rPr>
        <w:t xml:space="preserve">it </w:t>
      </w:r>
      <w:r w:rsidR="00EA6810" w:rsidRPr="004612AC">
        <w:rPr>
          <w:rFonts w:ascii="Arial" w:hAnsi="Arial" w:cs="Arial"/>
          <w:color w:val="000000" w:themeColor="text1"/>
        </w:rPr>
        <w:t>exists in the common law</w:t>
      </w:r>
      <w:r w:rsidR="00570BF5" w:rsidRPr="004612AC">
        <w:rPr>
          <w:rFonts w:ascii="Arial" w:hAnsi="Arial" w:cs="Arial"/>
          <w:color w:val="000000" w:themeColor="text1"/>
        </w:rPr>
        <w:t xml:space="preserve"> in modern times</w:t>
      </w:r>
      <w:r w:rsidR="00EA6810" w:rsidRPr="004612AC">
        <w:rPr>
          <w:rFonts w:ascii="Arial" w:hAnsi="Arial" w:cs="Arial"/>
          <w:color w:val="000000" w:themeColor="text1"/>
        </w:rPr>
        <w:t>, being both prescriptive and vague at times to mitigate otherwise unfair outcomes.</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 xml:space="preserve">According to this proposition, common </w:t>
      </w:r>
      <w:r w:rsidR="00EA6810" w:rsidRPr="004612AC">
        <w:rPr>
          <w:rFonts w:ascii="Arial" w:hAnsi="Arial" w:cs="Arial"/>
          <w:color w:val="000000" w:themeColor="text1"/>
        </w:rPr>
        <w:lastRenderedPageBreak/>
        <w:t>law and equity are achieving unexpected alignments that may eventually result in their indistinguishability without necessitating fusion.</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By examining the gradual development of equity in judicial work and the alignment of equity with flexibility,</w:t>
      </w:r>
      <w:r w:rsidR="00990EC5" w:rsidRPr="004612AC">
        <w:rPr>
          <w:rFonts w:ascii="Arial" w:hAnsi="Arial" w:cs="Arial"/>
          <w:color w:val="000000" w:themeColor="text1"/>
        </w:rPr>
        <w:t xml:space="preserve"> a </w:t>
      </w:r>
      <w:r w:rsidR="00EA6810" w:rsidRPr="004612AC">
        <w:rPr>
          <w:rFonts w:ascii="Arial" w:hAnsi="Arial" w:cs="Arial"/>
          <w:color w:val="000000" w:themeColor="text1"/>
        </w:rPr>
        <w:t xml:space="preserve">limited perspective </w:t>
      </w:r>
      <w:r w:rsidR="00990EC5" w:rsidRPr="004612AC">
        <w:rPr>
          <w:rFonts w:ascii="Arial" w:hAnsi="Arial" w:cs="Arial"/>
          <w:color w:val="000000" w:themeColor="text1"/>
        </w:rPr>
        <w:t xml:space="preserve">can be gained </w:t>
      </w:r>
      <w:r w:rsidR="00EA6810" w:rsidRPr="004612AC">
        <w:rPr>
          <w:rFonts w:ascii="Arial" w:hAnsi="Arial" w:cs="Arial"/>
          <w:color w:val="000000" w:themeColor="text1"/>
        </w:rPr>
        <w:t>on how equity accomplishes justice.</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By examining equitable remedies, a form of equity considered to be the purest, we can understand how equity at its most flexible encapsulates elements of rigidity.</w:t>
      </w:r>
      <w:r w:rsidR="00EA6810" w:rsidRPr="004612AC">
        <w:rPr>
          <w:rStyle w:val="apple-converted-space"/>
          <w:rFonts w:ascii="Arial" w:hAnsi="Arial" w:cs="Arial"/>
          <w:color w:val="000000" w:themeColor="text1"/>
          <w:sz w:val="27"/>
          <w:szCs w:val="27"/>
        </w:rPr>
        <w:t> </w:t>
      </w:r>
      <w:r w:rsidR="00A84EE5">
        <w:rPr>
          <w:rStyle w:val="apple-converted-space"/>
          <w:rFonts w:ascii="Arial" w:hAnsi="Arial" w:cs="Arial"/>
          <w:color w:val="000000" w:themeColor="text1"/>
          <w:sz w:val="27"/>
          <w:szCs w:val="27"/>
        </w:rPr>
        <w:t>A duality between seemingly counterposing variables demonstrates an increase in overall effectiveness</w:t>
      </w:r>
      <w:r w:rsidR="00EA6810" w:rsidRPr="004612AC">
        <w:rPr>
          <w:rFonts w:ascii="Arial" w:hAnsi="Arial" w:cs="Arial"/>
          <w:color w:val="000000" w:themeColor="text1"/>
        </w:rPr>
        <w:t>.</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Comparing equitable remedies with constructive trusts</w:t>
      </w:r>
      <w:r w:rsidR="00EA6810" w:rsidRPr="004612AC">
        <w:rPr>
          <w:color w:val="000000" w:themeColor="text1"/>
        </w:rPr>
        <w:t xml:space="preserve"> </w:t>
      </w:r>
      <w:r w:rsidR="00EA6810" w:rsidRPr="004612AC">
        <w:rPr>
          <w:rFonts w:ascii="Arial" w:hAnsi="Arial" w:cs="Arial"/>
          <w:color w:val="000000" w:themeColor="text1"/>
        </w:rPr>
        <w:t xml:space="preserve">reveals that this phenomenon extends further than equitable remedies alone. </w:t>
      </w:r>
    </w:p>
    <w:p w14:paraId="49817FA0" w14:textId="2DE6D2F3" w:rsidR="00FC5395" w:rsidRPr="004612AC" w:rsidRDefault="00FC5395"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Equally important </w:t>
      </w:r>
      <w:r w:rsidR="00A84EE5">
        <w:rPr>
          <w:rFonts w:ascii="Arial" w:hAnsi="Arial" w:cs="Arial"/>
          <w:color w:val="000000" w:themeColor="text1"/>
        </w:rPr>
        <w:t>is</w:t>
      </w:r>
      <w:r w:rsidRPr="004612AC">
        <w:rPr>
          <w:rFonts w:ascii="Arial" w:hAnsi="Arial" w:cs="Arial"/>
          <w:color w:val="000000" w:themeColor="text1"/>
        </w:rPr>
        <w:t xml:space="preserve"> how some judges have </w:t>
      </w:r>
      <w:r w:rsidR="008238BC" w:rsidRPr="004612AC">
        <w:rPr>
          <w:rFonts w:ascii="Arial" w:hAnsi="Arial" w:cs="Arial"/>
          <w:color w:val="000000" w:themeColor="text1"/>
        </w:rPr>
        <w:t xml:space="preserve">recently </w:t>
      </w:r>
      <w:r w:rsidRPr="004612AC">
        <w:rPr>
          <w:rFonts w:ascii="Arial" w:hAnsi="Arial" w:cs="Arial"/>
          <w:color w:val="000000" w:themeColor="text1"/>
        </w:rPr>
        <w:t>revived older equitable powers in the twentieth and twenty-first centuries, yet others have avoided extending their powers for fear that certainty and predictability would be lost</w:t>
      </w:r>
      <w:r w:rsidR="003851A4">
        <w:rPr>
          <w:rFonts w:ascii="Arial" w:hAnsi="Arial" w:cs="Arial"/>
          <w:color w:val="000000" w:themeColor="text1"/>
        </w:rPr>
        <w:t xml:space="preserve">. </w:t>
      </w:r>
      <w:r w:rsidRPr="004612AC">
        <w:rPr>
          <w:rFonts w:ascii="Arial" w:hAnsi="Arial" w:cs="Arial"/>
          <w:color w:val="000000" w:themeColor="text1"/>
        </w:rPr>
        <w:t>Often, it is argued that reform of the law should be carried out by the legislature rather than by judges.</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Many people argue that legislation does not do enough to correct injustice, that it creates a multitude of rigidities and anomalies and potential injustice when applied to unforeseen situations. A court's primary objective is not certainty, and it is its responsibility to maintain, and where necessary, to expand its powers so that fair, just and equitable results can be achieved (Waddams, 2023). </w:t>
      </w:r>
    </w:p>
    <w:p w14:paraId="6EBDACA1" w14:textId="343AD5EF" w:rsidR="00A54A2A" w:rsidRPr="004612AC" w:rsidRDefault="00A54A2A" w:rsidP="00224DA6">
      <w:pPr>
        <w:pStyle w:val="pb-2"/>
        <w:spacing w:line="360" w:lineRule="auto"/>
        <w:rPr>
          <w:rFonts w:ascii="Arial" w:hAnsi="Arial" w:cs="Arial"/>
          <w:color w:val="000000" w:themeColor="text1"/>
        </w:rPr>
      </w:pPr>
      <w:r w:rsidRPr="004612AC">
        <w:rPr>
          <w:rFonts w:ascii="Arial" w:hAnsi="Arial" w:cs="Arial"/>
          <w:color w:val="000000" w:themeColor="text1"/>
        </w:rPr>
        <w:t>As explained by Hudson and Dignam (2002), there is a problem with equity in that it appears to provide judges with the authority to disregard clear statutory rules when they consider them to be inappropriate.</w:t>
      </w:r>
      <w:r w:rsidRPr="004612AC">
        <w:rPr>
          <w:rStyle w:val="apple-converted-space"/>
          <w:rFonts w:ascii="Arial" w:hAnsi="Arial" w:cs="Arial"/>
          <w:color w:val="000000" w:themeColor="text1"/>
          <w:sz w:val="27"/>
          <w:szCs w:val="27"/>
        </w:rPr>
        <w:t> </w:t>
      </w:r>
      <w:r w:rsidR="00A84EE5">
        <w:rPr>
          <w:rStyle w:val="apple-converted-space"/>
          <w:rFonts w:ascii="Arial" w:hAnsi="Arial" w:cs="Arial"/>
          <w:color w:val="000000" w:themeColor="text1"/>
          <w:sz w:val="27"/>
          <w:szCs w:val="27"/>
        </w:rPr>
        <w:t>Secret</w:t>
      </w:r>
      <w:r w:rsidRPr="004612AC">
        <w:rPr>
          <w:rFonts w:ascii="Arial" w:hAnsi="Arial" w:cs="Arial"/>
          <w:color w:val="000000" w:themeColor="text1"/>
        </w:rPr>
        <w:t xml:space="preserve"> trusts and the principle that statutes should</w:t>
      </w:r>
      <w:r w:rsidR="00BA5B28" w:rsidRPr="004612AC">
        <w:rPr>
          <w:rFonts w:ascii="Arial" w:hAnsi="Arial" w:cs="Arial"/>
          <w:color w:val="000000" w:themeColor="text1"/>
        </w:rPr>
        <w:t xml:space="preserve"> not </w:t>
      </w:r>
      <w:r w:rsidRPr="004612AC">
        <w:rPr>
          <w:rFonts w:ascii="Arial" w:hAnsi="Arial" w:cs="Arial"/>
          <w:color w:val="000000" w:themeColor="text1"/>
        </w:rPr>
        <w:t xml:space="preserve">be used to commit fraud are some of the clearest examples of this tendency in equity, as well as the use of proprietary estoppel in </w:t>
      </w:r>
      <w:r w:rsidR="00C31F04">
        <w:rPr>
          <w:rFonts w:ascii="Arial" w:hAnsi="Arial" w:cs="Arial"/>
          <w:color w:val="000000" w:themeColor="text1"/>
        </w:rPr>
        <w:t>‘</w:t>
      </w:r>
      <w:r w:rsidRPr="004612AC">
        <w:rPr>
          <w:rFonts w:ascii="Arial" w:hAnsi="Arial" w:cs="Arial"/>
          <w:color w:val="000000" w:themeColor="text1"/>
        </w:rPr>
        <w:t>Yaxley v Gotts</w:t>
      </w:r>
      <w:r w:rsidR="00C31F04">
        <w:rPr>
          <w:rFonts w:ascii="Arial" w:hAnsi="Arial" w:cs="Arial"/>
          <w:color w:val="000000" w:themeColor="text1"/>
        </w:rPr>
        <w:t>’</w:t>
      </w:r>
      <w:r w:rsidRPr="004612AC">
        <w:rPr>
          <w:rFonts w:ascii="Arial" w:hAnsi="Arial" w:cs="Arial"/>
          <w:color w:val="000000" w:themeColor="text1"/>
        </w:rPr>
        <w:t xml:space="preserve"> (2000) </w:t>
      </w:r>
      <w:r w:rsidR="00A84EE5">
        <w:rPr>
          <w:rFonts w:ascii="Arial" w:hAnsi="Arial" w:cs="Arial"/>
          <w:color w:val="000000" w:themeColor="text1"/>
        </w:rPr>
        <w:t>to</w:t>
      </w:r>
      <w:r w:rsidRPr="004612AC">
        <w:rPr>
          <w:rFonts w:ascii="Arial" w:hAnsi="Arial" w:cs="Arial"/>
          <w:color w:val="000000" w:themeColor="text1"/>
        </w:rPr>
        <w:t xml:space="preserve"> exhume the doctrine of part performance (which had been expressly overruled by law).</w:t>
      </w:r>
      <w:r w:rsidR="00A84EE5">
        <w:rPr>
          <w:rFonts w:ascii="Arial" w:hAnsi="Arial" w:cs="Arial"/>
          <w:color w:val="000000" w:themeColor="text1"/>
        </w:rPr>
        <w:t xml:space="preserve"> </w:t>
      </w:r>
      <w:r w:rsidRPr="004612AC">
        <w:rPr>
          <w:rFonts w:ascii="Arial" w:hAnsi="Arial" w:cs="Arial"/>
          <w:color w:val="000000" w:themeColor="text1"/>
        </w:rPr>
        <w:t>The courts' attempts to render justice in these cases are evident based on the facts before them.</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Despite this, the complaint of the creation of a judicial aristocracy, in which judges abdicate constitutional power to themselves through bills of rights, which accompanied the Human Rights Act </w:t>
      </w:r>
      <w:r w:rsidR="00BA5B28" w:rsidRPr="004612AC">
        <w:rPr>
          <w:rFonts w:ascii="Arial" w:hAnsi="Arial" w:cs="Arial"/>
          <w:color w:val="000000" w:themeColor="text1"/>
        </w:rPr>
        <w:t>(</w:t>
      </w:r>
      <w:r w:rsidRPr="004612AC">
        <w:rPr>
          <w:rFonts w:ascii="Arial" w:hAnsi="Arial" w:cs="Arial"/>
          <w:color w:val="000000" w:themeColor="text1"/>
        </w:rPr>
        <w:t>1998</w:t>
      </w:r>
      <w:r w:rsidR="00BA5B28" w:rsidRPr="004612AC">
        <w:rPr>
          <w:rFonts w:ascii="Arial" w:hAnsi="Arial" w:cs="Arial"/>
          <w:color w:val="000000" w:themeColor="text1"/>
        </w:rPr>
        <w:t>)</w:t>
      </w:r>
      <w:r w:rsidRPr="004612AC">
        <w:rPr>
          <w:rFonts w:ascii="Arial" w:hAnsi="Arial" w:cs="Arial"/>
          <w:color w:val="000000" w:themeColor="text1"/>
        </w:rPr>
        <w:t xml:space="preserve">, must also be considered: </w:t>
      </w:r>
      <w:r w:rsidR="00A84EE5">
        <w:rPr>
          <w:rFonts w:ascii="Arial" w:hAnsi="Arial" w:cs="Arial"/>
          <w:color w:val="000000" w:themeColor="text1"/>
        </w:rPr>
        <w:t>the judges can abrogate</w:t>
      </w:r>
      <w:r w:rsidRPr="004612AC">
        <w:rPr>
          <w:rFonts w:ascii="Arial" w:hAnsi="Arial" w:cs="Arial"/>
          <w:color w:val="000000" w:themeColor="text1"/>
        </w:rPr>
        <w:t xml:space="preserve"> their powers unconstitutionally in the sense that they consider themselves to be empowered to overturn parliamentary decisions.</w:t>
      </w:r>
    </w:p>
    <w:p w14:paraId="39A56C2F" w14:textId="4A592D88" w:rsidR="00992CF1" w:rsidRPr="004612AC" w:rsidRDefault="004D2228" w:rsidP="00224DA6">
      <w:pPr>
        <w:pStyle w:val="pb-2"/>
        <w:spacing w:line="360" w:lineRule="auto"/>
        <w:rPr>
          <w:rFonts w:ascii="Arial" w:hAnsi="Arial" w:cs="Arial"/>
          <w:color w:val="000000" w:themeColor="text1"/>
        </w:rPr>
      </w:pPr>
      <w:r w:rsidRPr="004612AC">
        <w:rPr>
          <w:rFonts w:ascii="Arial" w:hAnsi="Arial" w:cs="Arial"/>
          <w:color w:val="000000" w:themeColor="text1"/>
        </w:rPr>
        <w:lastRenderedPageBreak/>
        <w:t>Nevertheless, equity is a separate system of law, and it also moderates and softens the common law.</w:t>
      </w:r>
      <w:r w:rsidRPr="004612AC">
        <w:rPr>
          <w:rStyle w:val="apple-converted-space"/>
          <w:rFonts w:ascii="Arial" w:hAnsi="Arial" w:cs="Arial"/>
          <w:color w:val="000000" w:themeColor="text1"/>
        </w:rPr>
        <w:t> </w:t>
      </w:r>
      <w:r w:rsidRPr="004612AC">
        <w:rPr>
          <w:rFonts w:ascii="Arial" w:hAnsi="Arial" w:cs="Arial"/>
          <w:color w:val="000000" w:themeColor="text1"/>
        </w:rPr>
        <w:t>This is evidenced in the case of ‘Dudley v Dudley’ (1705), where Lord Cowper</w:t>
      </w:r>
      <w:r w:rsidRPr="004612AC">
        <w:rPr>
          <w:rStyle w:val="apple-converted-space"/>
          <w:rFonts w:ascii="Arial" w:hAnsi="Arial" w:cs="Arial"/>
          <w:color w:val="000000" w:themeColor="text1"/>
        </w:rPr>
        <w:t> </w:t>
      </w:r>
      <w:r w:rsidRPr="004612AC">
        <w:rPr>
          <w:rStyle w:val="issue-underline"/>
          <w:rFonts w:ascii="Arial" w:hAnsi="Arial" w:cs="Arial"/>
          <w:color w:val="000000" w:themeColor="text1"/>
        </w:rPr>
        <w:t>gave a brief explanation about</w:t>
      </w:r>
      <w:r w:rsidRPr="004612AC">
        <w:rPr>
          <w:rStyle w:val="apple-converted-space"/>
          <w:rFonts w:ascii="Arial" w:hAnsi="Arial" w:cs="Arial"/>
          <w:color w:val="000000" w:themeColor="text1"/>
        </w:rPr>
        <w:t> </w:t>
      </w:r>
      <w:r w:rsidRPr="004612AC">
        <w:rPr>
          <w:rFonts w:ascii="Arial" w:hAnsi="Arial" w:cs="Arial"/>
          <w:color w:val="000000" w:themeColor="text1"/>
        </w:rPr>
        <w:t>equity:</w:t>
      </w:r>
      <w:r w:rsidRPr="004612AC">
        <w:rPr>
          <w:rStyle w:val="apple-converted-space"/>
          <w:rFonts w:ascii="Arial" w:hAnsi="Arial" w:cs="Arial"/>
          <w:color w:val="000000" w:themeColor="text1"/>
        </w:rPr>
        <w:t> </w:t>
      </w:r>
      <w:r w:rsidRPr="004612AC">
        <w:rPr>
          <w:rFonts w:ascii="Arial" w:hAnsi="Arial" w:cs="Arial"/>
          <w:color w:val="000000" w:themeColor="text1"/>
        </w:rPr>
        <w:t>“Equity is not a part</w:t>
      </w:r>
      <w:r w:rsidRPr="004612AC">
        <w:rPr>
          <w:rStyle w:val="apple-converted-space"/>
          <w:rFonts w:ascii="Arial" w:hAnsi="Arial" w:cs="Arial"/>
          <w:color w:val="000000" w:themeColor="text1"/>
        </w:rPr>
        <w:t> </w:t>
      </w:r>
      <w:r w:rsidRPr="004612AC">
        <w:rPr>
          <w:rFonts w:ascii="Arial" w:hAnsi="Arial" w:cs="Arial"/>
          <w:color w:val="000000" w:themeColor="text1"/>
        </w:rPr>
        <w:t xml:space="preserve">of </w:t>
      </w:r>
      <w:r w:rsidR="00A84EE5">
        <w:rPr>
          <w:rFonts w:ascii="Arial" w:hAnsi="Arial" w:cs="Arial"/>
          <w:color w:val="000000" w:themeColor="text1"/>
        </w:rPr>
        <w:t xml:space="preserve">the </w:t>
      </w:r>
      <w:r w:rsidRPr="004612AC">
        <w:rPr>
          <w:rFonts w:ascii="Arial" w:hAnsi="Arial" w:cs="Arial"/>
          <w:color w:val="000000" w:themeColor="text1"/>
        </w:rPr>
        <w:t>law,</w:t>
      </w:r>
      <w:r w:rsidRPr="004612AC">
        <w:rPr>
          <w:rStyle w:val="apple-converted-space"/>
          <w:rFonts w:ascii="Arial" w:hAnsi="Arial" w:cs="Arial"/>
          <w:color w:val="000000" w:themeColor="text1"/>
        </w:rPr>
        <w:t> </w:t>
      </w:r>
      <w:r w:rsidRPr="004612AC">
        <w:rPr>
          <w:rFonts w:ascii="Arial" w:hAnsi="Arial" w:cs="Arial"/>
          <w:color w:val="000000" w:themeColor="text1"/>
        </w:rPr>
        <w:t>but a moral virtue which qualifies, moderates and</w:t>
      </w:r>
      <w:r w:rsidRPr="004612AC">
        <w:rPr>
          <w:rStyle w:val="apple-converted-space"/>
          <w:rFonts w:ascii="Arial" w:hAnsi="Arial" w:cs="Arial"/>
          <w:color w:val="000000" w:themeColor="text1"/>
        </w:rPr>
        <w:t> </w:t>
      </w:r>
      <w:r w:rsidRPr="004612AC">
        <w:rPr>
          <w:rFonts w:ascii="Arial" w:hAnsi="Arial" w:cs="Arial"/>
          <w:color w:val="000000" w:themeColor="text1"/>
        </w:rPr>
        <w:t>reforms</w:t>
      </w:r>
      <w:r w:rsidRPr="004612AC">
        <w:rPr>
          <w:rStyle w:val="apple-converted-space"/>
          <w:rFonts w:ascii="Arial" w:hAnsi="Arial" w:cs="Arial"/>
          <w:color w:val="000000" w:themeColor="text1"/>
        </w:rPr>
        <w:t> </w:t>
      </w:r>
      <w:r w:rsidRPr="004612AC">
        <w:rPr>
          <w:rFonts w:ascii="Arial" w:hAnsi="Arial" w:cs="Arial"/>
          <w:color w:val="000000" w:themeColor="text1"/>
        </w:rPr>
        <w:t>the rigour, hardness and the edge of the law”. Without equity, unconscionable conduct would result in an increase</w:t>
      </w:r>
      <w:r w:rsidR="004368D1" w:rsidRPr="004612AC">
        <w:rPr>
          <w:rFonts w:ascii="Arial" w:hAnsi="Arial" w:cs="Arial"/>
          <w:color w:val="000000" w:themeColor="text1"/>
        </w:rPr>
        <w:t>d number</w:t>
      </w:r>
      <w:r w:rsidRPr="004612AC">
        <w:rPr>
          <w:rFonts w:ascii="Arial" w:hAnsi="Arial" w:cs="Arial"/>
          <w:color w:val="000000" w:themeColor="text1"/>
        </w:rPr>
        <w:t xml:space="preserve"> of unfair outcomes</w:t>
      </w:r>
      <w:r w:rsidR="00D20786" w:rsidRPr="004612AC">
        <w:rPr>
          <w:rFonts w:ascii="Arial" w:hAnsi="Arial" w:cs="Arial"/>
          <w:color w:val="000000" w:themeColor="text1"/>
        </w:rPr>
        <w:t xml:space="preserve"> given by the common law. Additionally, w</w:t>
      </w:r>
      <w:r w:rsidRPr="004612AC">
        <w:rPr>
          <w:rFonts w:ascii="Arial" w:hAnsi="Arial" w:cs="Arial"/>
          <w:color w:val="000000" w:themeColor="text1"/>
        </w:rPr>
        <w:t>ithout</w:t>
      </w:r>
      <w:r w:rsidRPr="004612AC">
        <w:rPr>
          <w:rStyle w:val="apple-converted-space"/>
          <w:rFonts w:ascii="Arial" w:hAnsi="Arial" w:cs="Arial"/>
          <w:color w:val="000000" w:themeColor="text1"/>
        </w:rPr>
        <w:t> </w:t>
      </w:r>
      <w:r w:rsidRPr="004612AC">
        <w:rPr>
          <w:rStyle w:val="issue-underline"/>
          <w:rFonts w:ascii="Arial" w:hAnsi="Arial" w:cs="Arial"/>
          <w:color w:val="000000" w:themeColor="text1"/>
        </w:rPr>
        <w:t>the support of</w:t>
      </w:r>
      <w:r w:rsidRPr="004612AC">
        <w:rPr>
          <w:rStyle w:val="apple-converted-space"/>
          <w:rFonts w:ascii="Arial" w:hAnsi="Arial" w:cs="Arial"/>
          <w:color w:val="000000" w:themeColor="text1"/>
        </w:rPr>
        <w:t> </w:t>
      </w:r>
      <w:r w:rsidRPr="004612AC">
        <w:rPr>
          <w:rFonts w:ascii="Arial" w:hAnsi="Arial" w:cs="Arial"/>
          <w:color w:val="000000" w:themeColor="text1"/>
        </w:rPr>
        <w:t>equitable remedies</w:t>
      </w:r>
      <w:r w:rsidRPr="004612AC">
        <w:rPr>
          <w:rStyle w:val="apple-converted-space"/>
          <w:rFonts w:ascii="Arial" w:hAnsi="Arial" w:cs="Arial"/>
          <w:color w:val="000000" w:themeColor="text1"/>
        </w:rPr>
        <w:t> </w:t>
      </w:r>
      <w:r w:rsidRPr="004612AC">
        <w:rPr>
          <w:rFonts w:ascii="Arial" w:hAnsi="Arial" w:cs="Arial"/>
          <w:color w:val="000000" w:themeColor="text1"/>
        </w:rPr>
        <w:t>to provide</w:t>
      </w:r>
      <w:r w:rsidRPr="004612AC">
        <w:rPr>
          <w:rStyle w:val="apple-converted-space"/>
          <w:rFonts w:ascii="Arial" w:hAnsi="Arial" w:cs="Arial"/>
          <w:color w:val="000000" w:themeColor="text1"/>
        </w:rPr>
        <w:t xml:space="preserve"> relief </w:t>
      </w:r>
      <w:r w:rsidR="00D20786" w:rsidRPr="004612AC">
        <w:rPr>
          <w:rStyle w:val="apple-converted-space"/>
          <w:rFonts w:ascii="Arial" w:hAnsi="Arial" w:cs="Arial"/>
          <w:color w:val="000000" w:themeColor="text1"/>
        </w:rPr>
        <w:t xml:space="preserve">to an </w:t>
      </w:r>
      <w:r w:rsidRPr="004612AC">
        <w:rPr>
          <w:rFonts w:ascii="Arial" w:hAnsi="Arial" w:cs="Arial"/>
          <w:color w:val="000000" w:themeColor="text1"/>
        </w:rPr>
        <w:t xml:space="preserve">adequate and fair </w:t>
      </w:r>
      <w:r w:rsidR="00D20786" w:rsidRPr="004612AC">
        <w:rPr>
          <w:rFonts w:ascii="Arial" w:hAnsi="Arial" w:cs="Arial"/>
          <w:color w:val="000000" w:themeColor="text1"/>
        </w:rPr>
        <w:t xml:space="preserve">degree, the strictness of common law alone would lack certainty and justice for claimants within the justice system. </w:t>
      </w:r>
    </w:p>
    <w:p w14:paraId="0C55D947" w14:textId="5A34A2A1" w:rsidR="00A54A2A" w:rsidRPr="004612AC" w:rsidRDefault="00031EA7"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As </w:t>
      </w:r>
      <w:r w:rsidR="00A54A2A" w:rsidRPr="004612AC">
        <w:rPr>
          <w:rFonts w:ascii="Arial" w:hAnsi="Arial" w:cs="Arial"/>
          <w:color w:val="000000" w:themeColor="text1"/>
        </w:rPr>
        <w:t xml:space="preserve">James </w:t>
      </w:r>
      <w:r w:rsidRPr="004612AC">
        <w:rPr>
          <w:rFonts w:ascii="Arial" w:hAnsi="Arial" w:cs="Arial"/>
          <w:color w:val="000000" w:themeColor="text1"/>
        </w:rPr>
        <w:t>LJ s</w:t>
      </w:r>
      <w:r w:rsidR="007C49A7">
        <w:rPr>
          <w:rFonts w:ascii="Arial" w:hAnsi="Arial" w:cs="Arial"/>
          <w:color w:val="000000" w:themeColor="text1"/>
        </w:rPr>
        <w:t>tated</w:t>
      </w:r>
      <w:r w:rsidRPr="004612AC">
        <w:rPr>
          <w:rFonts w:ascii="Arial" w:hAnsi="Arial" w:cs="Arial"/>
          <w:color w:val="000000" w:themeColor="text1"/>
        </w:rPr>
        <w:t xml:space="preserve"> in </w:t>
      </w:r>
      <w:r w:rsidR="00C31F04">
        <w:rPr>
          <w:rFonts w:ascii="Arial" w:hAnsi="Arial" w:cs="Arial"/>
          <w:color w:val="000000" w:themeColor="text1"/>
        </w:rPr>
        <w:t>‘</w:t>
      </w:r>
      <w:r w:rsidRPr="004612AC">
        <w:rPr>
          <w:rFonts w:ascii="Arial" w:hAnsi="Arial" w:cs="Arial"/>
          <w:color w:val="000000" w:themeColor="text1"/>
        </w:rPr>
        <w:t>Fowkes v Pascoe</w:t>
      </w:r>
      <w:r w:rsidR="00C31F04">
        <w:rPr>
          <w:rStyle w:val="apple-converted-space"/>
          <w:rFonts w:ascii="Arial" w:hAnsi="Arial" w:cs="Arial"/>
          <w:color w:val="000000" w:themeColor="text1"/>
          <w:shd w:val="clear" w:color="auto" w:fill="FFFFFF"/>
        </w:rPr>
        <w:t xml:space="preserve">’ </w:t>
      </w:r>
      <w:r w:rsidRPr="004612AC">
        <w:rPr>
          <w:rFonts w:ascii="Arial" w:hAnsi="Arial" w:cs="Arial"/>
          <w:color w:val="000000" w:themeColor="text1"/>
          <w:shd w:val="clear" w:color="auto" w:fill="FFFFFF"/>
        </w:rPr>
        <w:t>(1875)</w:t>
      </w:r>
      <w:r w:rsidR="00A54A2A" w:rsidRPr="004612AC">
        <w:rPr>
          <w:rFonts w:ascii="Arial" w:hAnsi="Arial" w:cs="Arial"/>
          <w:color w:val="000000" w:themeColor="text1"/>
        </w:rPr>
        <w:t>, equity ensures that every individual defendant can "have his story heard", thus raising one's justice. Equity, therefore, can be used to enhance the liberty of individuals in front of the law (whether it is viewed as "the justice system" or more technically "the common law") by allowing judges to break with legal principles and statutes to "do justice" among parties.</w:t>
      </w:r>
      <w:r w:rsidR="00A54A2A" w:rsidRPr="004612AC">
        <w:rPr>
          <w:rStyle w:val="apple-converted-space"/>
          <w:rFonts w:ascii="Arial" w:hAnsi="Arial" w:cs="Arial"/>
          <w:color w:val="000000" w:themeColor="text1"/>
          <w:sz w:val="27"/>
          <w:szCs w:val="27"/>
        </w:rPr>
        <w:t> </w:t>
      </w:r>
      <w:r w:rsidR="00A54A2A" w:rsidRPr="004612AC">
        <w:rPr>
          <w:rFonts w:ascii="Arial" w:hAnsi="Arial" w:cs="Arial"/>
          <w:color w:val="000000" w:themeColor="text1"/>
        </w:rPr>
        <w:t>That is why equity is so</w:t>
      </w:r>
      <w:r w:rsidR="00A54A2A" w:rsidRPr="004612AC">
        <w:rPr>
          <w:rStyle w:val="apple-converted-space"/>
          <w:rFonts w:ascii="Arial" w:hAnsi="Arial" w:cs="Arial"/>
          <w:color w:val="000000" w:themeColor="text1"/>
        </w:rPr>
        <w:t> </w:t>
      </w:r>
      <w:r w:rsidR="00A54A2A" w:rsidRPr="004612AC">
        <w:rPr>
          <w:rStyle w:val="issue-underline"/>
          <w:rFonts w:ascii="Arial" w:hAnsi="Arial" w:cs="Arial"/>
          <w:color w:val="000000" w:themeColor="text1"/>
        </w:rPr>
        <w:t>important</w:t>
      </w:r>
      <w:r w:rsidR="00A54A2A" w:rsidRPr="004612AC">
        <w:rPr>
          <w:rFonts w:ascii="Arial" w:hAnsi="Arial" w:cs="Arial"/>
          <w:color w:val="000000" w:themeColor="text1"/>
        </w:rPr>
        <w:t>. By applying equity, the courts</w:t>
      </w:r>
      <w:r w:rsidR="00A54A2A" w:rsidRPr="004612AC">
        <w:rPr>
          <w:rStyle w:val="apple-converted-space"/>
          <w:rFonts w:ascii="Arial" w:hAnsi="Arial" w:cs="Arial"/>
          <w:color w:val="000000" w:themeColor="text1"/>
        </w:rPr>
        <w:t> </w:t>
      </w:r>
      <w:r w:rsidR="00A54A2A" w:rsidRPr="004612AC">
        <w:rPr>
          <w:rStyle w:val="issue-underline"/>
          <w:rFonts w:ascii="Arial" w:hAnsi="Arial" w:cs="Arial"/>
          <w:color w:val="000000" w:themeColor="text1"/>
        </w:rPr>
        <w:t>can</w:t>
      </w:r>
      <w:r w:rsidR="00A54A2A" w:rsidRPr="004612AC">
        <w:rPr>
          <w:rStyle w:val="apple-converted-space"/>
          <w:rFonts w:ascii="Arial" w:hAnsi="Arial" w:cs="Arial"/>
          <w:color w:val="000000" w:themeColor="text1"/>
        </w:rPr>
        <w:t> </w:t>
      </w:r>
      <w:r w:rsidR="00A54A2A" w:rsidRPr="004612AC">
        <w:rPr>
          <w:rFonts w:ascii="Arial" w:hAnsi="Arial" w:cs="Arial"/>
          <w:color w:val="000000" w:themeColor="text1"/>
        </w:rPr>
        <w:t>judge each case on its facts and by applying contested value judgments to each case.</w:t>
      </w:r>
    </w:p>
    <w:p w14:paraId="5B28A016" w14:textId="7CC7809B" w:rsidR="00D20786" w:rsidRPr="004612AC" w:rsidRDefault="00D20786"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To conclude, </w:t>
      </w:r>
      <w:r w:rsidR="001F2552" w:rsidRPr="004612AC">
        <w:rPr>
          <w:rFonts w:ascii="Arial" w:hAnsi="Arial" w:cs="Arial"/>
          <w:color w:val="000000" w:themeColor="text1"/>
        </w:rPr>
        <w:t xml:space="preserve">when it comes to addressing the issue of whether equity can successfully mitigate injustice, there are clear differences in opinion on both sides. Observing the complex nuances of interim injunctions indicates there are no clear-cut answers to this debate. The full facts of a case may not always be available and observing the stronger case alone may not always result in an equitable outcome. Specific performance also suggests that limiting the operation of equitable remedies does not necessarily increase certainty; this illustrates the difficulty in viewing legal systems in terms of two opposing ends, flexibility, and certainty, which do not correspond to reality. Essentially, equity serves to balance competing interests, mitigating against otherwise unjust outcomes, and providing the flexibility necessary for an effective legal system. Although equity has undergone many changes in the past few decades, it continues to play a vital role that is largely ignored in the twenty-first century. To achieve justice, both reliability and fairness must be combined with the common law and not against it. </w:t>
      </w:r>
      <w:r w:rsidR="004E63F4" w:rsidRPr="004612AC">
        <w:rPr>
          <w:rFonts w:ascii="Arial" w:hAnsi="Arial" w:cs="Arial"/>
          <w:color w:val="000000" w:themeColor="text1"/>
        </w:rPr>
        <w:t xml:space="preserve">(Panesar, 2020). </w:t>
      </w:r>
    </w:p>
    <w:p w14:paraId="1A887E90" w14:textId="4A3913BA" w:rsidR="00B117E5" w:rsidRDefault="00B117E5"/>
    <w:p w14:paraId="0AB6B2EC" w14:textId="1DFAADE0" w:rsidR="00C456F4" w:rsidRDefault="00C456F4"/>
    <w:p w14:paraId="34ED2F4F" w14:textId="0A3CC7BD" w:rsidR="00C456F4" w:rsidRDefault="00C456F4"/>
    <w:p w14:paraId="58C74F90" w14:textId="7144201A" w:rsidR="00C456F4" w:rsidRDefault="00C456F4"/>
    <w:p w14:paraId="5D9068A6" w14:textId="080B9508" w:rsidR="00C456F4" w:rsidRDefault="00C456F4"/>
    <w:p w14:paraId="3F60F686" w14:textId="05DE4960" w:rsidR="00C456F4" w:rsidRDefault="00C456F4"/>
    <w:p w14:paraId="3BB1A16C" w14:textId="288A72E5" w:rsidR="00C456F4" w:rsidRDefault="00C456F4"/>
    <w:p w14:paraId="626679AE" w14:textId="1056F4C9" w:rsidR="00C456F4" w:rsidRDefault="00C456F4"/>
    <w:p w14:paraId="72F97E0F" w14:textId="68660ABF" w:rsidR="00C456F4" w:rsidRDefault="00C456F4"/>
    <w:p w14:paraId="2DB7209F" w14:textId="656B486E" w:rsidR="00C456F4" w:rsidRDefault="00C456F4"/>
    <w:p w14:paraId="5FC6878A" w14:textId="5E4AA255" w:rsidR="00C456F4" w:rsidRDefault="00C456F4"/>
    <w:p w14:paraId="7042719D" w14:textId="400D92F7" w:rsidR="00C456F4" w:rsidRDefault="00C456F4"/>
    <w:p w14:paraId="63CBDC2E" w14:textId="1ECAB15F" w:rsidR="00C456F4" w:rsidRDefault="00C456F4"/>
    <w:p w14:paraId="61034920" w14:textId="561932A1" w:rsidR="00C456F4" w:rsidRDefault="00C456F4"/>
    <w:p w14:paraId="1FB83ACF" w14:textId="79B4D563" w:rsidR="00C456F4" w:rsidRDefault="00C456F4"/>
    <w:p w14:paraId="296B2E07" w14:textId="0FD18E26" w:rsidR="00C456F4" w:rsidRDefault="00C456F4"/>
    <w:p w14:paraId="754705D8" w14:textId="40B81898" w:rsidR="00C456F4" w:rsidRDefault="00C456F4"/>
    <w:p w14:paraId="71945310" w14:textId="62437077" w:rsidR="00C456F4" w:rsidRDefault="00C456F4"/>
    <w:p w14:paraId="503E758C" w14:textId="0730606B" w:rsidR="00C456F4" w:rsidRDefault="00C456F4"/>
    <w:p w14:paraId="65EF9334" w14:textId="32EF23C8" w:rsidR="00C456F4" w:rsidRDefault="00C456F4"/>
    <w:p w14:paraId="1B3C8D18" w14:textId="7CFD9899" w:rsidR="00C456F4" w:rsidRDefault="00C456F4"/>
    <w:p w14:paraId="27D41F58" w14:textId="0FC32CE4" w:rsidR="00C456F4" w:rsidRDefault="00C456F4"/>
    <w:p w14:paraId="4D9DE9F7" w14:textId="3E2578FB" w:rsidR="00C456F4" w:rsidRDefault="00C456F4"/>
    <w:p w14:paraId="3E9EFD44" w14:textId="7466E980" w:rsidR="00C456F4" w:rsidRDefault="00C456F4"/>
    <w:p w14:paraId="2B18BE80" w14:textId="6F50F6A9" w:rsidR="00C456F4" w:rsidRDefault="00C456F4"/>
    <w:p w14:paraId="10139A26" w14:textId="5B0D54E2" w:rsidR="00C456F4" w:rsidRDefault="00C456F4"/>
    <w:p w14:paraId="297E3AF8" w14:textId="6AA8FFE7" w:rsidR="00C456F4" w:rsidRDefault="00C456F4"/>
    <w:p w14:paraId="706E2984" w14:textId="4D3B9CAC" w:rsidR="00C456F4" w:rsidRDefault="00C456F4"/>
    <w:p w14:paraId="02F645BC" w14:textId="3CDDE935" w:rsidR="00C456F4" w:rsidRDefault="00C456F4"/>
    <w:p w14:paraId="28485AAB" w14:textId="7ACB1661" w:rsidR="00C456F4" w:rsidRDefault="00C456F4"/>
    <w:p w14:paraId="5C267349" w14:textId="4A218EA9" w:rsidR="00C456F4" w:rsidRDefault="00C456F4"/>
    <w:p w14:paraId="046ACCC1" w14:textId="103DB60C" w:rsidR="00C456F4" w:rsidRDefault="00C456F4"/>
    <w:p w14:paraId="2A7DAB19" w14:textId="3219B586" w:rsidR="00C456F4" w:rsidRDefault="00C456F4"/>
    <w:p w14:paraId="1F55AE8C" w14:textId="3515F4AC" w:rsidR="00C456F4" w:rsidRDefault="00C456F4"/>
    <w:p w14:paraId="26582CB9" w14:textId="1FB87E90" w:rsidR="00C456F4" w:rsidRDefault="00C456F4"/>
    <w:p w14:paraId="03DC2D7D" w14:textId="30C9B95A" w:rsidR="00C456F4" w:rsidRDefault="00C456F4"/>
    <w:p w14:paraId="45D87A3A" w14:textId="1CD5D651" w:rsidR="00C456F4" w:rsidRDefault="00C456F4"/>
    <w:p w14:paraId="528BB3B2" w14:textId="54799E70" w:rsidR="00C456F4" w:rsidRDefault="00C456F4"/>
    <w:p w14:paraId="58C0024E" w14:textId="59255F73" w:rsidR="00C456F4" w:rsidRDefault="00C456F4"/>
    <w:p w14:paraId="09CB94F3" w14:textId="621DDD68" w:rsidR="00C456F4" w:rsidRDefault="00C456F4"/>
    <w:p w14:paraId="2EC3C24A" w14:textId="27014CC1" w:rsidR="00C456F4" w:rsidRDefault="00C456F4"/>
    <w:p w14:paraId="77EA409B" w14:textId="77777777" w:rsidR="00C456F4" w:rsidRDefault="00C456F4"/>
    <w:p w14:paraId="29570730" w14:textId="0ABB90E3" w:rsidR="00B117E5" w:rsidRDefault="00B117E5"/>
    <w:p w14:paraId="58B20847" w14:textId="40F469A4" w:rsidR="00B117E5" w:rsidRDefault="00B117E5"/>
    <w:p w14:paraId="0E75BFA3" w14:textId="5645802B" w:rsidR="00B117E5" w:rsidRDefault="00B117E5"/>
    <w:p w14:paraId="4352D50D" w14:textId="5BC42EFC" w:rsidR="00B117E5" w:rsidRDefault="00B117E5"/>
    <w:p w14:paraId="104B5C88" w14:textId="36297EDC" w:rsidR="00B117E5" w:rsidRDefault="00B117E5"/>
    <w:p w14:paraId="70F49343" w14:textId="71C26D45" w:rsidR="00B117E5" w:rsidRDefault="00B117E5"/>
    <w:p w14:paraId="4AE6DAB0" w14:textId="15607E10" w:rsidR="00B117E5" w:rsidRDefault="00B117E5"/>
    <w:p w14:paraId="31D0E369" w14:textId="35B10471" w:rsidR="00B117E5" w:rsidRDefault="00B117E5"/>
    <w:p w14:paraId="365D93CC" w14:textId="1B6623F1" w:rsidR="00B117E5" w:rsidRDefault="00B117E5"/>
    <w:p w14:paraId="387D91EB" w14:textId="77777777" w:rsidR="00350AEA" w:rsidRDefault="00350AEA"/>
    <w:p w14:paraId="55D35CBB" w14:textId="77777777" w:rsidR="007606F8" w:rsidRDefault="007606F8" w:rsidP="00B117E5">
      <w:pPr>
        <w:rPr>
          <w:rFonts w:ascii="Arial" w:hAnsi="Arial" w:cs="Arial"/>
          <w:b/>
          <w:bCs/>
          <w:sz w:val="24"/>
          <w:szCs w:val="24"/>
          <w:u w:val="single"/>
        </w:rPr>
      </w:pPr>
    </w:p>
    <w:p w14:paraId="2043EB55" w14:textId="77777777" w:rsidR="007606F8" w:rsidRDefault="007606F8" w:rsidP="00B117E5">
      <w:pPr>
        <w:rPr>
          <w:rFonts w:ascii="Arial" w:hAnsi="Arial" w:cs="Arial"/>
          <w:b/>
          <w:bCs/>
          <w:sz w:val="24"/>
          <w:szCs w:val="24"/>
          <w:u w:val="single"/>
        </w:rPr>
      </w:pPr>
    </w:p>
    <w:p w14:paraId="0923C3BA" w14:textId="77777777" w:rsidR="007606F8" w:rsidRDefault="007606F8" w:rsidP="00B117E5">
      <w:pPr>
        <w:rPr>
          <w:rFonts w:ascii="Arial" w:hAnsi="Arial" w:cs="Arial"/>
          <w:b/>
          <w:bCs/>
          <w:sz w:val="24"/>
          <w:szCs w:val="24"/>
          <w:u w:val="single"/>
        </w:rPr>
      </w:pPr>
    </w:p>
    <w:p w14:paraId="0A78954F" w14:textId="6D118C7D" w:rsidR="00C456F4" w:rsidRPr="00C456F4" w:rsidRDefault="00B117E5" w:rsidP="00B117E5">
      <w:pPr>
        <w:rPr>
          <w:rFonts w:ascii="Arial" w:hAnsi="Arial" w:cs="Arial"/>
          <w:b/>
          <w:bCs/>
          <w:sz w:val="24"/>
          <w:szCs w:val="24"/>
          <w:u w:val="single"/>
        </w:rPr>
      </w:pPr>
      <w:r>
        <w:rPr>
          <w:rFonts w:ascii="Arial" w:hAnsi="Arial" w:cs="Arial"/>
          <w:b/>
          <w:bCs/>
          <w:sz w:val="24"/>
          <w:szCs w:val="24"/>
          <w:u w:val="single"/>
        </w:rPr>
        <w:t xml:space="preserve">References: </w:t>
      </w:r>
    </w:p>
    <w:p w14:paraId="4F04A46E" w14:textId="77777777" w:rsidR="00C456F4" w:rsidRDefault="00C456F4" w:rsidP="00B117E5">
      <w:pPr>
        <w:rPr>
          <w:rFonts w:ascii="Arial" w:hAnsi="Arial" w:cs="Arial"/>
          <w:sz w:val="24"/>
          <w:szCs w:val="24"/>
        </w:rPr>
      </w:pPr>
    </w:p>
    <w:p w14:paraId="0024FAAA"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Baker, J (2019), </w:t>
      </w:r>
      <w:r w:rsidRPr="00FC723C">
        <w:rPr>
          <w:rFonts w:ascii="Arial" w:hAnsi="Arial" w:cs="Arial"/>
          <w:i/>
          <w:iCs/>
          <w:color w:val="000000"/>
        </w:rPr>
        <w:t>English Legal History</w:t>
      </w:r>
      <w:r>
        <w:rPr>
          <w:rFonts w:ascii="Arial" w:hAnsi="Arial" w:cs="Arial"/>
          <w:color w:val="000000"/>
        </w:rPr>
        <w:t xml:space="preserve">, Fifth Edition, Oxford University Press. </w:t>
      </w:r>
    </w:p>
    <w:p w14:paraId="25B0F20C"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 xml:space="preserve">Bray, J (2020), A Students Guide to Equity and Trusts, Second Edition, Cambridge University Press. </w:t>
      </w:r>
    </w:p>
    <w:p w14:paraId="1042893C" w14:textId="055FE05A"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Davies, P, S and Virgo, </w:t>
      </w:r>
      <w:r w:rsidR="00A84EE5">
        <w:rPr>
          <w:rFonts w:ascii="Arial" w:hAnsi="Arial" w:cs="Arial"/>
          <w:color w:val="000000"/>
        </w:rPr>
        <w:t>G.</w:t>
      </w:r>
      <w:r>
        <w:rPr>
          <w:rFonts w:ascii="Arial" w:hAnsi="Arial" w:cs="Arial"/>
          <w:color w:val="000000"/>
        </w:rPr>
        <w:t xml:space="preserve"> (2019), Equity and Trusts, Third Edition, Oxford University Press. </w:t>
      </w:r>
    </w:p>
    <w:p w14:paraId="6397809C"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Duddington</w:t>
      </w:r>
      <w:proofErr w:type="spellEnd"/>
      <w:r>
        <w:rPr>
          <w:rFonts w:ascii="Arial" w:hAnsi="Arial" w:cs="Arial"/>
          <w:color w:val="000000"/>
        </w:rPr>
        <w:t xml:space="preserve">, J (2009), </w:t>
      </w:r>
      <w:r w:rsidRPr="00A57850">
        <w:rPr>
          <w:rFonts w:ascii="Arial" w:hAnsi="Arial" w:cs="Arial"/>
          <w:i/>
          <w:iCs/>
          <w:color w:val="000000"/>
        </w:rPr>
        <w:t>Equity and Trusts</w:t>
      </w:r>
      <w:r>
        <w:rPr>
          <w:rFonts w:ascii="Arial" w:hAnsi="Arial" w:cs="Arial"/>
          <w:color w:val="000000"/>
        </w:rPr>
        <w:t xml:space="preserve">, Second Edition, Pearson. </w:t>
      </w:r>
    </w:p>
    <w:p w14:paraId="462DDB41" w14:textId="77777777" w:rsidR="00C456F4" w:rsidRPr="00FE67CC" w:rsidRDefault="00C456F4" w:rsidP="00B117E5">
      <w:pPr>
        <w:spacing w:before="100" w:beforeAutospacing="1" w:after="100" w:afterAutospacing="1"/>
        <w:rPr>
          <w:rFonts w:ascii="Arial" w:hAnsi="Arial" w:cs="Arial"/>
          <w:sz w:val="24"/>
          <w:szCs w:val="24"/>
        </w:rPr>
      </w:pPr>
      <w:r w:rsidRPr="00FE67CC">
        <w:rPr>
          <w:rFonts w:ascii="Arial" w:hAnsi="Arial" w:cs="Arial"/>
          <w:sz w:val="24"/>
          <w:szCs w:val="24"/>
        </w:rPr>
        <w:t>Elliott, C and Quinn, F (2015), </w:t>
      </w:r>
      <w:r w:rsidRPr="00FE67CC">
        <w:rPr>
          <w:rFonts w:ascii="Arial" w:hAnsi="Arial" w:cs="Arial"/>
          <w:i/>
          <w:iCs/>
          <w:sz w:val="24"/>
          <w:szCs w:val="24"/>
        </w:rPr>
        <w:t>English Legal System</w:t>
      </w:r>
      <w:r w:rsidRPr="00FE67CC">
        <w:rPr>
          <w:rFonts w:ascii="Arial" w:hAnsi="Arial" w:cs="Arial"/>
          <w:sz w:val="24"/>
          <w:szCs w:val="24"/>
        </w:rPr>
        <w:t xml:space="preserve">, Sixteenth Edition, Pearson. </w:t>
      </w:r>
    </w:p>
    <w:p w14:paraId="68412CBF" w14:textId="77777777" w:rsidR="00C456F4" w:rsidRDefault="00C456F4" w:rsidP="00B117E5">
      <w:pPr>
        <w:pStyle w:val="NormalWeb"/>
        <w:spacing w:before="0" w:beforeAutospacing="0" w:after="240" w:afterAutospacing="0" w:line="360" w:lineRule="atLeast"/>
        <w:rPr>
          <w:rStyle w:val="apple-converted-space"/>
          <w:rFonts w:ascii="Arial" w:hAnsi="Arial" w:cs="Arial"/>
          <w:shd w:val="clear" w:color="auto" w:fill="FFFFFF"/>
        </w:rPr>
      </w:pPr>
      <w:r w:rsidRPr="00F94241">
        <w:rPr>
          <w:rFonts w:ascii="Arial" w:hAnsi="Arial" w:cs="Arial"/>
          <w:shd w:val="clear" w:color="auto" w:fill="FFFFFF"/>
        </w:rPr>
        <w:t>Griffin, J. G., (2022) “Equity: Balancing certainty and flexibility to secure justice”,</w:t>
      </w:r>
      <w:r w:rsidRPr="00F94241">
        <w:rPr>
          <w:rStyle w:val="apple-converted-space"/>
          <w:rFonts w:ascii="Arial" w:hAnsi="Arial" w:cs="Arial"/>
          <w:shd w:val="clear" w:color="auto" w:fill="FFFFFF"/>
        </w:rPr>
        <w:t> </w:t>
      </w:r>
      <w:r w:rsidRPr="00F94241">
        <w:rPr>
          <w:rFonts w:ascii="Arial" w:hAnsi="Arial" w:cs="Arial"/>
          <w:i/>
          <w:iCs/>
        </w:rPr>
        <w:t>Fields: journal of Huddersfield student research</w:t>
      </w:r>
      <w:r w:rsidRPr="00F94241">
        <w:rPr>
          <w:rStyle w:val="apple-converted-space"/>
          <w:rFonts w:ascii="Arial" w:hAnsi="Arial" w:cs="Arial"/>
          <w:shd w:val="clear" w:color="auto" w:fill="FFFFFF"/>
        </w:rPr>
        <w:t> </w:t>
      </w:r>
      <w:r w:rsidRPr="00F94241">
        <w:rPr>
          <w:rFonts w:ascii="Arial" w:hAnsi="Arial" w:cs="Arial"/>
          <w:shd w:val="clear" w:color="auto" w:fill="FFFFFF"/>
        </w:rPr>
        <w:t>8(1). Available at:</w:t>
      </w:r>
      <w:r w:rsidRPr="00F94241">
        <w:rPr>
          <w:rStyle w:val="apple-converted-space"/>
          <w:rFonts w:ascii="Arial" w:hAnsi="Arial" w:cs="Arial"/>
          <w:shd w:val="clear" w:color="auto" w:fill="FFFFFF"/>
        </w:rPr>
        <w:t> </w:t>
      </w:r>
      <w:hyperlink r:id="rId5" w:history="1">
        <w:r w:rsidRPr="00EA3656">
          <w:rPr>
            <w:rStyle w:val="Hyperlink"/>
            <w:rFonts w:ascii="Arial" w:hAnsi="Arial" w:cs="Arial"/>
            <w:shd w:val="clear" w:color="auto" w:fill="FFFFFF"/>
          </w:rPr>
          <w:t>https://www.fieldsjournal.org.uk/article/id/982/</w:t>
        </w:r>
      </w:hyperlink>
      <w:r>
        <w:rPr>
          <w:rStyle w:val="apple-converted-space"/>
          <w:rFonts w:ascii="Arial" w:hAnsi="Arial" w:cs="Arial"/>
          <w:shd w:val="clear" w:color="auto" w:fill="FFFFFF"/>
        </w:rPr>
        <w:t>, (Accessed: 11</w:t>
      </w:r>
      <w:r w:rsidRPr="00F94241">
        <w:rPr>
          <w:rStyle w:val="apple-converted-space"/>
          <w:rFonts w:ascii="Arial" w:hAnsi="Arial" w:cs="Arial"/>
          <w:shd w:val="clear" w:color="auto" w:fill="FFFFFF"/>
          <w:vertAlign w:val="superscript"/>
        </w:rPr>
        <w:t>th</w:t>
      </w:r>
      <w:r>
        <w:rPr>
          <w:rStyle w:val="apple-converted-space"/>
          <w:rFonts w:ascii="Arial" w:hAnsi="Arial" w:cs="Arial"/>
          <w:shd w:val="clear" w:color="auto" w:fill="FFFFFF"/>
        </w:rPr>
        <w:t xml:space="preserve"> March 2024). </w:t>
      </w:r>
    </w:p>
    <w:p w14:paraId="275E76F3" w14:textId="77777777" w:rsidR="00C456F4" w:rsidRPr="00F81073" w:rsidRDefault="00C456F4" w:rsidP="00B117E5">
      <w:pPr>
        <w:pStyle w:val="NormalWeb"/>
        <w:spacing w:before="0" w:beforeAutospacing="0" w:after="240" w:afterAutospacing="0" w:line="360" w:lineRule="atLeast"/>
        <w:rPr>
          <w:rFonts w:ascii="Arial" w:hAnsi="Arial" w:cs="Arial"/>
          <w:color w:val="000000"/>
        </w:rPr>
      </w:pPr>
      <w:r w:rsidRPr="00F81073">
        <w:rPr>
          <w:rFonts w:ascii="Arial" w:hAnsi="Arial" w:cs="Arial"/>
          <w:color w:val="000000"/>
        </w:rPr>
        <w:t>Griffin, J.G. (2022)</w:t>
      </w:r>
      <w:r>
        <w:rPr>
          <w:rFonts w:ascii="Arial" w:hAnsi="Arial" w:cs="Arial"/>
          <w:color w:val="000000"/>
        </w:rPr>
        <w:t xml:space="preserve">, </w:t>
      </w:r>
      <w:r w:rsidRPr="00F81073">
        <w:rPr>
          <w:rFonts w:ascii="Arial" w:hAnsi="Arial" w:cs="Arial"/>
          <w:color w:val="000000"/>
        </w:rPr>
        <w:t>Equity: Balancing certainty and flexibility to secure justice</w:t>
      </w:r>
      <w:r>
        <w:rPr>
          <w:rFonts w:ascii="Arial" w:hAnsi="Arial" w:cs="Arial"/>
          <w:color w:val="000000"/>
        </w:rPr>
        <w:t xml:space="preserve">, </w:t>
      </w:r>
      <w:r w:rsidRPr="00F81073">
        <w:rPr>
          <w:rFonts w:ascii="Arial" w:hAnsi="Arial" w:cs="Arial"/>
          <w:i/>
          <w:iCs/>
          <w:color w:val="000000"/>
        </w:rPr>
        <w:t>Fields: journal of Huddersfield student research</w:t>
      </w:r>
      <w:r w:rsidRPr="00F81073">
        <w:rPr>
          <w:rFonts w:ascii="Arial" w:hAnsi="Arial" w:cs="Arial"/>
          <w:color w:val="000000"/>
        </w:rPr>
        <w:t xml:space="preserve">, 8(1). Available at: </w:t>
      </w:r>
      <w:hyperlink r:id="rId6" w:history="1">
        <w:r w:rsidRPr="00F81073">
          <w:rPr>
            <w:rStyle w:val="Hyperlink"/>
            <w:rFonts w:ascii="Arial" w:hAnsi="Arial" w:cs="Arial"/>
          </w:rPr>
          <w:t>https://www.fieldsjournal.org.uk/article/id/982/</w:t>
        </w:r>
      </w:hyperlink>
      <w:r w:rsidRPr="00F81073">
        <w:rPr>
          <w:rFonts w:ascii="Arial" w:hAnsi="Arial" w:cs="Arial"/>
          <w:color w:val="000000"/>
        </w:rPr>
        <w:t>, (Accessed: 23</w:t>
      </w:r>
      <w:r w:rsidRPr="00F81073">
        <w:rPr>
          <w:rFonts w:ascii="Arial" w:hAnsi="Arial" w:cs="Arial"/>
          <w:color w:val="000000"/>
          <w:vertAlign w:val="superscript"/>
        </w:rPr>
        <w:t>rd</w:t>
      </w:r>
      <w:r w:rsidRPr="00F81073">
        <w:rPr>
          <w:rFonts w:ascii="Arial" w:hAnsi="Arial" w:cs="Arial"/>
          <w:color w:val="000000"/>
        </w:rPr>
        <w:t xml:space="preserve"> February 2024). </w:t>
      </w:r>
    </w:p>
    <w:p w14:paraId="6E0620C4" w14:textId="74E835FA" w:rsidR="00C456F4" w:rsidRPr="007C49A7" w:rsidRDefault="00C456F4" w:rsidP="007C49A7">
      <w:pPr>
        <w:pStyle w:val="NormalWeb"/>
        <w:spacing w:before="0" w:beforeAutospacing="0" w:after="240" w:afterAutospacing="0" w:line="360" w:lineRule="atLeast"/>
        <w:rPr>
          <w:rFonts w:ascii="Arial" w:hAnsi="Arial" w:cs="Arial"/>
          <w:color w:val="000000"/>
        </w:rPr>
      </w:pPr>
      <w:r>
        <w:rPr>
          <w:rFonts w:ascii="Arial" w:hAnsi="Arial" w:cs="Arial"/>
          <w:color w:val="000000" w:themeColor="text1"/>
        </w:rPr>
        <w:t>Hayton</w:t>
      </w:r>
      <w:r>
        <w:rPr>
          <w:rFonts w:ascii="Arial" w:hAnsi="Arial" w:cs="Arial"/>
          <w:color w:val="000000" w:themeColor="text1"/>
        </w:rPr>
        <w:t xml:space="preserve">, </w:t>
      </w:r>
      <w:r w:rsidR="00A84EE5">
        <w:rPr>
          <w:rFonts w:ascii="Arial" w:hAnsi="Arial" w:cs="Arial"/>
          <w:color w:val="000000" w:themeColor="text1"/>
        </w:rPr>
        <w:t>D.</w:t>
      </w:r>
      <w:r>
        <w:rPr>
          <w:rFonts w:ascii="Arial" w:hAnsi="Arial" w:cs="Arial"/>
          <w:color w:val="000000" w:themeColor="text1"/>
        </w:rPr>
        <w:t xml:space="preserve"> and Mitchell</w:t>
      </w:r>
      <w:r>
        <w:rPr>
          <w:rFonts w:ascii="Arial" w:hAnsi="Arial" w:cs="Arial"/>
          <w:color w:val="000000" w:themeColor="text1"/>
        </w:rPr>
        <w:t>, C.</w:t>
      </w:r>
      <w:r>
        <w:rPr>
          <w:rFonts w:ascii="Arial" w:hAnsi="Arial" w:cs="Arial"/>
          <w:color w:val="000000" w:themeColor="text1"/>
        </w:rPr>
        <w:t xml:space="preserve"> (2005)</w:t>
      </w:r>
      <w:r>
        <w:rPr>
          <w:rFonts w:ascii="Arial" w:hAnsi="Arial" w:cs="Arial"/>
          <w:color w:val="000000" w:themeColor="text1"/>
        </w:rPr>
        <w:t xml:space="preserve">, The Law of Trusts and Equitable Remedies, Twelfth Edition, Sweet &amp; Maxwell. </w:t>
      </w:r>
    </w:p>
    <w:p w14:paraId="7C23ECE5" w14:textId="77777777" w:rsidR="00C456F4" w:rsidRPr="00FE67CC" w:rsidRDefault="00C456F4" w:rsidP="00B117E5">
      <w:pPr>
        <w:pStyle w:val="NormalWeb"/>
        <w:spacing w:before="0" w:beforeAutospacing="0" w:after="240" w:afterAutospacing="0" w:line="360" w:lineRule="atLeast"/>
        <w:rPr>
          <w:rFonts w:ascii="Arial" w:hAnsi="Arial" w:cs="Arial"/>
          <w:color w:val="000000"/>
        </w:rPr>
      </w:pPr>
      <w:r w:rsidRPr="00FE67CC">
        <w:rPr>
          <w:rFonts w:ascii="Arial" w:hAnsi="Arial" w:cs="Arial"/>
          <w:color w:val="000000"/>
        </w:rPr>
        <w:t>Hudson, A. (2008).</w:t>
      </w:r>
      <w:r w:rsidRPr="00FE67CC">
        <w:rPr>
          <w:rStyle w:val="apple-converted-space"/>
          <w:rFonts w:ascii="Arial" w:hAnsi="Arial" w:cs="Arial"/>
          <w:color w:val="000000"/>
        </w:rPr>
        <w:t> </w:t>
      </w:r>
      <w:r w:rsidRPr="00FE67CC">
        <w:rPr>
          <w:rFonts w:ascii="Arial" w:hAnsi="Arial" w:cs="Arial"/>
          <w:i/>
          <w:iCs/>
          <w:color w:val="000000"/>
        </w:rPr>
        <w:t>The trust as an equitable response</w:t>
      </w:r>
      <w:r w:rsidRPr="00FE67CC">
        <w:rPr>
          <w:rFonts w:ascii="Arial" w:hAnsi="Arial" w:cs="Arial"/>
          <w:color w:val="000000"/>
        </w:rPr>
        <w:t xml:space="preserve">. [online] Available at: </w:t>
      </w:r>
      <w:hyperlink r:id="rId7" w:history="1">
        <w:r w:rsidRPr="00FE67CC">
          <w:rPr>
            <w:rStyle w:val="Hyperlink"/>
            <w:rFonts w:ascii="Arial" w:hAnsi="Arial" w:cs="Arial"/>
          </w:rPr>
          <w:t>http://www.alastairhudson.com/equity/The%20trust%20as%20an%20equitable%20response.pdf</w:t>
        </w:r>
      </w:hyperlink>
      <w:r w:rsidRPr="00FE67CC">
        <w:rPr>
          <w:rFonts w:ascii="Arial" w:hAnsi="Arial" w:cs="Arial"/>
          <w:color w:val="000000"/>
        </w:rPr>
        <w:t>, (Accessed: 26</w:t>
      </w:r>
      <w:r w:rsidRPr="00FE67CC">
        <w:rPr>
          <w:rFonts w:ascii="Arial" w:hAnsi="Arial" w:cs="Arial"/>
          <w:color w:val="000000"/>
          <w:vertAlign w:val="superscript"/>
        </w:rPr>
        <w:t>th</w:t>
      </w:r>
      <w:r w:rsidRPr="00FE67CC">
        <w:rPr>
          <w:rFonts w:ascii="Arial" w:hAnsi="Arial" w:cs="Arial"/>
          <w:color w:val="000000"/>
        </w:rPr>
        <w:t xml:space="preserve"> February 2024). </w:t>
      </w:r>
    </w:p>
    <w:p w14:paraId="09440A66" w14:textId="77777777" w:rsidR="00C456F4" w:rsidRDefault="00C456F4" w:rsidP="007C49A7">
      <w:pPr>
        <w:pStyle w:val="NormalWeb"/>
        <w:spacing w:before="0" w:beforeAutospacing="0" w:after="240" w:afterAutospacing="0" w:line="360" w:lineRule="atLeast"/>
        <w:rPr>
          <w:rFonts w:ascii="Arial" w:hAnsi="Arial" w:cs="Arial"/>
          <w:color w:val="000000"/>
        </w:rPr>
      </w:pPr>
      <w:r w:rsidRPr="007C49A7">
        <w:rPr>
          <w:rFonts w:ascii="Arial" w:hAnsi="Arial" w:cs="Arial"/>
          <w:color w:val="000000"/>
        </w:rPr>
        <w:t>Hudson, A. and Dignam, A. (2002).</w:t>
      </w:r>
      <w:r w:rsidRPr="007C49A7">
        <w:rPr>
          <w:rStyle w:val="apple-converted-space"/>
          <w:rFonts w:ascii="Arial" w:hAnsi="Arial" w:cs="Arial"/>
          <w:color w:val="000000"/>
        </w:rPr>
        <w:t> </w:t>
      </w:r>
      <w:r w:rsidRPr="007C49A7">
        <w:rPr>
          <w:rFonts w:ascii="Arial" w:hAnsi="Arial" w:cs="Arial"/>
          <w:i/>
          <w:iCs/>
          <w:color w:val="000000"/>
        </w:rPr>
        <w:t>Equity, individualisation, and social justice</w:t>
      </w:r>
      <w:r w:rsidRPr="007C49A7">
        <w:rPr>
          <w:rFonts w:ascii="Arial" w:hAnsi="Arial" w:cs="Arial"/>
          <w:color w:val="000000"/>
        </w:rPr>
        <w:t xml:space="preserve">. [online] Available at: </w:t>
      </w:r>
      <w:hyperlink r:id="rId8" w:history="1">
        <w:r w:rsidRPr="007C49A7">
          <w:rPr>
            <w:rStyle w:val="Hyperlink"/>
            <w:rFonts w:ascii="Arial" w:hAnsi="Arial" w:cs="Arial"/>
          </w:rPr>
          <w:t>http://www.alastairhudson.com/equity/Equity-socialjusticethroughindividualisation.pdf</w:t>
        </w:r>
      </w:hyperlink>
      <w:r w:rsidRPr="007C49A7">
        <w:rPr>
          <w:rFonts w:ascii="Arial" w:hAnsi="Arial" w:cs="Arial"/>
          <w:color w:val="000000"/>
        </w:rPr>
        <w:t>, (Accessed: 14</w:t>
      </w:r>
      <w:r w:rsidRPr="007C49A7">
        <w:rPr>
          <w:rFonts w:ascii="Arial" w:hAnsi="Arial" w:cs="Arial"/>
          <w:color w:val="000000"/>
          <w:vertAlign w:val="superscript"/>
        </w:rPr>
        <w:t>th</w:t>
      </w:r>
      <w:r w:rsidRPr="007C49A7">
        <w:rPr>
          <w:rFonts w:ascii="Arial" w:hAnsi="Arial" w:cs="Arial"/>
          <w:color w:val="000000"/>
        </w:rPr>
        <w:t xml:space="preserve"> March 2024). </w:t>
      </w:r>
    </w:p>
    <w:p w14:paraId="124FB29D" w14:textId="3BB3D034" w:rsidR="00C456F4" w:rsidRDefault="00C456F4" w:rsidP="00B117E5">
      <w:pPr>
        <w:pStyle w:val="NormalWeb"/>
        <w:spacing w:before="0" w:beforeAutospacing="0" w:after="240" w:afterAutospacing="0" w:line="360" w:lineRule="atLeast"/>
        <w:rPr>
          <w:rFonts w:ascii="Arial" w:hAnsi="Arial" w:cs="Arial"/>
        </w:rPr>
      </w:pPr>
      <w:proofErr w:type="spellStart"/>
      <w:r>
        <w:rPr>
          <w:rFonts w:ascii="Arial" w:hAnsi="Arial" w:cs="Arial"/>
        </w:rPr>
        <w:t>Mofatt</w:t>
      </w:r>
      <w:proofErr w:type="spellEnd"/>
      <w:r>
        <w:rPr>
          <w:rFonts w:ascii="Arial" w:hAnsi="Arial" w:cs="Arial"/>
        </w:rPr>
        <w:t xml:space="preserve">, G, Bean G, and Probert, </w:t>
      </w:r>
      <w:r w:rsidR="00A84EE5">
        <w:rPr>
          <w:rFonts w:ascii="Arial" w:hAnsi="Arial" w:cs="Arial"/>
        </w:rPr>
        <w:t>R.</w:t>
      </w:r>
      <w:r>
        <w:rPr>
          <w:rFonts w:ascii="Arial" w:hAnsi="Arial" w:cs="Arial"/>
        </w:rPr>
        <w:t xml:space="preserve">, (2009), Trusts Law Text and Materials, Fifth Edition, Cambridge University Press. </w:t>
      </w:r>
    </w:p>
    <w:p w14:paraId="1683F66C"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Oldham, J (2005), </w:t>
      </w:r>
      <w:r w:rsidRPr="00A57850">
        <w:rPr>
          <w:rFonts w:ascii="Arial" w:hAnsi="Arial" w:cs="Arial"/>
          <w:i/>
          <w:iCs/>
          <w:color w:val="000000"/>
        </w:rPr>
        <w:t>English Common Law in The Age of Mansfield</w:t>
      </w:r>
      <w:r>
        <w:rPr>
          <w:rFonts w:ascii="Arial" w:hAnsi="Arial" w:cs="Arial"/>
          <w:color w:val="000000"/>
        </w:rPr>
        <w:t xml:space="preserve">, University of North Carolina Press. </w:t>
      </w:r>
    </w:p>
    <w:p w14:paraId="5F91485A" w14:textId="77777777" w:rsidR="00C456F4" w:rsidRDefault="00C456F4" w:rsidP="00B117E5">
      <w:pPr>
        <w:pStyle w:val="NormalWeb"/>
        <w:spacing w:before="0" w:beforeAutospacing="0" w:after="240" w:afterAutospacing="0" w:line="360" w:lineRule="atLeast"/>
        <w:rPr>
          <w:rFonts w:ascii="Arial" w:hAnsi="Arial" w:cs="Arial"/>
        </w:rPr>
      </w:pPr>
      <w:r>
        <w:rPr>
          <w:rFonts w:ascii="Arial" w:hAnsi="Arial" w:cs="Arial"/>
        </w:rPr>
        <w:t xml:space="preserve">Panesar, S (2020), Equity and Trusts, Fourth Edition, Pearson. </w:t>
      </w:r>
    </w:p>
    <w:p w14:paraId="63918A99"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sidRPr="00DE52C5">
        <w:rPr>
          <w:rFonts w:ascii="Arial" w:hAnsi="Arial" w:cs="Arial"/>
          <w:color w:val="000000"/>
        </w:rPr>
        <w:t>Ramjohn</w:t>
      </w:r>
      <w:proofErr w:type="spellEnd"/>
      <w:r w:rsidRPr="00DE52C5">
        <w:rPr>
          <w:rFonts w:ascii="Arial" w:hAnsi="Arial" w:cs="Arial"/>
          <w:color w:val="000000"/>
        </w:rPr>
        <w:t xml:space="preserve">, M (2019), </w:t>
      </w:r>
      <w:r w:rsidRPr="00DE52C5">
        <w:rPr>
          <w:rFonts w:ascii="Arial" w:hAnsi="Arial" w:cs="Arial"/>
          <w:i/>
          <w:iCs/>
          <w:color w:val="000000"/>
        </w:rPr>
        <w:t>Unlocking Equity and Trusts</w:t>
      </w:r>
      <w:r w:rsidRPr="00DE52C5">
        <w:rPr>
          <w:rFonts w:ascii="Arial" w:hAnsi="Arial" w:cs="Arial"/>
          <w:color w:val="000000"/>
        </w:rPr>
        <w:t xml:space="preserve">, Seventh Edition, Taylor </w:t>
      </w:r>
      <w:r>
        <w:rPr>
          <w:rFonts w:ascii="Arial" w:hAnsi="Arial" w:cs="Arial"/>
          <w:color w:val="000000"/>
        </w:rPr>
        <w:t>&amp;</w:t>
      </w:r>
      <w:r w:rsidRPr="00DE52C5">
        <w:rPr>
          <w:rFonts w:ascii="Arial" w:hAnsi="Arial" w:cs="Arial"/>
          <w:color w:val="000000"/>
        </w:rPr>
        <w:t xml:space="preserve"> Francis. </w:t>
      </w:r>
    </w:p>
    <w:p w14:paraId="617EEA9E"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Schatzberger</w:t>
      </w:r>
      <w:proofErr w:type="spellEnd"/>
      <w:r>
        <w:rPr>
          <w:rFonts w:ascii="Arial" w:hAnsi="Arial" w:cs="Arial"/>
          <w:color w:val="000000"/>
        </w:rPr>
        <w:t xml:space="preserve">, E (2020), </w:t>
      </w:r>
      <w:r w:rsidRPr="00A57850">
        <w:rPr>
          <w:rFonts w:ascii="Arial" w:hAnsi="Arial" w:cs="Arial"/>
          <w:i/>
          <w:iCs/>
          <w:color w:val="000000"/>
        </w:rPr>
        <w:t>Equity and Trusts</w:t>
      </w:r>
      <w:r>
        <w:rPr>
          <w:rFonts w:ascii="Arial" w:hAnsi="Arial" w:cs="Arial"/>
          <w:color w:val="000000"/>
        </w:rPr>
        <w:t xml:space="preserve">, Pearson. </w:t>
      </w:r>
    </w:p>
    <w:p w14:paraId="5CFBA3D6" w14:textId="77777777" w:rsidR="00C456F4" w:rsidRDefault="00C456F4" w:rsidP="00B117E5">
      <w:pPr>
        <w:pStyle w:val="NormalWeb"/>
        <w:spacing w:before="0" w:beforeAutospacing="0" w:after="240" w:afterAutospacing="0" w:line="360" w:lineRule="atLeast"/>
        <w:rPr>
          <w:rFonts w:ascii="Arial" w:hAnsi="Arial" w:cs="Arial"/>
        </w:rPr>
      </w:pPr>
      <w:r>
        <w:rPr>
          <w:rFonts w:ascii="Arial" w:hAnsi="Arial" w:cs="Arial"/>
        </w:rPr>
        <w:t xml:space="preserve">Smith, H, E (2020), The Law of Equity, Oxford University Press. </w:t>
      </w:r>
    </w:p>
    <w:p w14:paraId="3CC92CEC" w14:textId="53515502" w:rsidR="00C456F4" w:rsidRDefault="00C456F4" w:rsidP="00B117E5">
      <w:pPr>
        <w:rPr>
          <w:rFonts w:ascii="Arial" w:hAnsi="Arial" w:cs="Arial"/>
          <w:sz w:val="24"/>
          <w:szCs w:val="24"/>
        </w:rPr>
      </w:pPr>
      <w:r>
        <w:rPr>
          <w:rFonts w:ascii="Arial" w:hAnsi="Arial" w:cs="Arial"/>
          <w:sz w:val="24"/>
          <w:szCs w:val="24"/>
        </w:rPr>
        <w:lastRenderedPageBreak/>
        <w:t xml:space="preserve">Virgo, </w:t>
      </w:r>
      <w:r w:rsidR="00A84EE5">
        <w:rPr>
          <w:rFonts w:ascii="Arial" w:hAnsi="Arial" w:cs="Arial"/>
          <w:sz w:val="24"/>
          <w:szCs w:val="24"/>
        </w:rPr>
        <w:t>G.</w:t>
      </w:r>
      <w:r>
        <w:rPr>
          <w:rFonts w:ascii="Arial" w:hAnsi="Arial" w:cs="Arial"/>
          <w:sz w:val="24"/>
          <w:szCs w:val="24"/>
        </w:rPr>
        <w:t xml:space="preserve"> (2020), </w:t>
      </w:r>
      <w:r w:rsidRPr="00C31B72">
        <w:rPr>
          <w:rFonts w:ascii="Arial" w:hAnsi="Arial" w:cs="Arial"/>
          <w:i/>
          <w:iCs/>
          <w:sz w:val="24"/>
          <w:szCs w:val="24"/>
        </w:rPr>
        <w:t>The Principles of Equity and Trusts</w:t>
      </w:r>
      <w:r>
        <w:rPr>
          <w:rFonts w:ascii="Arial" w:hAnsi="Arial" w:cs="Arial"/>
          <w:sz w:val="24"/>
          <w:szCs w:val="24"/>
        </w:rPr>
        <w:t xml:space="preserve">, Fourth Edition, Oxford University Press. </w:t>
      </w:r>
    </w:p>
    <w:p w14:paraId="0CCD2DF5"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sidRPr="00FC5395">
        <w:rPr>
          <w:rFonts w:ascii="Arial" w:hAnsi="Arial" w:cs="Arial"/>
          <w:color w:val="000000"/>
        </w:rPr>
        <w:t>Waddams</w:t>
      </w:r>
      <w:proofErr w:type="spellEnd"/>
      <w:r w:rsidRPr="00FC5395">
        <w:rPr>
          <w:rFonts w:ascii="Arial" w:hAnsi="Arial" w:cs="Arial"/>
          <w:color w:val="000000"/>
        </w:rPr>
        <w:t>, S. (2023).</w:t>
      </w:r>
      <w:r w:rsidRPr="00FC5395">
        <w:rPr>
          <w:rStyle w:val="apple-converted-space"/>
          <w:rFonts w:ascii="Arial" w:hAnsi="Arial" w:cs="Arial"/>
          <w:color w:val="000000"/>
        </w:rPr>
        <w:t> </w:t>
      </w:r>
      <w:r w:rsidRPr="00FC5395">
        <w:rPr>
          <w:rFonts w:ascii="Arial" w:hAnsi="Arial" w:cs="Arial"/>
          <w:i/>
          <w:iCs/>
          <w:color w:val="000000"/>
        </w:rPr>
        <w:t>Equity in English Law</w:t>
      </w:r>
      <w:r w:rsidRPr="00FC5395">
        <w:rPr>
          <w:rFonts w:ascii="Arial" w:hAnsi="Arial" w:cs="Arial"/>
          <w:color w:val="000000"/>
        </w:rPr>
        <w:t xml:space="preserve">. [online] www.elgaronline.com. Available at: </w:t>
      </w:r>
      <w:hyperlink r:id="rId9" w:anchor=":~:text=The%20underlying%20concept%20of%20equity" w:history="1">
        <w:r w:rsidRPr="00FC5395">
          <w:rPr>
            <w:rStyle w:val="Hyperlink"/>
            <w:rFonts w:ascii="Arial" w:hAnsi="Arial" w:cs="Arial"/>
          </w:rPr>
          <w:t>https://www.elgaronline.com/display/book/9781839105609/b-9781839105609.equity.english.law.xml#:~:text=The%20underlying%20concept%20of%20equity</w:t>
        </w:r>
      </w:hyperlink>
      <w:r w:rsidRPr="00FC5395">
        <w:rPr>
          <w:rFonts w:ascii="Arial" w:hAnsi="Arial" w:cs="Arial"/>
          <w:color w:val="000000"/>
        </w:rPr>
        <w:t>, (Accessed: 13</w:t>
      </w:r>
      <w:r w:rsidRPr="00FC5395">
        <w:rPr>
          <w:rFonts w:ascii="Arial" w:hAnsi="Arial" w:cs="Arial"/>
          <w:color w:val="000000"/>
          <w:vertAlign w:val="superscript"/>
        </w:rPr>
        <w:t>th</w:t>
      </w:r>
      <w:r w:rsidRPr="00FC5395">
        <w:rPr>
          <w:rFonts w:ascii="Arial" w:hAnsi="Arial" w:cs="Arial"/>
          <w:color w:val="000000"/>
        </w:rPr>
        <w:t xml:space="preserve"> March 2024). </w:t>
      </w:r>
    </w:p>
    <w:p w14:paraId="3668C9C6" w14:textId="471B3577" w:rsidR="00C456F4" w:rsidRDefault="00C456F4" w:rsidP="00B117E5">
      <w:pPr>
        <w:rPr>
          <w:rFonts w:ascii="Arial" w:hAnsi="Arial" w:cs="Arial"/>
          <w:sz w:val="24"/>
          <w:szCs w:val="24"/>
        </w:rPr>
      </w:pPr>
      <w:r>
        <w:rPr>
          <w:rFonts w:ascii="Arial" w:hAnsi="Arial" w:cs="Arial"/>
          <w:sz w:val="24"/>
          <w:szCs w:val="24"/>
        </w:rPr>
        <w:t xml:space="preserve">Watt, </w:t>
      </w:r>
      <w:r w:rsidR="00A84EE5">
        <w:rPr>
          <w:rFonts w:ascii="Arial" w:hAnsi="Arial" w:cs="Arial"/>
          <w:sz w:val="24"/>
          <w:szCs w:val="24"/>
        </w:rPr>
        <w:t>G.</w:t>
      </w:r>
      <w:r>
        <w:rPr>
          <w:rFonts w:ascii="Arial" w:hAnsi="Arial" w:cs="Arial"/>
          <w:sz w:val="24"/>
          <w:szCs w:val="24"/>
        </w:rPr>
        <w:t xml:space="preserve"> (2021), </w:t>
      </w:r>
      <w:r w:rsidRPr="00F81073">
        <w:rPr>
          <w:rFonts w:ascii="Arial" w:hAnsi="Arial" w:cs="Arial"/>
          <w:i/>
          <w:iCs/>
          <w:sz w:val="24"/>
          <w:szCs w:val="24"/>
        </w:rPr>
        <w:t>Equity and Trusts Law</w:t>
      </w:r>
      <w:r>
        <w:rPr>
          <w:rFonts w:ascii="Arial" w:hAnsi="Arial" w:cs="Arial"/>
          <w:sz w:val="24"/>
          <w:szCs w:val="24"/>
        </w:rPr>
        <w:t xml:space="preserve">, Seventh Edition, Oxford University Press. </w:t>
      </w:r>
    </w:p>
    <w:p w14:paraId="07190386" w14:textId="77777777" w:rsidR="007C49A7" w:rsidRPr="00561AFE" w:rsidRDefault="007C49A7" w:rsidP="00B117E5">
      <w:pPr>
        <w:pStyle w:val="NormalWeb"/>
        <w:spacing w:before="0" w:beforeAutospacing="0" w:after="240" w:afterAutospacing="0" w:line="360" w:lineRule="atLeast"/>
        <w:rPr>
          <w:rFonts w:ascii="Arial" w:hAnsi="Arial" w:cs="Arial"/>
          <w:color w:val="000000"/>
        </w:rPr>
      </w:pPr>
    </w:p>
    <w:p w14:paraId="4DF674D7" w14:textId="77777777" w:rsidR="00B117E5" w:rsidRPr="00BD199F" w:rsidRDefault="00B117E5" w:rsidP="00B117E5">
      <w:pPr>
        <w:pStyle w:val="NormalWeb"/>
        <w:spacing w:before="0" w:beforeAutospacing="0" w:after="240" w:afterAutospacing="0" w:line="360" w:lineRule="atLeast"/>
        <w:rPr>
          <w:rFonts w:ascii="Arial" w:hAnsi="Arial" w:cs="Arial"/>
          <w:b/>
          <w:bCs/>
          <w:color w:val="000000"/>
          <w:u w:val="single"/>
        </w:rPr>
      </w:pPr>
      <w:r w:rsidRPr="00BD199F">
        <w:rPr>
          <w:rFonts w:ascii="Arial" w:hAnsi="Arial" w:cs="Arial"/>
          <w:b/>
          <w:bCs/>
          <w:color w:val="000000"/>
          <w:u w:val="single"/>
        </w:rPr>
        <w:t>Acts:</w:t>
      </w:r>
    </w:p>
    <w:p w14:paraId="03B4949D" w14:textId="77777777" w:rsidR="00C456F4" w:rsidRPr="00727188" w:rsidRDefault="00C456F4" w:rsidP="00727188">
      <w:pPr>
        <w:pStyle w:val="NormalWeb"/>
        <w:spacing w:before="0" w:beforeAutospacing="0" w:after="240" w:afterAutospacing="0" w:line="360" w:lineRule="atLeast"/>
        <w:rPr>
          <w:rFonts w:ascii="Arial" w:hAnsi="Arial" w:cs="Arial"/>
          <w:color w:val="000000"/>
        </w:rPr>
      </w:pPr>
      <w:r w:rsidRPr="004612AC">
        <w:rPr>
          <w:rFonts w:ascii="Arial" w:hAnsi="Arial" w:cs="Arial"/>
          <w:color w:val="000000" w:themeColor="text1"/>
        </w:rPr>
        <w:t>Human Rights Act (1998)</w:t>
      </w:r>
      <w:r>
        <w:rPr>
          <w:rFonts w:ascii="Arial" w:hAnsi="Arial" w:cs="Arial"/>
          <w:color w:val="000000" w:themeColor="text1"/>
        </w:rPr>
        <w:t xml:space="preserve">, </w:t>
      </w:r>
      <w:r w:rsidRPr="00C456F4">
        <w:rPr>
          <w:rFonts w:ascii="Arial" w:hAnsi="Arial" w:cs="Arial"/>
          <w:color w:val="000000"/>
        </w:rPr>
        <w:t>legislation.gov.uk (2018).</w:t>
      </w:r>
      <w:r w:rsidRPr="00C456F4">
        <w:rPr>
          <w:rStyle w:val="apple-converted-space"/>
          <w:rFonts w:ascii="Arial" w:hAnsi="Arial" w:cs="Arial"/>
          <w:color w:val="000000"/>
        </w:rPr>
        <w:t> </w:t>
      </w:r>
      <w:r w:rsidRPr="00C456F4">
        <w:rPr>
          <w:rFonts w:ascii="Arial" w:hAnsi="Arial" w:cs="Arial"/>
          <w:i/>
          <w:iCs/>
          <w:color w:val="000000"/>
        </w:rPr>
        <w:t>Human Rights Act 1998</w:t>
      </w:r>
      <w:r w:rsidRPr="00C456F4">
        <w:rPr>
          <w:rFonts w:ascii="Arial" w:hAnsi="Arial" w:cs="Arial"/>
          <w:color w:val="000000"/>
        </w:rPr>
        <w:t xml:space="preserve">. [online] Legislation.gov.uk. Available at: </w:t>
      </w:r>
      <w:hyperlink r:id="rId10" w:history="1">
        <w:r w:rsidRPr="00BF63FC">
          <w:rPr>
            <w:rStyle w:val="Hyperlink"/>
            <w:rFonts w:ascii="Arial" w:hAnsi="Arial" w:cs="Arial"/>
          </w:rPr>
          <w:t>https://www.legislation.gov.uk/ukpga/1998/42/schedule/1/part/I/chapter/5</w:t>
        </w:r>
      </w:hyperlink>
      <w:r>
        <w:rPr>
          <w:rFonts w:ascii="Arial" w:hAnsi="Arial" w:cs="Arial"/>
          <w:color w:val="000000"/>
        </w:rPr>
        <w:t>, (Accessed: 13</w:t>
      </w:r>
      <w:r w:rsidRPr="00C456F4">
        <w:rPr>
          <w:rFonts w:ascii="Arial" w:hAnsi="Arial" w:cs="Arial"/>
          <w:color w:val="000000"/>
          <w:vertAlign w:val="superscript"/>
        </w:rPr>
        <w:t>th</w:t>
      </w:r>
      <w:r>
        <w:rPr>
          <w:rFonts w:ascii="Arial" w:hAnsi="Arial" w:cs="Arial"/>
          <w:color w:val="000000"/>
        </w:rPr>
        <w:t xml:space="preserve"> March 2024). </w:t>
      </w:r>
    </w:p>
    <w:p w14:paraId="41B5FB10" w14:textId="77777777" w:rsidR="00C456F4" w:rsidRDefault="00C456F4" w:rsidP="00727188">
      <w:pPr>
        <w:pStyle w:val="NormalWeb"/>
        <w:spacing w:before="0" w:beforeAutospacing="0" w:after="240" w:afterAutospacing="0" w:line="360" w:lineRule="atLeast"/>
        <w:rPr>
          <w:rFonts w:ascii="Arial" w:hAnsi="Arial" w:cs="Arial"/>
          <w:color w:val="000000"/>
        </w:rPr>
      </w:pPr>
      <w:r w:rsidRPr="00022F47">
        <w:rPr>
          <w:rFonts w:ascii="Arial" w:hAnsi="Arial" w:cs="Arial"/>
          <w:color w:val="000000"/>
        </w:rPr>
        <w:t xml:space="preserve">Judicature Act (1873) Amendment Act </w:t>
      </w:r>
      <w:r>
        <w:rPr>
          <w:rFonts w:ascii="Arial" w:hAnsi="Arial" w:cs="Arial"/>
          <w:color w:val="000000"/>
        </w:rPr>
        <w:t>(</w:t>
      </w:r>
      <w:r w:rsidRPr="00022F47">
        <w:rPr>
          <w:rFonts w:ascii="Arial" w:hAnsi="Arial" w:cs="Arial"/>
          <w:color w:val="000000"/>
        </w:rPr>
        <w:t>1875</w:t>
      </w:r>
      <w:r>
        <w:rPr>
          <w:rFonts w:ascii="Arial" w:hAnsi="Arial" w:cs="Arial"/>
          <w:color w:val="000000"/>
        </w:rPr>
        <w:t>)</w:t>
      </w:r>
      <w:r w:rsidRPr="00022F47">
        <w:rPr>
          <w:rFonts w:ascii="Arial" w:hAnsi="Arial" w:cs="Arial"/>
          <w:color w:val="000000"/>
        </w:rPr>
        <w:t>.</w:t>
      </w:r>
      <w:r w:rsidRPr="00727188">
        <w:rPr>
          <w:rFonts w:ascii="Arial" w:hAnsi="Arial" w:cs="Arial"/>
          <w:color w:val="000000"/>
        </w:rPr>
        <w:t xml:space="preserve"> Legislation.gov.uk. (2024).</w:t>
      </w:r>
      <w:r w:rsidRPr="00727188">
        <w:rPr>
          <w:rStyle w:val="apple-converted-space"/>
          <w:rFonts w:ascii="Arial" w:hAnsi="Arial" w:cs="Arial"/>
          <w:color w:val="000000"/>
        </w:rPr>
        <w:t> </w:t>
      </w:r>
      <w:r w:rsidRPr="00727188">
        <w:rPr>
          <w:rFonts w:ascii="Arial" w:hAnsi="Arial" w:cs="Arial"/>
          <w:i/>
          <w:iCs/>
          <w:color w:val="000000"/>
        </w:rPr>
        <w:t>Supreme Court of Judicature Act (1873) Amendment Act 1875</w:t>
      </w:r>
      <w:r w:rsidRPr="00727188">
        <w:rPr>
          <w:rFonts w:ascii="Arial" w:hAnsi="Arial" w:cs="Arial"/>
          <w:color w:val="000000"/>
        </w:rPr>
        <w:t xml:space="preserve">. [online] Available at: </w:t>
      </w:r>
      <w:hyperlink r:id="rId11" w:history="1">
        <w:r w:rsidRPr="00727188">
          <w:rPr>
            <w:rStyle w:val="Hyperlink"/>
            <w:rFonts w:ascii="Arial" w:hAnsi="Arial" w:cs="Arial"/>
          </w:rPr>
          <w:t>https://www.legislation.gov.uk/ukpga/1875/77/enacted</w:t>
        </w:r>
      </w:hyperlink>
      <w:r w:rsidRPr="00727188">
        <w:rPr>
          <w:rFonts w:ascii="Arial" w:hAnsi="Arial" w:cs="Arial"/>
          <w:color w:val="000000"/>
        </w:rPr>
        <w:t>, (Accessed: 27</w:t>
      </w:r>
      <w:r w:rsidRPr="00727188">
        <w:rPr>
          <w:rFonts w:ascii="Arial" w:hAnsi="Arial" w:cs="Arial"/>
          <w:color w:val="000000"/>
          <w:vertAlign w:val="superscript"/>
        </w:rPr>
        <w:t>th</w:t>
      </w:r>
      <w:r w:rsidRPr="00727188">
        <w:rPr>
          <w:rFonts w:ascii="Arial" w:hAnsi="Arial" w:cs="Arial"/>
          <w:color w:val="000000"/>
        </w:rPr>
        <w:t xml:space="preserve"> February 2024). </w:t>
      </w:r>
    </w:p>
    <w:p w14:paraId="7D6D7F35" w14:textId="77777777" w:rsidR="00C456F4" w:rsidRDefault="00C456F4" w:rsidP="00B117E5">
      <w:pPr>
        <w:pStyle w:val="NormalWeb"/>
        <w:spacing w:before="0" w:beforeAutospacing="0" w:after="240" w:afterAutospacing="0" w:line="360" w:lineRule="atLeast"/>
        <w:rPr>
          <w:rFonts w:ascii="Arial" w:hAnsi="Arial" w:cs="Arial"/>
          <w:color w:val="000000"/>
        </w:rPr>
      </w:pPr>
      <w:r w:rsidRPr="00BD199F">
        <w:rPr>
          <w:rStyle w:val="issue-underline"/>
          <w:rFonts w:ascii="Arial" w:hAnsi="Arial" w:cs="Arial"/>
          <w:color w:val="000000"/>
        </w:rPr>
        <w:t>Provision of Oxford</w:t>
      </w:r>
      <w:r w:rsidRPr="00BD199F">
        <w:rPr>
          <w:rStyle w:val="apple-converted-space"/>
          <w:rFonts w:ascii="Arial" w:hAnsi="Arial" w:cs="Arial"/>
          <w:color w:val="000000"/>
        </w:rPr>
        <w:t> (</w:t>
      </w:r>
      <w:r w:rsidRPr="00BD199F">
        <w:rPr>
          <w:rFonts w:ascii="Arial" w:hAnsi="Arial" w:cs="Arial"/>
          <w:color w:val="000000"/>
        </w:rPr>
        <w:t>1248), UK Parliament,</w:t>
      </w:r>
      <w:r w:rsidRPr="00BD199F">
        <w:rPr>
          <w:rStyle w:val="apple-converted-space"/>
          <w:rFonts w:ascii="Arial" w:hAnsi="Arial" w:cs="Arial"/>
          <w:color w:val="000000"/>
        </w:rPr>
        <w:t> </w:t>
      </w:r>
      <w:r w:rsidRPr="00BD199F">
        <w:rPr>
          <w:rFonts w:ascii="Arial" w:hAnsi="Arial" w:cs="Arial"/>
          <w:i/>
          <w:iCs/>
          <w:color w:val="000000"/>
        </w:rPr>
        <w:t>The Provisions of Oxford</w:t>
      </w:r>
      <w:r w:rsidRPr="00BD199F">
        <w:rPr>
          <w:rFonts w:ascii="Arial" w:hAnsi="Arial" w:cs="Arial"/>
          <w:color w:val="000000"/>
        </w:rPr>
        <w:t xml:space="preserve">. [online] Available at: </w:t>
      </w:r>
      <w:hyperlink r:id="rId12" w:history="1">
        <w:r w:rsidRPr="00BD199F">
          <w:rPr>
            <w:rStyle w:val="Hyperlink"/>
            <w:rFonts w:ascii="Arial" w:hAnsi="Arial" w:cs="Arial"/>
          </w:rPr>
          <w:t>https://www.parliament.uk/about/living-heritage/evolutionofparliament/originsofparliament/birthofparliament/overview/simondemontfort/provisionsoxford/</w:t>
        </w:r>
      </w:hyperlink>
      <w:r w:rsidRPr="00BD199F">
        <w:rPr>
          <w:rFonts w:ascii="Arial" w:hAnsi="Arial" w:cs="Arial"/>
          <w:color w:val="000000"/>
        </w:rPr>
        <w:t>, (Accessed: 27</w:t>
      </w:r>
      <w:r w:rsidRPr="00BD199F">
        <w:rPr>
          <w:rFonts w:ascii="Arial" w:hAnsi="Arial" w:cs="Arial"/>
          <w:color w:val="000000"/>
          <w:vertAlign w:val="superscript"/>
        </w:rPr>
        <w:t>th</w:t>
      </w:r>
      <w:r w:rsidRPr="00BD199F">
        <w:rPr>
          <w:rFonts w:ascii="Arial" w:hAnsi="Arial" w:cs="Arial"/>
          <w:color w:val="000000"/>
        </w:rPr>
        <w:t xml:space="preserve"> February 2024). </w:t>
      </w:r>
    </w:p>
    <w:p w14:paraId="2E84C19E" w14:textId="77777777" w:rsidR="00727188" w:rsidRDefault="00727188" w:rsidP="00727188">
      <w:pPr>
        <w:pStyle w:val="NormalWeb"/>
        <w:spacing w:before="0" w:beforeAutospacing="0" w:after="240" w:afterAutospacing="0" w:line="360" w:lineRule="atLeast"/>
        <w:rPr>
          <w:color w:val="000000"/>
        </w:rPr>
      </w:pPr>
    </w:p>
    <w:p w14:paraId="25F09641" w14:textId="77777777" w:rsidR="00B117E5" w:rsidRDefault="00B117E5" w:rsidP="00B117E5">
      <w:pPr>
        <w:rPr>
          <w:rFonts w:ascii="Arial" w:hAnsi="Arial" w:cs="Arial"/>
          <w:b/>
          <w:bCs/>
          <w:sz w:val="24"/>
          <w:szCs w:val="24"/>
          <w:u w:val="single"/>
        </w:rPr>
      </w:pPr>
      <w:r>
        <w:rPr>
          <w:rFonts w:ascii="Arial" w:hAnsi="Arial" w:cs="Arial"/>
          <w:b/>
          <w:bCs/>
          <w:sz w:val="24"/>
          <w:szCs w:val="24"/>
          <w:u w:val="single"/>
        </w:rPr>
        <w:t>Case Law:</w:t>
      </w:r>
    </w:p>
    <w:p w14:paraId="2304B3B3" w14:textId="77777777" w:rsidR="00C456F4" w:rsidRDefault="00C456F4">
      <w:pPr>
        <w:rPr>
          <w:rFonts w:ascii="Arial" w:hAnsi="Arial" w:cs="Arial"/>
          <w:color w:val="000000" w:themeColor="text1"/>
          <w:sz w:val="24"/>
          <w:szCs w:val="24"/>
        </w:rPr>
      </w:pPr>
    </w:p>
    <w:p w14:paraId="066EAC87" w14:textId="72AA374B" w:rsidR="00C456F4" w:rsidRDefault="00C456F4">
      <w:pPr>
        <w:rPr>
          <w:rFonts w:ascii="Arial" w:hAnsi="Arial" w:cs="Arial"/>
          <w:sz w:val="24"/>
          <w:szCs w:val="24"/>
        </w:rPr>
      </w:pPr>
      <w:r w:rsidRPr="002D0491">
        <w:rPr>
          <w:rFonts w:ascii="Arial" w:hAnsi="Arial" w:cs="Arial"/>
          <w:sz w:val="24"/>
          <w:szCs w:val="24"/>
        </w:rPr>
        <w:t>‘Anton Piller KG v Manufacturing Processes Ltd’ (1976)</w:t>
      </w:r>
      <w:r>
        <w:rPr>
          <w:rFonts w:ascii="Arial" w:hAnsi="Arial" w:cs="Arial"/>
          <w:sz w:val="24"/>
          <w:szCs w:val="24"/>
        </w:rPr>
        <w:t xml:space="preserve"> Ch. 55, (Accessed: 25</w:t>
      </w:r>
      <w:r w:rsidRPr="00C456F4">
        <w:rPr>
          <w:rFonts w:ascii="Arial" w:hAnsi="Arial" w:cs="Arial"/>
          <w:sz w:val="24"/>
          <w:szCs w:val="24"/>
          <w:vertAlign w:val="superscript"/>
        </w:rPr>
        <w:t>th</w:t>
      </w:r>
      <w:r>
        <w:rPr>
          <w:rFonts w:ascii="Arial" w:hAnsi="Arial" w:cs="Arial"/>
          <w:sz w:val="24"/>
          <w:szCs w:val="24"/>
        </w:rPr>
        <w:t xml:space="preserve"> February 2024). </w:t>
      </w:r>
    </w:p>
    <w:p w14:paraId="0718389A" w14:textId="77777777" w:rsidR="00C456F4" w:rsidRDefault="00C456F4">
      <w:pPr>
        <w:rPr>
          <w:rFonts w:ascii="Arial" w:hAnsi="Arial" w:cs="Arial"/>
          <w:sz w:val="24"/>
          <w:szCs w:val="24"/>
        </w:rPr>
      </w:pPr>
    </w:p>
    <w:p w14:paraId="5EDD69FE" w14:textId="47402544" w:rsidR="00C456F4" w:rsidRDefault="00C456F4" w:rsidP="00B117E5">
      <w:pPr>
        <w:rPr>
          <w:rFonts w:ascii="Arial" w:hAnsi="Arial" w:cs="Arial"/>
          <w:color w:val="000000"/>
          <w:sz w:val="24"/>
          <w:szCs w:val="24"/>
        </w:rPr>
      </w:pPr>
      <w:r>
        <w:rPr>
          <w:rFonts w:ascii="Arial" w:hAnsi="Arial" w:cs="Arial"/>
          <w:color w:val="000000"/>
          <w:sz w:val="24"/>
          <w:szCs w:val="24"/>
        </w:rPr>
        <w:t>‘Cook v Fountain’ (1676) 3 Swan 585, (Accessed: 10</w:t>
      </w:r>
      <w:r w:rsidRPr="00C456F4">
        <w:rPr>
          <w:rFonts w:ascii="Arial" w:hAnsi="Arial" w:cs="Arial"/>
          <w:color w:val="000000"/>
          <w:sz w:val="24"/>
          <w:szCs w:val="24"/>
          <w:vertAlign w:val="superscript"/>
        </w:rPr>
        <w:t>th</w:t>
      </w:r>
      <w:r>
        <w:rPr>
          <w:rFonts w:ascii="Arial" w:hAnsi="Arial" w:cs="Arial"/>
          <w:color w:val="000000"/>
          <w:sz w:val="24"/>
          <w:szCs w:val="24"/>
        </w:rPr>
        <w:t xml:space="preserve"> March 2024). </w:t>
      </w:r>
    </w:p>
    <w:p w14:paraId="02E279D3" w14:textId="77777777" w:rsidR="00C456F4" w:rsidRPr="00F67C08" w:rsidRDefault="00C456F4" w:rsidP="00B117E5">
      <w:pPr>
        <w:rPr>
          <w:rFonts w:ascii="Arial" w:hAnsi="Arial" w:cs="Arial"/>
          <w:sz w:val="36"/>
          <w:szCs w:val="36"/>
        </w:rPr>
      </w:pPr>
    </w:p>
    <w:p w14:paraId="6F3822E4" w14:textId="45683824" w:rsidR="00C456F4" w:rsidRDefault="00C456F4">
      <w:pPr>
        <w:rPr>
          <w:rFonts w:ascii="Arial" w:hAnsi="Arial" w:cs="Arial"/>
          <w:sz w:val="24"/>
          <w:szCs w:val="24"/>
        </w:rPr>
      </w:pPr>
      <w:r>
        <w:rPr>
          <w:rFonts w:ascii="Arial" w:hAnsi="Arial" w:cs="Arial"/>
          <w:sz w:val="24"/>
          <w:szCs w:val="24"/>
        </w:rPr>
        <w:t>‘Dudley v Dudley’ (1705) Prec Ch 241; 24 ER 118, (Accessed: 12</w:t>
      </w:r>
      <w:r w:rsidRPr="00C456F4">
        <w:rPr>
          <w:rFonts w:ascii="Arial" w:hAnsi="Arial" w:cs="Arial"/>
          <w:sz w:val="24"/>
          <w:szCs w:val="24"/>
          <w:vertAlign w:val="superscript"/>
        </w:rPr>
        <w:t>th</w:t>
      </w:r>
      <w:r>
        <w:rPr>
          <w:rFonts w:ascii="Arial" w:hAnsi="Arial" w:cs="Arial"/>
          <w:sz w:val="24"/>
          <w:szCs w:val="24"/>
        </w:rPr>
        <w:t xml:space="preserve"> March 2024). </w:t>
      </w:r>
    </w:p>
    <w:p w14:paraId="4A3EA887" w14:textId="77777777" w:rsidR="00C456F4" w:rsidRDefault="00C456F4">
      <w:pPr>
        <w:rPr>
          <w:rFonts w:ascii="Arial" w:hAnsi="Arial" w:cs="Arial"/>
          <w:sz w:val="24"/>
          <w:szCs w:val="24"/>
        </w:rPr>
      </w:pPr>
    </w:p>
    <w:p w14:paraId="579F7B10" w14:textId="60D41FA7" w:rsidR="00C456F4" w:rsidRDefault="00C456F4" w:rsidP="00B117E5">
      <w:pPr>
        <w:rPr>
          <w:rFonts w:ascii="Arial" w:hAnsi="Arial" w:cs="Arial"/>
          <w:sz w:val="24"/>
          <w:szCs w:val="24"/>
        </w:rPr>
      </w:pPr>
      <w:r>
        <w:rPr>
          <w:rFonts w:ascii="Arial" w:hAnsi="Arial" w:cs="Arial"/>
          <w:sz w:val="24"/>
          <w:szCs w:val="24"/>
        </w:rPr>
        <w:t>‘Earl of Oxford’s case’ (1615) 21 ER 485, (Accessed: 27</w:t>
      </w:r>
      <w:r w:rsidRPr="00C456F4">
        <w:rPr>
          <w:rFonts w:ascii="Arial" w:hAnsi="Arial" w:cs="Arial"/>
          <w:sz w:val="24"/>
          <w:szCs w:val="24"/>
          <w:vertAlign w:val="superscript"/>
        </w:rPr>
        <w:t>th</w:t>
      </w:r>
      <w:r>
        <w:rPr>
          <w:rFonts w:ascii="Arial" w:hAnsi="Arial" w:cs="Arial"/>
          <w:sz w:val="24"/>
          <w:szCs w:val="24"/>
        </w:rPr>
        <w:t xml:space="preserve"> February 2024).</w:t>
      </w:r>
    </w:p>
    <w:p w14:paraId="44CF36FD" w14:textId="77777777" w:rsidR="00C456F4" w:rsidRDefault="00C456F4" w:rsidP="00B117E5">
      <w:pPr>
        <w:rPr>
          <w:rFonts w:ascii="Arial" w:hAnsi="Arial" w:cs="Arial"/>
          <w:sz w:val="24"/>
          <w:szCs w:val="24"/>
        </w:rPr>
      </w:pPr>
    </w:p>
    <w:p w14:paraId="1C4106EE" w14:textId="5C7D6246" w:rsidR="00C456F4" w:rsidRDefault="00C456F4">
      <w:pPr>
        <w:rPr>
          <w:rFonts w:ascii="Arial" w:hAnsi="Arial" w:cs="Arial"/>
          <w:color w:val="000000" w:themeColor="text1"/>
          <w:sz w:val="24"/>
          <w:szCs w:val="24"/>
          <w:shd w:val="clear" w:color="auto" w:fill="FFFFFF"/>
        </w:rPr>
      </w:pPr>
      <w:r>
        <w:rPr>
          <w:rFonts w:ascii="Arial" w:hAnsi="Arial" w:cs="Arial"/>
          <w:color w:val="000000" w:themeColor="text1"/>
        </w:rPr>
        <w:t>‘</w:t>
      </w:r>
      <w:proofErr w:type="spellStart"/>
      <w:r w:rsidRPr="004612AC">
        <w:rPr>
          <w:rFonts w:ascii="Arial" w:hAnsi="Arial" w:cs="Arial"/>
          <w:color w:val="000000" w:themeColor="text1"/>
          <w:sz w:val="24"/>
          <w:szCs w:val="24"/>
        </w:rPr>
        <w:t>Fowkes</w:t>
      </w:r>
      <w:proofErr w:type="spellEnd"/>
      <w:r w:rsidRPr="004612AC">
        <w:rPr>
          <w:rFonts w:ascii="Arial" w:hAnsi="Arial" w:cs="Arial"/>
          <w:color w:val="000000" w:themeColor="text1"/>
          <w:sz w:val="24"/>
          <w:szCs w:val="24"/>
        </w:rPr>
        <w:t xml:space="preserve"> v Pascoe</w:t>
      </w:r>
      <w:r>
        <w:rPr>
          <w:rStyle w:val="apple-converted-space"/>
          <w:rFonts w:ascii="Arial" w:hAnsi="Arial" w:cs="Arial"/>
          <w:color w:val="000000" w:themeColor="text1"/>
          <w:shd w:val="clear" w:color="auto" w:fill="FFFFFF"/>
        </w:rPr>
        <w:t xml:space="preserve">’ </w:t>
      </w:r>
      <w:r w:rsidRPr="004612AC">
        <w:rPr>
          <w:rFonts w:ascii="Arial" w:hAnsi="Arial" w:cs="Arial"/>
          <w:color w:val="000000" w:themeColor="text1"/>
          <w:sz w:val="24"/>
          <w:szCs w:val="24"/>
          <w:shd w:val="clear" w:color="auto" w:fill="FFFFFF"/>
        </w:rPr>
        <w:t>(1875)</w:t>
      </w:r>
      <w:r>
        <w:rPr>
          <w:rFonts w:ascii="Arial" w:hAnsi="Arial" w:cs="Arial"/>
          <w:color w:val="000000" w:themeColor="text1"/>
          <w:sz w:val="24"/>
          <w:szCs w:val="24"/>
          <w:shd w:val="clear" w:color="auto" w:fill="FFFFFF"/>
        </w:rPr>
        <w:t xml:space="preserve"> LR 10 Ch App 343, (Accessed: 13</w:t>
      </w:r>
      <w:r w:rsidRPr="00C456F4">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March 2024). </w:t>
      </w:r>
    </w:p>
    <w:p w14:paraId="512FF384" w14:textId="77777777" w:rsidR="00C456F4" w:rsidRPr="00C31F04" w:rsidRDefault="00C456F4">
      <w:pPr>
        <w:rPr>
          <w:rFonts w:ascii="Arial" w:hAnsi="Arial" w:cs="Arial"/>
          <w:color w:val="000000"/>
          <w:sz w:val="24"/>
          <w:szCs w:val="24"/>
        </w:rPr>
      </w:pPr>
    </w:p>
    <w:p w14:paraId="05B3A471" w14:textId="379DF1DC" w:rsidR="00C456F4" w:rsidRDefault="00C456F4">
      <w:pPr>
        <w:rPr>
          <w:rFonts w:ascii="Arial" w:hAnsi="Arial" w:cs="Arial"/>
          <w:sz w:val="24"/>
          <w:szCs w:val="24"/>
        </w:rPr>
      </w:pPr>
      <w:r w:rsidRPr="00022F47">
        <w:rPr>
          <w:rFonts w:ascii="Arial" w:hAnsi="Arial" w:cs="Arial"/>
          <w:sz w:val="24"/>
          <w:szCs w:val="24"/>
        </w:rPr>
        <w:t>‘Walsh v Lonsdale’ (1882)</w:t>
      </w:r>
      <w:r>
        <w:rPr>
          <w:rFonts w:ascii="Arial" w:hAnsi="Arial" w:cs="Arial"/>
          <w:sz w:val="24"/>
          <w:szCs w:val="24"/>
        </w:rPr>
        <w:t xml:space="preserve"> 21 ChD 9, (Accessed: 9</w:t>
      </w:r>
      <w:r w:rsidRPr="00C456F4">
        <w:rPr>
          <w:rFonts w:ascii="Arial" w:hAnsi="Arial" w:cs="Arial"/>
          <w:sz w:val="24"/>
          <w:szCs w:val="24"/>
          <w:vertAlign w:val="superscript"/>
        </w:rPr>
        <w:t>th</w:t>
      </w:r>
      <w:r>
        <w:rPr>
          <w:rFonts w:ascii="Arial" w:hAnsi="Arial" w:cs="Arial"/>
          <w:sz w:val="24"/>
          <w:szCs w:val="24"/>
        </w:rPr>
        <w:t xml:space="preserve"> March 2024). </w:t>
      </w:r>
    </w:p>
    <w:p w14:paraId="415455C5" w14:textId="77777777" w:rsidR="00C456F4" w:rsidRDefault="00C456F4">
      <w:pPr>
        <w:rPr>
          <w:rFonts w:ascii="Arial" w:hAnsi="Arial" w:cs="Arial"/>
          <w:sz w:val="24"/>
          <w:szCs w:val="24"/>
        </w:rPr>
      </w:pPr>
    </w:p>
    <w:p w14:paraId="57B83D92" w14:textId="5B6B4008" w:rsidR="00C456F4" w:rsidRDefault="00C456F4">
      <w:pPr>
        <w:rPr>
          <w:rFonts w:ascii="Arial" w:hAnsi="Arial" w:cs="Arial"/>
          <w:color w:val="000000"/>
          <w:sz w:val="24"/>
          <w:szCs w:val="24"/>
        </w:rPr>
      </w:pPr>
      <w:r w:rsidRPr="00022F47">
        <w:rPr>
          <w:rFonts w:ascii="Arial" w:hAnsi="Arial" w:cs="Arial"/>
          <w:color w:val="000000"/>
          <w:sz w:val="24"/>
          <w:szCs w:val="24"/>
        </w:rPr>
        <w:t>‘</w:t>
      </w:r>
      <w:r w:rsidRPr="00022F47">
        <w:rPr>
          <w:rStyle w:val="Emphasis"/>
          <w:rFonts w:ascii="Arial" w:hAnsi="Arial" w:cs="Arial"/>
          <w:i w:val="0"/>
          <w:iCs w:val="0"/>
          <w:color w:val="000000"/>
          <w:sz w:val="24"/>
          <w:szCs w:val="24"/>
        </w:rPr>
        <w:t>Warner Bros. V Nelson’</w:t>
      </w:r>
      <w:r w:rsidRPr="00022F47">
        <w:rPr>
          <w:rStyle w:val="Emphasis"/>
          <w:rFonts w:ascii="Arial" w:hAnsi="Arial" w:cs="Arial"/>
          <w:color w:val="000000"/>
          <w:sz w:val="24"/>
          <w:szCs w:val="24"/>
        </w:rPr>
        <w:t> </w:t>
      </w:r>
      <w:r w:rsidRPr="00022F47">
        <w:rPr>
          <w:rFonts w:ascii="Arial" w:hAnsi="Arial" w:cs="Arial"/>
          <w:color w:val="000000"/>
          <w:sz w:val="24"/>
          <w:szCs w:val="24"/>
        </w:rPr>
        <w:t>(1937)</w:t>
      </w:r>
      <w:r>
        <w:rPr>
          <w:rFonts w:ascii="Arial" w:hAnsi="Arial" w:cs="Arial"/>
          <w:color w:val="000000"/>
          <w:sz w:val="24"/>
          <w:szCs w:val="24"/>
        </w:rPr>
        <w:t xml:space="preserve"> 1 KB 209, (Accessed: 26</w:t>
      </w:r>
      <w:r w:rsidRPr="00C456F4">
        <w:rPr>
          <w:rFonts w:ascii="Arial" w:hAnsi="Arial" w:cs="Arial"/>
          <w:color w:val="000000"/>
          <w:sz w:val="24"/>
          <w:szCs w:val="24"/>
          <w:vertAlign w:val="superscript"/>
        </w:rPr>
        <w:t>th</w:t>
      </w:r>
      <w:r>
        <w:rPr>
          <w:rFonts w:ascii="Arial" w:hAnsi="Arial" w:cs="Arial"/>
          <w:color w:val="000000"/>
          <w:sz w:val="24"/>
          <w:szCs w:val="24"/>
        </w:rPr>
        <w:t xml:space="preserve"> February 2024). </w:t>
      </w:r>
    </w:p>
    <w:p w14:paraId="3C84481A" w14:textId="77777777" w:rsidR="00C456F4" w:rsidRDefault="00C456F4">
      <w:pPr>
        <w:rPr>
          <w:rFonts w:ascii="Arial" w:hAnsi="Arial" w:cs="Arial"/>
          <w:color w:val="000000"/>
          <w:sz w:val="24"/>
          <w:szCs w:val="24"/>
        </w:rPr>
      </w:pPr>
    </w:p>
    <w:p w14:paraId="521EDE8F" w14:textId="39CED514" w:rsidR="00C456F4" w:rsidRDefault="00C456F4" w:rsidP="00B117E5">
      <w:pPr>
        <w:rPr>
          <w:rStyle w:val="Strong"/>
          <w:rFonts w:ascii="Arial" w:hAnsi="Arial" w:cs="Arial"/>
          <w:b w:val="0"/>
          <w:bCs w:val="0"/>
          <w:color w:val="000000" w:themeColor="text1"/>
          <w:sz w:val="24"/>
          <w:szCs w:val="24"/>
        </w:rPr>
      </w:pPr>
      <w:r w:rsidRPr="00C456F4">
        <w:rPr>
          <w:rStyle w:val="Strong"/>
          <w:rFonts w:ascii="Arial" w:hAnsi="Arial" w:cs="Arial"/>
          <w:b w:val="0"/>
          <w:bCs w:val="0"/>
          <w:color w:val="000000" w:themeColor="text1"/>
          <w:sz w:val="24"/>
          <w:szCs w:val="24"/>
        </w:rPr>
        <w:t>‘</w:t>
      </w:r>
      <w:r w:rsidRPr="00C456F4">
        <w:rPr>
          <w:rStyle w:val="Strong"/>
          <w:rFonts w:ascii="Arial" w:hAnsi="Arial" w:cs="Arial"/>
          <w:b w:val="0"/>
          <w:bCs w:val="0"/>
          <w:color w:val="000000" w:themeColor="text1"/>
          <w:sz w:val="24"/>
          <w:szCs w:val="24"/>
        </w:rPr>
        <w:t>Warner Brothers Pictures Inc. v Nelson</w:t>
      </w:r>
      <w:r w:rsidRPr="00C456F4">
        <w:rPr>
          <w:rStyle w:val="Strong"/>
          <w:rFonts w:ascii="Arial" w:hAnsi="Arial" w:cs="Arial"/>
          <w:b w:val="0"/>
          <w:bCs w:val="0"/>
          <w:color w:val="000000" w:themeColor="text1"/>
          <w:sz w:val="24"/>
          <w:szCs w:val="24"/>
        </w:rPr>
        <w:t>’</w:t>
      </w:r>
      <w:r w:rsidRPr="00C456F4">
        <w:rPr>
          <w:rStyle w:val="Strong"/>
          <w:rFonts w:ascii="Arial" w:hAnsi="Arial" w:cs="Arial"/>
          <w:b w:val="0"/>
          <w:bCs w:val="0"/>
          <w:color w:val="000000" w:themeColor="text1"/>
          <w:sz w:val="24"/>
          <w:szCs w:val="24"/>
        </w:rPr>
        <w:t xml:space="preserve"> </w:t>
      </w:r>
      <w:r w:rsidRPr="00C456F4">
        <w:rPr>
          <w:rStyle w:val="Strong"/>
          <w:rFonts w:ascii="Arial" w:hAnsi="Arial" w:cs="Arial"/>
          <w:b w:val="0"/>
          <w:bCs w:val="0"/>
          <w:color w:val="000000" w:themeColor="text1"/>
          <w:sz w:val="24"/>
          <w:szCs w:val="24"/>
        </w:rPr>
        <w:t>(</w:t>
      </w:r>
      <w:r w:rsidRPr="00C456F4">
        <w:rPr>
          <w:rStyle w:val="Strong"/>
          <w:rFonts w:ascii="Arial" w:hAnsi="Arial" w:cs="Arial"/>
          <w:b w:val="0"/>
          <w:bCs w:val="0"/>
          <w:color w:val="000000" w:themeColor="text1"/>
          <w:sz w:val="24"/>
          <w:szCs w:val="24"/>
        </w:rPr>
        <w:t>1937</w:t>
      </w:r>
      <w:r w:rsidRPr="00C456F4">
        <w:rPr>
          <w:rStyle w:val="Strong"/>
          <w:rFonts w:ascii="Arial" w:hAnsi="Arial" w:cs="Arial"/>
          <w:b w:val="0"/>
          <w:bCs w:val="0"/>
          <w:color w:val="000000" w:themeColor="text1"/>
          <w:sz w:val="24"/>
          <w:szCs w:val="24"/>
        </w:rPr>
        <w:t>)</w:t>
      </w:r>
      <w:r w:rsidRPr="00C456F4">
        <w:rPr>
          <w:rStyle w:val="Strong"/>
          <w:rFonts w:ascii="Arial" w:hAnsi="Arial" w:cs="Arial"/>
          <w:b w:val="0"/>
          <w:bCs w:val="0"/>
          <w:color w:val="000000" w:themeColor="text1"/>
          <w:sz w:val="24"/>
          <w:szCs w:val="24"/>
        </w:rPr>
        <w:t xml:space="preserve"> 1 KB 209</w:t>
      </w:r>
      <w:r>
        <w:rPr>
          <w:rStyle w:val="Strong"/>
          <w:rFonts w:ascii="Arial" w:hAnsi="Arial" w:cs="Arial"/>
          <w:b w:val="0"/>
          <w:bCs w:val="0"/>
          <w:color w:val="000000" w:themeColor="text1"/>
          <w:sz w:val="24"/>
          <w:szCs w:val="24"/>
        </w:rPr>
        <w:t>, (Accessed: 26</w:t>
      </w:r>
      <w:r w:rsidRPr="00C456F4">
        <w:rPr>
          <w:rStyle w:val="Strong"/>
          <w:rFonts w:ascii="Arial" w:hAnsi="Arial" w:cs="Arial"/>
          <w:b w:val="0"/>
          <w:bCs w:val="0"/>
          <w:color w:val="000000" w:themeColor="text1"/>
          <w:sz w:val="24"/>
          <w:szCs w:val="24"/>
          <w:vertAlign w:val="superscript"/>
        </w:rPr>
        <w:t>th</w:t>
      </w:r>
      <w:r>
        <w:rPr>
          <w:rStyle w:val="Strong"/>
          <w:rFonts w:ascii="Arial" w:hAnsi="Arial" w:cs="Arial"/>
          <w:b w:val="0"/>
          <w:bCs w:val="0"/>
          <w:color w:val="000000" w:themeColor="text1"/>
          <w:sz w:val="24"/>
          <w:szCs w:val="24"/>
        </w:rPr>
        <w:t xml:space="preserve"> February 2024). </w:t>
      </w:r>
    </w:p>
    <w:p w14:paraId="4ED12C9E" w14:textId="77777777" w:rsidR="00C456F4" w:rsidRPr="00C456F4" w:rsidRDefault="00C456F4" w:rsidP="00B117E5">
      <w:pPr>
        <w:rPr>
          <w:rStyle w:val="Strong"/>
          <w:rFonts w:ascii="Arial" w:hAnsi="Arial" w:cs="Arial"/>
          <w:b w:val="0"/>
          <w:bCs w:val="0"/>
          <w:color w:val="000000" w:themeColor="text1"/>
          <w:sz w:val="24"/>
          <w:szCs w:val="24"/>
        </w:rPr>
      </w:pPr>
    </w:p>
    <w:p w14:paraId="054CE999" w14:textId="77777777" w:rsidR="00C456F4" w:rsidRDefault="00C456F4">
      <w:pPr>
        <w:rPr>
          <w:rFonts w:ascii="Arial" w:hAnsi="Arial" w:cs="Arial"/>
          <w:color w:val="000000" w:themeColor="text1"/>
          <w:sz w:val="24"/>
          <w:szCs w:val="24"/>
        </w:rPr>
      </w:pPr>
      <w:r>
        <w:rPr>
          <w:rFonts w:ascii="Arial" w:hAnsi="Arial" w:cs="Arial"/>
          <w:color w:val="000000" w:themeColor="text1"/>
          <w:sz w:val="24"/>
          <w:szCs w:val="24"/>
        </w:rPr>
        <w:t>‘</w:t>
      </w:r>
      <w:r w:rsidRPr="00C31F04">
        <w:rPr>
          <w:rFonts w:ascii="Arial" w:hAnsi="Arial" w:cs="Arial"/>
          <w:color w:val="000000" w:themeColor="text1"/>
          <w:sz w:val="24"/>
          <w:szCs w:val="24"/>
        </w:rPr>
        <w:t>Yaxley v Gotts</w:t>
      </w:r>
      <w:r>
        <w:rPr>
          <w:rFonts w:ascii="Arial" w:hAnsi="Arial" w:cs="Arial"/>
          <w:color w:val="000000" w:themeColor="text1"/>
          <w:sz w:val="24"/>
          <w:szCs w:val="24"/>
        </w:rPr>
        <w:t>’</w:t>
      </w:r>
      <w:r w:rsidRPr="00C31F04">
        <w:rPr>
          <w:rFonts w:ascii="Arial" w:hAnsi="Arial" w:cs="Arial"/>
          <w:color w:val="000000" w:themeColor="text1"/>
          <w:sz w:val="24"/>
          <w:szCs w:val="24"/>
        </w:rPr>
        <w:t xml:space="preserve"> (2000)</w:t>
      </w:r>
      <w:r>
        <w:rPr>
          <w:rFonts w:ascii="Arial" w:hAnsi="Arial" w:cs="Arial"/>
          <w:color w:val="000000" w:themeColor="text1"/>
          <w:sz w:val="24"/>
          <w:szCs w:val="24"/>
        </w:rPr>
        <w:t xml:space="preserve"> Ch 162, (Accessed: 13</w:t>
      </w:r>
      <w:r w:rsidRPr="00C456F4">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March 2024). </w:t>
      </w:r>
    </w:p>
    <w:p w14:paraId="4C3037C6" w14:textId="77777777" w:rsidR="00561AFE" w:rsidRDefault="00561AFE">
      <w:pPr>
        <w:rPr>
          <w:rFonts w:ascii="Arial" w:hAnsi="Arial" w:cs="Arial"/>
          <w:color w:val="000000"/>
        </w:rPr>
      </w:pPr>
    </w:p>
    <w:p w14:paraId="7CE17BC4" w14:textId="43CB484E" w:rsidR="00561AFE" w:rsidRPr="002D0491" w:rsidRDefault="00561AFE">
      <w:pPr>
        <w:rPr>
          <w:sz w:val="48"/>
          <w:szCs w:val="48"/>
        </w:rPr>
      </w:pPr>
    </w:p>
    <w:sectPr w:rsidR="00561AFE" w:rsidRPr="002D0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4B1C"/>
    <w:multiLevelType w:val="hybridMultilevel"/>
    <w:tmpl w:val="63A63FD4"/>
    <w:lvl w:ilvl="0" w:tplc="26168D16">
      <w:start w:val="1"/>
      <w:numFmt w:val="bullet"/>
      <w:lvlText w:val="•"/>
      <w:lvlJc w:val="left"/>
      <w:pPr>
        <w:tabs>
          <w:tab w:val="num" w:pos="720"/>
        </w:tabs>
        <w:ind w:left="720" w:hanging="360"/>
      </w:pPr>
      <w:rPr>
        <w:rFonts w:ascii="Arial" w:hAnsi="Arial" w:hint="default"/>
      </w:rPr>
    </w:lvl>
    <w:lvl w:ilvl="1" w:tplc="FDFA0064" w:tentative="1">
      <w:start w:val="1"/>
      <w:numFmt w:val="bullet"/>
      <w:lvlText w:val="•"/>
      <w:lvlJc w:val="left"/>
      <w:pPr>
        <w:tabs>
          <w:tab w:val="num" w:pos="1440"/>
        </w:tabs>
        <w:ind w:left="1440" w:hanging="360"/>
      </w:pPr>
      <w:rPr>
        <w:rFonts w:ascii="Arial" w:hAnsi="Arial" w:hint="default"/>
      </w:rPr>
    </w:lvl>
    <w:lvl w:ilvl="2" w:tplc="437201B6" w:tentative="1">
      <w:start w:val="1"/>
      <w:numFmt w:val="bullet"/>
      <w:lvlText w:val="•"/>
      <w:lvlJc w:val="left"/>
      <w:pPr>
        <w:tabs>
          <w:tab w:val="num" w:pos="2160"/>
        </w:tabs>
        <w:ind w:left="2160" w:hanging="360"/>
      </w:pPr>
      <w:rPr>
        <w:rFonts w:ascii="Arial" w:hAnsi="Arial" w:hint="default"/>
      </w:rPr>
    </w:lvl>
    <w:lvl w:ilvl="3" w:tplc="ECAAE6E0" w:tentative="1">
      <w:start w:val="1"/>
      <w:numFmt w:val="bullet"/>
      <w:lvlText w:val="•"/>
      <w:lvlJc w:val="left"/>
      <w:pPr>
        <w:tabs>
          <w:tab w:val="num" w:pos="2880"/>
        </w:tabs>
        <w:ind w:left="2880" w:hanging="360"/>
      </w:pPr>
      <w:rPr>
        <w:rFonts w:ascii="Arial" w:hAnsi="Arial" w:hint="default"/>
      </w:rPr>
    </w:lvl>
    <w:lvl w:ilvl="4" w:tplc="CFB0502A" w:tentative="1">
      <w:start w:val="1"/>
      <w:numFmt w:val="bullet"/>
      <w:lvlText w:val="•"/>
      <w:lvlJc w:val="left"/>
      <w:pPr>
        <w:tabs>
          <w:tab w:val="num" w:pos="3600"/>
        </w:tabs>
        <w:ind w:left="3600" w:hanging="360"/>
      </w:pPr>
      <w:rPr>
        <w:rFonts w:ascii="Arial" w:hAnsi="Arial" w:hint="default"/>
      </w:rPr>
    </w:lvl>
    <w:lvl w:ilvl="5" w:tplc="E41A70EC" w:tentative="1">
      <w:start w:val="1"/>
      <w:numFmt w:val="bullet"/>
      <w:lvlText w:val="•"/>
      <w:lvlJc w:val="left"/>
      <w:pPr>
        <w:tabs>
          <w:tab w:val="num" w:pos="4320"/>
        </w:tabs>
        <w:ind w:left="4320" w:hanging="360"/>
      </w:pPr>
      <w:rPr>
        <w:rFonts w:ascii="Arial" w:hAnsi="Arial" w:hint="default"/>
      </w:rPr>
    </w:lvl>
    <w:lvl w:ilvl="6" w:tplc="953C923C" w:tentative="1">
      <w:start w:val="1"/>
      <w:numFmt w:val="bullet"/>
      <w:lvlText w:val="•"/>
      <w:lvlJc w:val="left"/>
      <w:pPr>
        <w:tabs>
          <w:tab w:val="num" w:pos="5040"/>
        </w:tabs>
        <w:ind w:left="5040" w:hanging="360"/>
      </w:pPr>
      <w:rPr>
        <w:rFonts w:ascii="Arial" w:hAnsi="Arial" w:hint="default"/>
      </w:rPr>
    </w:lvl>
    <w:lvl w:ilvl="7" w:tplc="915A8B9E" w:tentative="1">
      <w:start w:val="1"/>
      <w:numFmt w:val="bullet"/>
      <w:lvlText w:val="•"/>
      <w:lvlJc w:val="left"/>
      <w:pPr>
        <w:tabs>
          <w:tab w:val="num" w:pos="5760"/>
        </w:tabs>
        <w:ind w:left="5760" w:hanging="360"/>
      </w:pPr>
      <w:rPr>
        <w:rFonts w:ascii="Arial" w:hAnsi="Arial" w:hint="default"/>
      </w:rPr>
    </w:lvl>
    <w:lvl w:ilvl="8" w:tplc="C5D8A3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7E6A02"/>
    <w:multiLevelType w:val="hybridMultilevel"/>
    <w:tmpl w:val="265271B4"/>
    <w:lvl w:ilvl="0" w:tplc="5530A972">
      <w:start w:val="168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D343F"/>
    <w:multiLevelType w:val="hybridMultilevel"/>
    <w:tmpl w:val="0EB8F986"/>
    <w:lvl w:ilvl="0" w:tplc="FA0AFF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2134C"/>
    <w:multiLevelType w:val="hybridMultilevel"/>
    <w:tmpl w:val="E76CD148"/>
    <w:lvl w:ilvl="0" w:tplc="34C03C12">
      <w:start w:val="1"/>
      <w:numFmt w:val="bullet"/>
      <w:lvlText w:val="•"/>
      <w:lvlJc w:val="left"/>
      <w:pPr>
        <w:tabs>
          <w:tab w:val="num" w:pos="720"/>
        </w:tabs>
        <w:ind w:left="720" w:hanging="360"/>
      </w:pPr>
      <w:rPr>
        <w:rFonts w:ascii="Arial" w:hAnsi="Arial" w:hint="default"/>
      </w:rPr>
    </w:lvl>
    <w:lvl w:ilvl="1" w:tplc="11183612" w:tentative="1">
      <w:start w:val="1"/>
      <w:numFmt w:val="bullet"/>
      <w:lvlText w:val="•"/>
      <w:lvlJc w:val="left"/>
      <w:pPr>
        <w:tabs>
          <w:tab w:val="num" w:pos="1440"/>
        </w:tabs>
        <w:ind w:left="1440" w:hanging="360"/>
      </w:pPr>
      <w:rPr>
        <w:rFonts w:ascii="Arial" w:hAnsi="Arial" w:hint="default"/>
      </w:rPr>
    </w:lvl>
    <w:lvl w:ilvl="2" w:tplc="C9AC84AC" w:tentative="1">
      <w:start w:val="1"/>
      <w:numFmt w:val="bullet"/>
      <w:lvlText w:val="•"/>
      <w:lvlJc w:val="left"/>
      <w:pPr>
        <w:tabs>
          <w:tab w:val="num" w:pos="2160"/>
        </w:tabs>
        <w:ind w:left="2160" w:hanging="360"/>
      </w:pPr>
      <w:rPr>
        <w:rFonts w:ascii="Arial" w:hAnsi="Arial" w:hint="default"/>
      </w:rPr>
    </w:lvl>
    <w:lvl w:ilvl="3" w:tplc="5A003FA4" w:tentative="1">
      <w:start w:val="1"/>
      <w:numFmt w:val="bullet"/>
      <w:lvlText w:val="•"/>
      <w:lvlJc w:val="left"/>
      <w:pPr>
        <w:tabs>
          <w:tab w:val="num" w:pos="2880"/>
        </w:tabs>
        <w:ind w:left="2880" w:hanging="360"/>
      </w:pPr>
      <w:rPr>
        <w:rFonts w:ascii="Arial" w:hAnsi="Arial" w:hint="default"/>
      </w:rPr>
    </w:lvl>
    <w:lvl w:ilvl="4" w:tplc="C2D4E546" w:tentative="1">
      <w:start w:val="1"/>
      <w:numFmt w:val="bullet"/>
      <w:lvlText w:val="•"/>
      <w:lvlJc w:val="left"/>
      <w:pPr>
        <w:tabs>
          <w:tab w:val="num" w:pos="3600"/>
        </w:tabs>
        <w:ind w:left="3600" w:hanging="360"/>
      </w:pPr>
      <w:rPr>
        <w:rFonts w:ascii="Arial" w:hAnsi="Arial" w:hint="default"/>
      </w:rPr>
    </w:lvl>
    <w:lvl w:ilvl="5" w:tplc="3C38BCDC" w:tentative="1">
      <w:start w:val="1"/>
      <w:numFmt w:val="bullet"/>
      <w:lvlText w:val="•"/>
      <w:lvlJc w:val="left"/>
      <w:pPr>
        <w:tabs>
          <w:tab w:val="num" w:pos="4320"/>
        </w:tabs>
        <w:ind w:left="4320" w:hanging="360"/>
      </w:pPr>
      <w:rPr>
        <w:rFonts w:ascii="Arial" w:hAnsi="Arial" w:hint="default"/>
      </w:rPr>
    </w:lvl>
    <w:lvl w:ilvl="6" w:tplc="CE3C5568" w:tentative="1">
      <w:start w:val="1"/>
      <w:numFmt w:val="bullet"/>
      <w:lvlText w:val="•"/>
      <w:lvlJc w:val="left"/>
      <w:pPr>
        <w:tabs>
          <w:tab w:val="num" w:pos="5040"/>
        </w:tabs>
        <w:ind w:left="5040" w:hanging="360"/>
      </w:pPr>
      <w:rPr>
        <w:rFonts w:ascii="Arial" w:hAnsi="Arial" w:hint="default"/>
      </w:rPr>
    </w:lvl>
    <w:lvl w:ilvl="7" w:tplc="D5FA697E" w:tentative="1">
      <w:start w:val="1"/>
      <w:numFmt w:val="bullet"/>
      <w:lvlText w:val="•"/>
      <w:lvlJc w:val="left"/>
      <w:pPr>
        <w:tabs>
          <w:tab w:val="num" w:pos="5760"/>
        </w:tabs>
        <w:ind w:left="5760" w:hanging="360"/>
      </w:pPr>
      <w:rPr>
        <w:rFonts w:ascii="Arial" w:hAnsi="Arial" w:hint="default"/>
      </w:rPr>
    </w:lvl>
    <w:lvl w:ilvl="8" w:tplc="7200EEE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B34E7D"/>
    <w:multiLevelType w:val="hybridMultilevel"/>
    <w:tmpl w:val="E4949ACA"/>
    <w:lvl w:ilvl="0" w:tplc="295E6D2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327EC7"/>
    <w:multiLevelType w:val="hybridMultilevel"/>
    <w:tmpl w:val="F06ABCA2"/>
    <w:lvl w:ilvl="0" w:tplc="96CA4E16">
      <w:start w:val="3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35A6A"/>
    <w:multiLevelType w:val="hybridMultilevel"/>
    <w:tmpl w:val="B20A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527482">
    <w:abstractNumId w:val="2"/>
  </w:num>
  <w:num w:numId="2" w16cid:durableId="603417145">
    <w:abstractNumId w:val="3"/>
  </w:num>
  <w:num w:numId="3" w16cid:durableId="793132156">
    <w:abstractNumId w:val="1"/>
  </w:num>
  <w:num w:numId="4" w16cid:durableId="1187207167">
    <w:abstractNumId w:val="4"/>
  </w:num>
  <w:num w:numId="5" w16cid:durableId="1606381947">
    <w:abstractNumId w:val="5"/>
  </w:num>
  <w:num w:numId="6" w16cid:durableId="235483338">
    <w:abstractNumId w:val="0"/>
  </w:num>
  <w:num w:numId="7" w16cid:durableId="9115433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7E5"/>
    <w:rsid w:val="00022F47"/>
    <w:rsid w:val="00026BA5"/>
    <w:rsid w:val="00031EA7"/>
    <w:rsid w:val="00076369"/>
    <w:rsid w:val="0009401F"/>
    <w:rsid w:val="000D05F1"/>
    <w:rsid w:val="000F6CD2"/>
    <w:rsid w:val="00120841"/>
    <w:rsid w:val="001425DB"/>
    <w:rsid w:val="0014583B"/>
    <w:rsid w:val="00186956"/>
    <w:rsid w:val="001F0D38"/>
    <w:rsid w:val="001F2552"/>
    <w:rsid w:val="00224DA6"/>
    <w:rsid w:val="002546CE"/>
    <w:rsid w:val="00294B8B"/>
    <w:rsid w:val="002D0491"/>
    <w:rsid w:val="00316191"/>
    <w:rsid w:val="0032223D"/>
    <w:rsid w:val="00322C4D"/>
    <w:rsid w:val="00350AEA"/>
    <w:rsid w:val="003624B5"/>
    <w:rsid w:val="00380E91"/>
    <w:rsid w:val="003851A4"/>
    <w:rsid w:val="003F1F48"/>
    <w:rsid w:val="00433252"/>
    <w:rsid w:val="004368D1"/>
    <w:rsid w:val="004612AC"/>
    <w:rsid w:val="004950CD"/>
    <w:rsid w:val="004B176F"/>
    <w:rsid w:val="004D2228"/>
    <w:rsid w:val="004E63F4"/>
    <w:rsid w:val="00500000"/>
    <w:rsid w:val="00534AD1"/>
    <w:rsid w:val="0053655C"/>
    <w:rsid w:val="00546102"/>
    <w:rsid w:val="00561AFE"/>
    <w:rsid w:val="00570BF5"/>
    <w:rsid w:val="0058010B"/>
    <w:rsid w:val="00635579"/>
    <w:rsid w:val="006B41F3"/>
    <w:rsid w:val="006D55BC"/>
    <w:rsid w:val="00727188"/>
    <w:rsid w:val="007535E6"/>
    <w:rsid w:val="00757531"/>
    <w:rsid w:val="007606F8"/>
    <w:rsid w:val="00792BF1"/>
    <w:rsid w:val="007C49A7"/>
    <w:rsid w:val="008158FF"/>
    <w:rsid w:val="008238BC"/>
    <w:rsid w:val="00865770"/>
    <w:rsid w:val="0089314D"/>
    <w:rsid w:val="008A4AD7"/>
    <w:rsid w:val="008D35BB"/>
    <w:rsid w:val="009046EA"/>
    <w:rsid w:val="00931DCF"/>
    <w:rsid w:val="00990EC5"/>
    <w:rsid w:val="00992CF1"/>
    <w:rsid w:val="009A620B"/>
    <w:rsid w:val="009F7486"/>
    <w:rsid w:val="00A54A2A"/>
    <w:rsid w:val="00A55851"/>
    <w:rsid w:val="00A57850"/>
    <w:rsid w:val="00A7054E"/>
    <w:rsid w:val="00A70641"/>
    <w:rsid w:val="00A84EE5"/>
    <w:rsid w:val="00A8625A"/>
    <w:rsid w:val="00AA2879"/>
    <w:rsid w:val="00AB5043"/>
    <w:rsid w:val="00AF0038"/>
    <w:rsid w:val="00B117E5"/>
    <w:rsid w:val="00B71629"/>
    <w:rsid w:val="00B92ADF"/>
    <w:rsid w:val="00BA22F1"/>
    <w:rsid w:val="00BA5B28"/>
    <w:rsid w:val="00BC58CB"/>
    <w:rsid w:val="00C31F04"/>
    <w:rsid w:val="00C3561B"/>
    <w:rsid w:val="00C456F4"/>
    <w:rsid w:val="00C624AB"/>
    <w:rsid w:val="00C64471"/>
    <w:rsid w:val="00CB6D28"/>
    <w:rsid w:val="00CC0FAC"/>
    <w:rsid w:val="00CC4B95"/>
    <w:rsid w:val="00D01EB3"/>
    <w:rsid w:val="00D04087"/>
    <w:rsid w:val="00D15F5F"/>
    <w:rsid w:val="00D20786"/>
    <w:rsid w:val="00D22026"/>
    <w:rsid w:val="00D4327F"/>
    <w:rsid w:val="00D760C5"/>
    <w:rsid w:val="00DF1A31"/>
    <w:rsid w:val="00E076DD"/>
    <w:rsid w:val="00E32E39"/>
    <w:rsid w:val="00E7359E"/>
    <w:rsid w:val="00EA6810"/>
    <w:rsid w:val="00F55B78"/>
    <w:rsid w:val="00F67C08"/>
    <w:rsid w:val="00F94241"/>
    <w:rsid w:val="00FC5395"/>
    <w:rsid w:val="00FC723C"/>
    <w:rsid w:val="00FD3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8C762"/>
  <w15:chartTrackingRefBased/>
  <w15:docId w15:val="{12F18B0A-9E97-444E-865E-C27241CA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7E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B117E5"/>
    <w:pPr>
      <w:spacing w:before="100" w:beforeAutospacing="1" w:after="100" w:afterAutospacing="1"/>
    </w:pPr>
    <w:rPr>
      <w:sz w:val="24"/>
      <w:szCs w:val="24"/>
    </w:rPr>
  </w:style>
  <w:style w:type="character" w:customStyle="1" w:styleId="apple-converted-space">
    <w:name w:val="apple-converted-space"/>
    <w:basedOn w:val="DefaultParagraphFont"/>
    <w:rsid w:val="00B117E5"/>
  </w:style>
  <w:style w:type="character" w:customStyle="1" w:styleId="issue-underline">
    <w:name w:val="issue-underline"/>
    <w:basedOn w:val="DefaultParagraphFont"/>
    <w:rsid w:val="00B117E5"/>
  </w:style>
  <w:style w:type="character" w:styleId="Strong">
    <w:name w:val="Strong"/>
    <w:basedOn w:val="DefaultParagraphFont"/>
    <w:uiPriority w:val="22"/>
    <w:qFormat/>
    <w:rsid w:val="00B117E5"/>
    <w:rPr>
      <w:b/>
      <w:bCs/>
    </w:rPr>
  </w:style>
  <w:style w:type="character" w:styleId="Hyperlink">
    <w:name w:val="Hyperlink"/>
    <w:basedOn w:val="DefaultParagraphFont"/>
    <w:uiPriority w:val="99"/>
    <w:unhideWhenUsed/>
    <w:rsid w:val="00B117E5"/>
    <w:rPr>
      <w:color w:val="0563C1" w:themeColor="hyperlink"/>
      <w:u w:val="single"/>
    </w:rPr>
  </w:style>
  <w:style w:type="paragraph" w:styleId="NormalWeb">
    <w:name w:val="Normal (Web)"/>
    <w:basedOn w:val="Normal"/>
    <w:uiPriority w:val="99"/>
    <w:semiHidden/>
    <w:unhideWhenUsed/>
    <w:rsid w:val="00B117E5"/>
    <w:pPr>
      <w:spacing w:before="100" w:beforeAutospacing="1" w:after="100" w:afterAutospacing="1"/>
    </w:pPr>
    <w:rPr>
      <w:sz w:val="24"/>
      <w:szCs w:val="24"/>
    </w:rPr>
  </w:style>
  <w:style w:type="paragraph" w:styleId="ListParagraph">
    <w:name w:val="List Paragraph"/>
    <w:basedOn w:val="Normal"/>
    <w:uiPriority w:val="34"/>
    <w:qFormat/>
    <w:rsid w:val="001F0D38"/>
    <w:pPr>
      <w:ind w:left="720"/>
      <w:contextualSpacing/>
    </w:pPr>
  </w:style>
  <w:style w:type="character" w:styleId="Emphasis">
    <w:name w:val="Emphasis"/>
    <w:basedOn w:val="DefaultParagraphFont"/>
    <w:uiPriority w:val="20"/>
    <w:qFormat/>
    <w:rsid w:val="009A620B"/>
    <w:rPr>
      <w:i/>
      <w:iCs/>
    </w:rPr>
  </w:style>
  <w:style w:type="character" w:styleId="UnresolvedMention">
    <w:name w:val="Unresolved Mention"/>
    <w:basedOn w:val="DefaultParagraphFont"/>
    <w:uiPriority w:val="99"/>
    <w:semiHidden/>
    <w:unhideWhenUsed/>
    <w:rsid w:val="00F94241"/>
    <w:rPr>
      <w:color w:val="605E5C"/>
      <w:shd w:val="clear" w:color="auto" w:fill="E1DFDD"/>
    </w:rPr>
  </w:style>
  <w:style w:type="paragraph" w:customStyle="1" w:styleId="commentcontentpara">
    <w:name w:val="commentcontentpara"/>
    <w:basedOn w:val="Normal"/>
    <w:rsid w:val="00A7054E"/>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995519">
      <w:bodyDiv w:val="1"/>
      <w:marLeft w:val="0"/>
      <w:marRight w:val="0"/>
      <w:marTop w:val="0"/>
      <w:marBottom w:val="0"/>
      <w:divBdr>
        <w:top w:val="none" w:sz="0" w:space="0" w:color="auto"/>
        <w:left w:val="none" w:sz="0" w:space="0" w:color="auto"/>
        <w:bottom w:val="none" w:sz="0" w:space="0" w:color="auto"/>
        <w:right w:val="none" w:sz="0" w:space="0" w:color="auto"/>
      </w:divBdr>
      <w:divsChild>
        <w:div w:id="2109159625">
          <w:marLeft w:val="0"/>
          <w:marRight w:val="0"/>
          <w:marTop w:val="0"/>
          <w:marBottom w:val="0"/>
          <w:divBdr>
            <w:top w:val="none" w:sz="0" w:space="0" w:color="auto"/>
            <w:left w:val="none" w:sz="0" w:space="0" w:color="auto"/>
            <w:bottom w:val="none" w:sz="0" w:space="0" w:color="auto"/>
            <w:right w:val="none" w:sz="0" w:space="0" w:color="auto"/>
          </w:divBdr>
        </w:div>
      </w:divsChild>
    </w:div>
    <w:div w:id="364525083">
      <w:bodyDiv w:val="1"/>
      <w:marLeft w:val="0"/>
      <w:marRight w:val="0"/>
      <w:marTop w:val="0"/>
      <w:marBottom w:val="0"/>
      <w:divBdr>
        <w:top w:val="none" w:sz="0" w:space="0" w:color="auto"/>
        <w:left w:val="none" w:sz="0" w:space="0" w:color="auto"/>
        <w:bottom w:val="none" w:sz="0" w:space="0" w:color="auto"/>
        <w:right w:val="none" w:sz="0" w:space="0" w:color="auto"/>
      </w:divBdr>
      <w:divsChild>
        <w:div w:id="1670600201">
          <w:marLeft w:val="360"/>
          <w:marRight w:val="0"/>
          <w:marTop w:val="200"/>
          <w:marBottom w:val="0"/>
          <w:divBdr>
            <w:top w:val="none" w:sz="0" w:space="0" w:color="auto"/>
            <w:left w:val="none" w:sz="0" w:space="0" w:color="auto"/>
            <w:bottom w:val="none" w:sz="0" w:space="0" w:color="auto"/>
            <w:right w:val="none" w:sz="0" w:space="0" w:color="auto"/>
          </w:divBdr>
        </w:div>
        <w:div w:id="1274675330">
          <w:marLeft w:val="360"/>
          <w:marRight w:val="0"/>
          <w:marTop w:val="200"/>
          <w:marBottom w:val="0"/>
          <w:divBdr>
            <w:top w:val="none" w:sz="0" w:space="0" w:color="auto"/>
            <w:left w:val="none" w:sz="0" w:space="0" w:color="auto"/>
            <w:bottom w:val="none" w:sz="0" w:space="0" w:color="auto"/>
            <w:right w:val="none" w:sz="0" w:space="0" w:color="auto"/>
          </w:divBdr>
        </w:div>
        <w:div w:id="764612923">
          <w:marLeft w:val="360"/>
          <w:marRight w:val="0"/>
          <w:marTop w:val="200"/>
          <w:marBottom w:val="0"/>
          <w:divBdr>
            <w:top w:val="none" w:sz="0" w:space="0" w:color="auto"/>
            <w:left w:val="none" w:sz="0" w:space="0" w:color="auto"/>
            <w:bottom w:val="none" w:sz="0" w:space="0" w:color="auto"/>
            <w:right w:val="none" w:sz="0" w:space="0" w:color="auto"/>
          </w:divBdr>
        </w:div>
      </w:divsChild>
    </w:div>
    <w:div w:id="539707035">
      <w:bodyDiv w:val="1"/>
      <w:marLeft w:val="0"/>
      <w:marRight w:val="0"/>
      <w:marTop w:val="0"/>
      <w:marBottom w:val="0"/>
      <w:divBdr>
        <w:top w:val="none" w:sz="0" w:space="0" w:color="auto"/>
        <w:left w:val="none" w:sz="0" w:space="0" w:color="auto"/>
        <w:bottom w:val="none" w:sz="0" w:space="0" w:color="auto"/>
        <w:right w:val="none" w:sz="0" w:space="0" w:color="auto"/>
      </w:divBdr>
    </w:div>
    <w:div w:id="643195440">
      <w:bodyDiv w:val="1"/>
      <w:marLeft w:val="0"/>
      <w:marRight w:val="0"/>
      <w:marTop w:val="0"/>
      <w:marBottom w:val="0"/>
      <w:divBdr>
        <w:top w:val="none" w:sz="0" w:space="0" w:color="auto"/>
        <w:left w:val="none" w:sz="0" w:space="0" w:color="auto"/>
        <w:bottom w:val="none" w:sz="0" w:space="0" w:color="auto"/>
        <w:right w:val="none" w:sz="0" w:space="0" w:color="auto"/>
      </w:divBdr>
      <w:divsChild>
        <w:div w:id="652836267">
          <w:marLeft w:val="0"/>
          <w:marRight w:val="0"/>
          <w:marTop w:val="0"/>
          <w:marBottom w:val="0"/>
          <w:divBdr>
            <w:top w:val="none" w:sz="0" w:space="0" w:color="auto"/>
            <w:left w:val="none" w:sz="0" w:space="0" w:color="auto"/>
            <w:bottom w:val="none" w:sz="0" w:space="0" w:color="auto"/>
            <w:right w:val="none" w:sz="0" w:space="0" w:color="auto"/>
          </w:divBdr>
        </w:div>
      </w:divsChild>
    </w:div>
    <w:div w:id="681009478">
      <w:bodyDiv w:val="1"/>
      <w:marLeft w:val="0"/>
      <w:marRight w:val="0"/>
      <w:marTop w:val="0"/>
      <w:marBottom w:val="0"/>
      <w:divBdr>
        <w:top w:val="none" w:sz="0" w:space="0" w:color="auto"/>
        <w:left w:val="none" w:sz="0" w:space="0" w:color="auto"/>
        <w:bottom w:val="none" w:sz="0" w:space="0" w:color="auto"/>
        <w:right w:val="none" w:sz="0" w:space="0" w:color="auto"/>
      </w:divBdr>
      <w:divsChild>
        <w:div w:id="1859347461">
          <w:marLeft w:val="0"/>
          <w:marRight w:val="0"/>
          <w:marTop w:val="0"/>
          <w:marBottom w:val="0"/>
          <w:divBdr>
            <w:top w:val="none" w:sz="0" w:space="0" w:color="auto"/>
            <w:left w:val="none" w:sz="0" w:space="0" w:color="auto"/>
            <w:bottom w:val="none" w:sz="0" w:space="0" w:color="auto"/>
            <w:right w:val="none" w:sz="0" w:space="0" w:color="auto"/>
          </w:divBdr>
        </w:div>
      </w:divsChild>
    </w:div>
    <w:div w:id="1490561717">
      <w:bodyDiv w:val="1"/>
      <w:marLeft w:val="0"/>
      <w:marRight w:val="0"/>
      <w:marTop w:val="0"/>
      <w:marBottom w:val="0"/>
      <w:divBdr>
        <w:top w:val="none" w:sz="0" w:space="0" w:color="auto"/>
        <w:left w:val="none" w:sz="0" w:space="0" w:color="auto"/>
        <w:bottom w:val="none" w:sz="0" w:space="0" w:color="auto"/>
        <w:right w:val="none" w:sz="0" w:space="0" w:color="auto"/>
      </w:divBdr>
    </w:div>
    <w:div w:id="1527063488">
      <w:bodyDiv w:val="1"/>
      <w:marLeft w:val="0"/>
      <w:marRight w:val="0"/>
      <w:marTop w:val="0"/>
      <w:marBottom w:val="0"/>
      <w:divBdr>
        <w:top w:val="none" w:sz="0" w:space="0" w:color="auto"/>
        <w:left w:val="none" w:sz="0" w:space="0" w:color="auto"/>
        <w:bottom w:val="none" w:sz="0" w:space="0" w:color="auto"/>
        <w:right w:val="none" w:sz="0" w:space="0" w:color="auto"/>
      </w:divBdr>
      <w:divsChild>
        <w:div w:id="1281642237">
          <w:marLeft w:val="360"/>
          <w:marRight w:val="0"/>
          <w:marTop w:val="200"/>
          <w:marBottom w:val="0"/>
          <w:divBdr>
            <w:top w:val="none" w:sz="0" w:space="0" w:color="auto"/>
            <w:left w:val="none" w:sz="0" w:space="0" w:color="auto"/>
            <w:bottom w:val="none" w:sz="0" w:space="0" w:color="auto"/>
            <w:right w:val="none" w:sz="0" w:space="0" w:color="auto"/>
          </w:divBdr>
        </w:div>
        <w:div w:id="1690520099">
          <w:marLeft w:val="360"/>
          <w:marRight w:val="0"/>
          <w:marTop w:val="200"/>
          <w:marBottom w:val="0"/>
          <w:divBdr>
            <w:top w:val="none" w:sz="0" w:space="0" w:color="auto"/>
            <w:left w:val="none" w:sz="0" w:space="0" w:color="auto"/>
            <w:bottom w:val="none" w:sz="0" w:space="0" w:color="auto"/>
            <w:right w:val="none" w:sz="0" w:space="0" w:color="auto"/>
          </w:divBdr>
        </w:div>
        <w:div w:id="135033427">
          <w:marLeft w:val="360"/>
          <w:marRight w:val="0"/>
          <w:marTop w:val="200"/>
          <w:marBottom w:val="0"/>
          <w:divBdr>
            <w:top w:val="none" w:sz="0" w:space="0" w:color="auto"/>
            <w:left w:val="none" w:sz="0" w:space="0" w:color="auto"/>
            <w:bottom w:val="none" w:sz="0" w:space="0" w:color="auto"/>
            <w:right w:val="none" w:sz="0" w:space="0" w:color="auto"/>
          </w:divBdr>
        </w:div>
        <w:div w:id="1771701507">
          <w:marLeft w:val="360"/>
          <w:marRight w:val="0"/>
          <w:marTop w:val="200"/>
          <w:marBottom w:val="0"/>
          <w:divBdr>
            <w:top w:val="none" w:sz="0" w:space="0" w:color="auto"/>
            <w:left w:val="none" w:sz="0" w:space="0" w:color="auto"/>
            <w:bottom w:val="none" w:sz="0" w:space="0" w:color="auto"/>
            <w:right w:val="none" w:sz="0" w:space="0" w:color="auto"/>
          </w:divBdr>
        </w:div>
      </w:divsChild>
    </w:div>
    <w:div w:id="1699039463">
      <w:bodyDiv w:val="1"/>
      <w:marLeft w:val="0"/>
      <w:marRight w:val="0"/>
      <w:marTop w:val="0"/>
      <w:marBottom w:val="0"/>
      <w:divBdr>
        <w:top w:val="none" w:sz="0" w:space="0" w:color="auto"/>
        <w:left w:val="none" w:sz="0" w:space="0" w:color="auto"/>
        <w:bottom w:val="none" w:sz="0" w:space="0" w:color="auto"/>
        <w:right w:val="none" w:sz="0" w:space="0" w:color="auto"/>
      </w:divBdr>
      <w:divsChild>
        <w:div w:id="577246967">
          <w:marLeft w:val="0"/>
          <w:marRight w:val="0"/>
          <w:marTop w:val="0"/>
          <w:marBottom w:val="0"/>
          <w:divBdr>
            <w:top w:val="none" w:sz="0" w:space="0" w:color="auto"/>
            <w:left w:val="none" w:sz="0" w:space="0" w:color="auto"/>
            <w:bottom w:val="none" w:sz="0" w:space="0" w:color="auto"/>
            <w:right w:val="none" w:sz="0" w:space="0" w:color="auto"/>
          </w:divBdr>
        </w:div>
        <w:div w:id="2118601126">
          <w:marLeft w:val="0"/>
          <w:marRight w:val="0"/>
          <w:marTop w:val="0"/>
          <w:marBottom w:val="0"/>
          <w:divBdr>
            <w:top w:val="none" w:sz="0" w:space="0" w:color="auto"/>
            <w:left w:val="none" w:sz="0" w:space="0" w:color="auto"/>
            <w:bottom w:val="none" w:sz="0" w:space="0" w:color="auto"/>
            <w:right w:val="none" w:sz="0" w:space="0" w:color="auto"/>
          </w:divBdr>
        </w:div>
        <w:div w:id="128086247">
          <w:marLeft w:val="0"/>
          <w:marRight w:val="0"/>
          <w:marTop w:val="0"/>
          <w:marBottom w:val="0"/>
          <w:divBdr>
            <w:top w:val="none" w:sz="0" w:space="0" w:color="auto"/>
            <w:left w:val="none" w:sz="0" w:space="0" w:color="auto"/>
            <w:bottom w:val="none" w:sz="0" w:space="0" w:color="auto"/>
            <w:right w:val="none" w:sz="0" w:space="0" w:color="auto"/>
          </w:divBdr>
        </w:div>
      </w:divsChild>
    </w:div>
    <w:div w:id="1887789454">
      <w:bodyDiv w:val="1"/>
      <w:marLeft w:val="0"/>
      <w:marRight w:val="0"/>
      <w:marTop w:val="0"/>
      <w:marBottom w:val="0"/>
      <w:divBdr>
        <w:top w:val="none" w:sz="0" w:space="0" w:color="auto"/>
        <w:left w:val="none" w:sz="0" w:space="0" w:color="auto"/>
        <w:bottom w:val="none" w:sz="0" w:space="0" w:color="auto"/>
        <w:right w:val="none" w:sz="0" w:space="0" w:color="auto"/>
      </w:divBdr>
      <w:divsChild>
        <w:div w:id="787898883">
          <w:marLeft w:val="0"/>
          <w:marRight w:val="0"/>
          <w:marTop w:val="0"/>
          <w:marBottom w:val="0"/>
          <w:divBdr>
            <w:top w:val="none" w:sz="0" w:space="0" w:color="auto"/>
            <w:left w:val="none" w:sz="0" w:space="0" w:color="auto"/>
            <w:bottom w:val="none" w:sz="0" w:space="0" w:color="auto"/>
            <w:right w:val="none" w:sz="0" w:space="0" w:color="auto"/>
          </w:divBdr>
        </w:div>
        <w:div w:id="885024098">
          <w:marLeft w:val="0"/>
          <w:marRight w:val="0"/>
          <w:marTop w:val="0"/>
          <w:marBottom w:val="0"/>
          <w:divBdr>
            <w:top w:val="none" w:sz="0" w:space="0" w:color="auto"/>
            <w:left w:val="none" w:sz="0" w:space="0" w:color="auto"/>
            <w:bottom w:val="none" w:sz="0" w:space="0" w:color="auto"/>
            <w:right w:val="none" w:sz="0" w:space="0" w:color="auto"/>
          </w:divBdr>
        </w:div>
        <w:div w:id="2080324845">
          <w:marLeft w:val="0"/>
          <w:marRight w:val="0"/>
          <w:marTop w:val="0"/>
          <w:marBottom w:val="0"/>
          <w:divBdr>
            <w:top w:val="none" w:sz="0" w:space="0" w:color="auto"/>
            <w:left w:val="none" w:sz="0" w:space="0" w:color="auto"/>
            <w:bottom w:val="none" w:sz="0" w:space="0" w:color="auto"/>
            <w:right w:val="none" w:sz="0" w:space="0" w:color="auto"/>
          </w:divBdr>
        </w:div>
      </w:divsChild>
    </w:div>
    <w:div w:id="2056156035">
      <w:bodyDiv w:val="1"/>
      <w:marLeft w:val="0"/>
      <w:marRight w:val="0"/>
      <w:marTop w:val="0"/>
      <w:marBottom w:val="0"/>
      <w:divBdr>
        <w:top w:val="none" w:sz="0" w:space="0" w:color="auto"/>
        <w:left w:val="none" w:sz="0" w:space="0" w:color="auto"/>
        <w:bottom w:val="none" w:sz="0" w:space="0" w:color="auto"/>
        <w:right w:val="none" w:sz="0" w:space="0" w:color="auto"/>
      </w:divBdr>
      <w:divsChild>
        <w:div w:id="1859467484">
          <w:marLeft w:val="0"/>
          <w:marRight w:val="0"/>
          <w:marTop w:val="0"/>
          <w:marBottom w:val="0"/>
          <w:divBdr>
            <w:top w:val="none" w:sz="0" w:space="0" w:color="auto"/>
            <w:left w:val="none" w:sz="0" w:space="0" w:color="auto"/>
            <w:bottom w:val="none" w:sz="0" w:space="0" w:color="auto"/>
            <w:right w:val="none" w:sz="0" w:space="0" w:color="auto"/>
          </w:divBdr>
        </w:div>
      </w:divsChild>
    </w:div>
    <w:div w:id="211933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astairhudson.com/equity/Equity-socialjusticethroughindividualisatio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lastairhudson.com/equity/The%20trust%20as%20an%20equitable%20response.pdf" TargetMode="External"/><Relationship Id="rId12" Type="http://schemas.openxmlformats.org/officeDocument/2006/relationships/hyperlink" Target="https://www.parliament.uk/about/living-heritage/evolutionofparliament/originsofparliament/birthofparliament/overview/simondemontfort/provisionsoxfor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ieldsjournal.org.uk/article/id/982/" TargetMode="External"/><Relationship Id="rId11" Type="http://schemas.openxmlformats.org/officeDocument/2006/relationships/hyperlink" Target="https://www.legislation.gov.uk/ukpga/1875/77/enacted" TargetMode="External"/><Relationship Id="rId5" Type="http://schemas.openxmlformats.org/officeDocument/2006/relationships/hyperlink" Target="https://www.fieldsjournal.org.uk/article/id/982/" TargetMode="External"/><Relationship Id="rId10" Type="http://schemas.openxmlformats.org/officeDocument/2006/relationships/hyperlink" Target="https://www.legislation.gov.uk/ukpga/1998/42/schedule/1/part/I/chapter/5" TargetMode="External"/><Relationship Id="rId4" Type="http://schemas.openxmlformats.org/officeDocument/2006/relationships/webSettings" Target="webSettings.xml"/><Relationship Id="rId9" Type="http://schemas.openxmlformats.org/officeDocument/2006/relationships/hyperlink" Target="https://www.elgaronline.com/display/book/9781839105609/b-9781839105609.equity.english.law.x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602</TotalTime>
  <Pages>12</Pages>
  <Words>3262</Words>
  <Characters>18596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30</cp:revision>
  <dcterms:created xsi:type="dcterms:W3CDTF">2024-02-27T16:00:00Z</dcterms:created>
  <dcterms:modified xsi:type="dcterms:W3CDTF">2024-03-15T14:12:00Z</dcterms:modified>
</cp:coreProperties>
</file>