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F5C4939" w14:paraId="31B0745D" wp14:textId="14942635">
      <w:pPr>
        <w:spacing w:after="160" w:line="259" w:lineRule="auto"/>
        <w:rPr>
          <w:rFonts w:ascii="Calibri" w:hAnsi="Calibri" w:eastAsia="Calibri" w:cs="Calibri"/>
          <w:b w:val="0"/>
          <w:bCs w:val="0"/>
          <w:i w:val="0"/>
          <w:iCs w:val="0"/>
          <w:caps w:val="0"/>
          <w:smallCaps w:val="0"/>
          <w:noProof w:val="0"/>
          <w:color w:val="E8E6E3"/>
          <w:sz w:val="22"/>
          <w:szCs w:val="22"/>
          <w:lang w:val="en-US"/>
        </w:rPr>
      </w:pPr>
    </w:p>
    <w:p xmlns:wp14="http://schemas.microsoft.com/office/word/2010/wordml" w:rsidP="4F5C4939" w14:paraId="0BC3D214" wp14:textId="022B5F0C">
      <w:pPr>
        <w:pStyle w:val="Subtitle"/>
        <w:numPr>
          <w:numId w:val="0"/>
        </w:numPr>
        <w:spacing w:after="160" w:line="259" w:lineRule="auto"/>
        <w:rPr>
          <w:rFonts w:ascii="Calibri" w:hAnsi="Calibri" w:eastAsia="Calibri" w:cs="Calibri"/>
          <w:b w:val="0"/>
          <w:bCs w:val="0"/>
          <w:i w:val="0"/>
          <w:iCs w:val="0"/>
          <w:caps w:val="0"/>
          <w:smallCaps w:val="0"/>
          <w:noProof w:val="0"/>
          <w:color w:val="5A5A5A"/>
          <w:sz w:val="48"/>
          <w:szCs w:val="48"/>
          <w:lang w:val="en-GB"/>
        </w:rPr>
      </w:pPr>
      <w:r w:rsidRPr="4F5C4939" w:rsidR="2C4B9176">
        <w:rPr>
          <w:rFonts w:ascii="Calibri" w:hAnsi="Calibri" w:eastAsia="Calibri" w:cs="Calibri"/>
          <w:b w:val="0"/>
          <w:bCs w:val="0"/>
          <w:i w:val="0"/>
          <w:iCs w:val="0"/>
          <w:caps w:val="0"/>
          <w:smallCaps w:val="0"/>
          <w:noProof w:val="0"/>
          <w:color w:val="5A5A5A"/>
          <w:sz w:val="48"/>
          <w:szCs w:val="48"/>
          <w:lang w:val="en-US"/>
        </w:rPr>
        <w:t>. Business Model Canvas Assignment 2</w:t>
      </w:r>
    </w:p>
    <w:p xmlns:wp14="http://schemas.microsoft.com/office/word/2010/wordml" w:rsidP="4F5C4939" w14:paraId="4A9EE56D" wp14:textId="593C1323">
      <w:pPr>
        <w:spacing w:after="160" w:line="259" w:lineRule="auto"/>
        <w:rPr>
          <w:rFonts w:ascii="Calibri" w:hAnsi="Calibri" w:eastAsia="Calibri" w:cs="Calibri"/>
          <w:b w:val="0"/>
          <w:bCs w:val="0"/>
          <w:i w:val="0"/>
          <w:iCs w:val="0"/>
          <w:caps w:val="0"/>
          <w:smallCaps w:val="0"/>
          <w:noProof w:val="0"/>
          <w:color w:val="000000" w:themeColor="text1" w:themeTint="FF" w:themeShade="FF"/>
          <w:sz w:val="48"/>
          <w:szCs w:val="48"/>
          <w:lang w:val="en-GB"/>
        </w:rPr>
      </w:pPr>
    </w:p>
    <w:p xmlns:wp14="http://schemas.microsoft.com/office/word/2010/wordml" w:rsidP="4F5C4939" w14:paraId="24031618" wp14:textId="22860227">
      <w:pPr>
        <w:spacing w:after="160" w:line="259" w:lineRule="auto"/>
        <w:rPr>
          <w:rFonts w:ascii="Calibri" w:hAnsi="Calibri" w:eastAsia="Calibri" w:cs="Calibri"/>
          <w:b w:val="0"/>
          <w:bCs w:val="0"/>
          <w:i w:val="0"/>
          <w:iCs w:val="0"/>
          <w:caps w:val="0"/>
          <w:smallCaps w:val="0"/>
          <w:noProof w:val="0"/>
          <w:color w:val="000000" w:themeColor="text1" w:themeTint="FF" w:themeShade="FF"/>
          <w:sz w:val="48"/>
          <w:szCs w:val="48"/>
          <w:lang w:val="en-GB"/>
        </w:rPr>
      </w:pPr>
      <w:r w:rsidRPr="4F5C4939" w:rsidR="2C4B9176">
        <w:rPr>
          <w:rFonts w:ascii="Calibri" w:hAnsi="Calibri" w:eastAsia="Calibri" w:cs="Calibri"/>
          <w:b w:val="0"/>
          <w:bCs w:val="0"/>
          <w:i w:val="0"/>
          <w:iCs w:val="0"/>
          <w:caps w:val="0"/>
          <w:smallCaps w:val="0"/>
          <w:noProof w:val="0"/>
          <w:color w:val="000000" w:themeColor="text1" w:themeTint="FF" w:themeShade="FF"/>
          <w:sz w:val="48"/>
          <w:szCs w:val="48"/>
          <w:lang w:val="en-GB"/>
        </w:rPr>
        <w:t xml:space="preserve">. Ali Yasin </w:t>
      </w:r>
    </w:p>
    <w:p xmlns:wp14="http://schemas.microsoft.com/office/word/2010/wordml" w:rsidP="4F5C4939" w14:paraId="32BFC1CE" wp14:textId="36FE2131">
      <w:pPr>
        <w:spacing w:after="160" w:line="259" w:lineRule="auto"/>
        <w:rPr>
          <w:rFonts w:ascii="Calibri" w:hAnsi="Calibri" w:eastAsia="Calibri" w:cs="Calibri"/>
          <w:b w:val="0"/>
          <w:bCs w:val="0"/>
          <w:i w:val="0"/>
          <w:iCs w:val="0"/>
          <w:caps w:val="0"/>
          <w:smallCaps w:val="0"/>
          <w:noProof w:val="0"/>
          <w:color w:val="000000" w:themeColor="text1" w:themeTint="FF" w:themeShade="FF"/>
          <w:sz w:val="48"/>
          <w:szCs w:val="48"/>
          <w:lang w:val="en-GB"/>
        </w:rPr>
      </w:pPr>
    </w:p>
    <w:p xmlns:wp14="http://schemas.microsoft.com/office/word/2010/wordml" w:rsidP="4F5C4939" w14:paraId="61405D51" wp14:textId="5911C9BF">
      <w:pPr>
        <w:spacing w:after="160" w:line="259" w:lineRule="auto"/>
        <w:rPr>
          <w:rFonts w:ascii="Calibri" w:hAnsi="Calibri" w:eastAsia="Calibri" w:cs="Calibri"/>
          <w:b w:val="0"/>
          <w:bCs w:val="0"/>
          <w:i w:val="0"/>
          <w:iCs w:val="0"/>
          <w:caps w:val="0"/>
          <w:smallCaps w:val="0"/>
          <w:noProof w:val="0"/>
          <w:color w:val="000000" w:themeColor="text1" w:themeTint="FF" w:themeShade="FF"/>
          <w:sz w:val="48"/>
          <w:szCs w:val="48"/>
          <w:lang w:val="en-GB"/>
        </w:rPr>
      </w:pPr>
      <w:r w:rsidRPr="4F5C4939" w:rsidR="2C4B9176">
        <w:rPr>
          <w:rFonts w:ascii="Calibri" w:hAnsi="Calibri" w:eastAsia="Calibri" w:cs="Calibri"/>
          <w:b w:val="0"/>
          <w:bCs w:val="0"/>
          <w:i w:val="0"/>
          <w:iCs w:val="0"/>
          <w:caps w:val="0"/>
          <w:smallCaps w:val="0"/>
          <w:noProof w:val="0"/>
          <w:color w:val="000000" w:themeColor="text1" w:themeTint="FF" w:themeShade="FF"/>
          <w:sz w:val="48"/>
          <w:szCs w:val="48"/>
          <w:lang w:val="en-GB"/>
        </w:rPr>
        <w:t xml:space="preserve">. 2114939 </w:t>
      </w:r>
    </w:p>
    <w:p xmlns:wp14="http://schemas.microsoft.com/office/word/2010/wordml" w:rsidP="4F5C4939" w14:paraId="6A79FDC8" wp14:textId="175F5703">
      <w:pPr>
        <w:spacing w:after="160" w:line="259" w:lineRule="auto"/>
        <w:rPr>
          <w:rFonts w:ascii="Calibri" w:hAnsi="Calibri" w:eastAsia="Calibri" w:cs="Calibri"/>
          <w:b w:val="0"/>
          <w:bCs w:val="0"/>
          <w:i w:val="0"/>
          <w:iCs w:val="0"/>
          <w:caps w:val="0"/>
          <w:smallCaps w:val="0"/>
          <w:noProof w:val="0"/>
          <w:color w:val="000000" w:themeColor="text1" w:themeTint="FF" w:themeShade="FF"/>
          <w:sz w:val="48"/>
          <w:szCs w:val="48"/>
          <w:lang w:val="en-GB"/>
        </w:rPr>
      </w:pPr>
    </w:p>
    <w:p xmlns:wp14="http://schemas.microsoft.com/office/word/2010/wordml" w:rsidP="4F5C4939" w14:paraId="59A33B6A" wp14:textId="4A6791E4">
      <w:pPr>
        <w:spacing w:after="160" w:line="259" w:lineRule="auto"/>
        <w:rPr>
          <w:rFonts w:ascii="Calibri" w:hAnsi="Calibri" w:eastAsia="Calibri" w:cs="Calibri"/>
          <w:b w:val="0"/>
          <w:bCs w:val="0"/>
          <w:i w:val="0"/>
          <w:iCs w:val="0"/>
          <w:caps w:val="0"/>
          <w:smallCaps w:val="0"/>
          <w:noProof w:val="0"/>
          <w:color w:val="000000" w:themeColor="text1" w:themeTint="FF" w:themeShade="FF"/>
          <w:sz w:val="48"/>
          <w:szCs w:val="48"/>
          <w:lang w:val="en-GB"/>
        </w:rPr>
      </w:pPr>
    </w:p>
    <w:p xmlns:wp14="http://schemas.microsoft.com/office/word/2010/wordml" w:rsidP="4F5C4939" w14:paraId="56F3FA1D" wp14:textId="270F8E04">
      <w:pPr>
        <w:spacing w:after="160" w:line="259" w:lineRule="auto"/>
        <w:rPr>
          <w:rFonts w:ascii="Calibri" w:hAnsi="Calibri" w:eastAsia="Calibri" w:cs="Calibri"/>
          <w:b w:val="0"/>
          <w:bCs w:val="0"/>
          <w:i w:val="0"/>
          <w:iCs w:val="0"/>
          <w:caps w:val="0"/>
          <w:smallCaps w:val="0"/>
          <w:noProof w:val="0"/>
          <w:color w:val="000000" w:themeColor="text1" w:themeTint="FF" w:themeShade="FF"/>
          <w:sz w:val="48"/>
          <w:szCs w:val="48"/>
          <w:lang w:val="en-GB"/>
        </w:rPr>
      </w:pPr>
      <w:r w:rsidRPr="4F5C4939" w:rsidR="2C4B9176">
        <w:rPr>
          <w:rFonts w:ascii="Calibri" w:hAnsi="Calibri" w:eastAsia="Calibri" w:cs="Calibri"/>
          <w:b w:val="0"/>
          <w:bCs w:val="0"/>
          <w:i w:val="0"/>
          <w:iCs w:val="0"/>
          <w:caps w:val="0"/>
          <w:smallCaps w:val="0"/>
          <w:noProof w:val="0"/>
          <w:color w:val="000000" w:themeColor="text1" w:themeTint="FF" w:themeShade="FF"/>
          <w:sz w:val="48"/>
          <w:szCs w:val="48"/>
          <w:lang w:val="en-GB" w:bidi="ar-SA"/>
        </w:rPr>
        <w:t xml:space="preserve">                                                                                    </w:t>
      </w:r>
    </w:p>
    <w:p xmlns:wp14="http://schemas.microsoft.com/office/word/2010/wordml" w:rsidP="4F5C4939" w14:paraId="288DE661" wp14:textId="16AA99B8">
      <w:pPr>
        <w:spacing w:after="160" w:line="259" w:lineRule="auto"/>
        <w:rPr>
          <w:rFonts w:ascii="Calibri" w:hAnsi="Calibri" w:eastAsia="Calibri" w:cs="Calibri"/>
          <w:b w:val="0"/>
          <w:bCs w:val="0"/>
          <w:i w:val="0"/>
          <w:iCs w:val="0"/>
          <w:caps w:val="0"/>
          <w:smallCaps w:val="0"/>
          <w:noProof w:val="0"/>
          <w:color w:val="000000" w:themeColor="text1" w:themeTint="FF" w:themeShade="FF"/>
          <w:sz w:val="48"/>
          <w:szCs w:val="48"/>
          <w:lang w:val="en-GB"/>
        </w:rPr>
      </w:pPr>
      <w:r w:rsidRPr="4F5C4939" w:rsidR="2C4B9176">
        <w:rPr>
          <w:rFonts w:ascii="Calibri" w:hAnsi="Calibri" w:eastAsia="Calibri" w:cs="Calibri"/>
          <w:b w:val="0"/>
          <w:bCs w:val="0"/>
          <w:i w:val="0"/>
          <w:iCs w:val="0"/>
          <w:caps w:val="0"/>
          <w:smallCaps w:val="0"/>
          <w:noProof w:val="0"/>
          <w:color w:val="000000" w:themeColor="text1" w:themeTint="FF" w:themeShade="FF"/>
          <w:sz w:val="48"/>
          <w:szCs w:val="48"/>
          <w:lang w:val="en-GB" w:bidi="ar-SA"/>
        </w:rPr>
        <w:t xml:space="preserve">                                          </w:t>
      </w:r>
      <w:r w:rsidRPr="4F5C4939" w:rsidR="2C4B9176">
        <w:rPr>
          <w:rFonts w:ascii="Calibri" w:hAnsi="Calibri" w:eastAsia="Calibri" w:cs="Calibri"/>
          <w:b w:val="0"/>
          <w:bCs w:val="0"/>
          <w:i w:val="0"/>
          <w:iCs w:val="0"/>
          <w:caps w:val="0"/>
          <w:smallCaps w:val="0"/>
          <w:noProof w:val="0"/>
          <w:color w:val="000000" w:themeColor="text1" w:themeTint="FF" w:themeShade="FF"/>
          <w:sz w:val="48"/>
          <w:szCs w:val="48"/>
          <w:lang w:val="en-GB"/>
        </w:rPr>
        <w:t>. University of Wales</w:t>
      </w:r>
    </w:p>
    <w:p xmlns:wp14="http://schemas.microsoft.com/office/word/2010/wordml" w:rsidP="4F5C4939" w14:paraId="6D3F74EF" wp14:textId="436C1460">
      <w:pPr>
        <w:spacing w:after="160" w:line="259" w:lineRule="auto"/>
        <w:rPr>
          <w:rFonts w:ascii="Calibri" w:hAnsi="Calibri" w:eastAsia="Calibri" w:cs="Calibri"/>
          <w:b w:val="0"/>
          <w:bCs w:val="0"/>
          <w:i w:val="0"/>
          <w:iCs w:val="0"/>
          <w:caps w:val="0"/>
          <w:smallCaps w:val="0"/>
          <w:noProof w:val="0"/>
          <w:color w:val="000000" w:themeColor="text1" w:themeTint="FF" w:themeShade="FF"/>
          <w:sz w:val="48"/>
          <w:szCs w:val="48"/>
          <w:lang w:val="en-GB"/>
        </w:rPr>
      </w:pPr>
      <w:r w:rsidRPr="4F5C4939" w:rsidR="2C4B9176">
        <w:rPr>
          <w:rFonts w:ascii="Calibri" w:hAnsi="Calibri" w:eastAsia="Calibri" w:cs="Calibri"/>
          <w:b w:val="0"/>
          <w:bCs w:val="0"/>
          <w:i w:val="0"/>
          <w:iCs w:val="0"/>
          <w:caps w:val="0"/>
          <w:smallCaps w:val="0"/>
          <w:noProof w:val="0"/>
          <w:color w:val="000000" w:themeColor="text1" w:themeTint="FF" w:themeShade="FF"/>
          <w:sz w:val="48"/>
          <w:szCs w:val="48"/>
          <w:lang w:val="en-GB"/>
        </w:rPr>
        <w:t xml:space="preserve">                                                Trinity Saint David </w:t>
      </w:r>
    </w:p>
    <w:p xmlns:wp14="http://schemas.microsoft.com/office/word/2010/wordml" w:rsidP="4F5C4939" w14:paraId="278DB2C0" wp14:textId="3A89D466">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4F5C4939" w14:paraId="783F452E" wp14:textId="566F1D74">
      <w:pPr>
        <w:spacing w:after="160" w:line="259" w:lineRule="auto"/>
        <w:rPr>
          <w:rFonts w:ascii="Calibri" w:hAnsi="Calibri" w:eastAsia="Calibri" w:cs="Calibri"/>
          <w:b w:val="0"/>
          <w:bCs w:val="0"/>
          <w:i w:val="0"/>
          <w:iCs w:val="0"/>
          <w:caps w:val="0"/>
          <w:smallCaps w:val="0"/>
          <w:noProof w:val="0"/>
          <w:color w:val="E8E6E3"/>
          <w:sz w:val="22"/>
          <w:szCs w:val="22"/>
          <w:lang w:val="en-GB"/>
        </w:rPr>
      </w:pPr>
    </w:p>
    <w:p xmlns:wp14="http://schemas.microsoft.com/office/word/2010/wordml" w:rsidP="4F5C4939" w14:paraId="54CB3EBF" wp14:textId="48AD5C9E">
      <w:pPr>
        <w:spacing w:after="160" w:line="259" w:lineRule="auto"/>
        <w:rPr>
          <w:rFonts w:ascii="Calibri" w:hAnsi="Calibri" w:eastAsia="Calibri" w:cs="Calibri"/>
          <w:b w:val="0"/>
          <w:bCs w:val="0"/>
          <w:i w:val="0"/>
          <w:iCs w:val="0"/>
          <w:caps w:val="0"/>
          <w:smallCaps w:val="0"/>
          <w:noProof w:val="0"/>
          <w:color w:val="E8E6E3"/>
          <w:sz w:val="22"/>
          <w:szCs w:val="22"/>
          <w:lang w:val="en-GB"/>
        </w:rPr>
      </w:pPr>
    </w:p>
    <w:p xmlns:wp14="http://schemas.microsoft.com/office/word/2010/wordml" w:rsidP="4F5C4939" w14:paraId="25EFE762" wp14:textId="32039208">
      <w:pPr>
        <w:spacing w:after="160" w:line="259" w:lineRule="auto"/>
        <w:rPr>
          <w:rFonts w:ascii="Calibri" w:hAnsi="Calibri" w:eastAsia="Calibri" w:cs="Calibri"/>
          <w:b w:val="0"/>
          <w:bCs w:val="0"/>
          <w:i w:val="0"/>
          <w:iCs w:val="0"/>
          <w:caps w:val="0"/>
          <w:smallCaps w:val="0"/>
          <w:noProof w:val="0"/>
          <w:color w:val="E8E6E3"/>
          <w:sz w:val="22"/>
          <w:szCs w:val="22"/>
          <w:lang w:val="en-GB"/>
        </w:rPr>
      </w:pPr>
    </w:p>
    <w:p xmlns:wp14="http://schemas.microsoft.com/office/word/2010/wordml" w:rsidP="4F5C4939" w14:paraId="3382C61C" wp14:textId="195CFAB5">
      <w:pPr>
        <w:spacing w:after="160" w:line="259" w:lineRule="auto"/>
        <w:rPr>
          <w:rFonts w:ascii="Calibri" w:hAnsi="Calibri" w:eastAsia="Calibri" w:cs="Calibri"/>
          <w:b w:val="0"/>
          <w:bCs w:val="0"/>
          <w:i w:val="0"/>
          <w:iCs w:val="0"/>
          <w:caps w:val="0"/>
          <w:smallCaps w:val="0"/>
          <w:noProof w:val="0"/>
          <w:color w:val="E8E6E3"/>
          <w:sz w:val="22"/>
          <w:szCs w:val="22"/>
          <w:lang w:val="en-GB"/>
        </w:rPr>
      </w:pPr>
    </w:p>
    <w:p xmlns:wp14="http://schemas.microsoft.com/office/word/2010/wordml" w:rsidP="4F5C4939" w14:paraId="67E11C21" wp14:textId="36066132">
      <w:pPr>
        <w:spacing w:after="160" w:line="259" w:lineRule="auto"/>
        <w:rPr>
          <w:rFonts w:ascii="Calibri" w:hAnsi="Calibri" w:eastAsia="Calibri" w:cs="Calibri"/>
          <w:b w:val="0"/>
          <w:bCs w:val="0"/>
          <w:i w:val="0"/>
          <w:iCs w:val="0"/>
          <w:caps w:val="0"/>
          <w:smallCaps w:val="0"/>
          <w:noProof w:val="0"/>
          <w:color w:val="E8E6E3"/>
          <w:sz w:val="22"/>
          <w:szCs w:val="22"/>
          <w:lang w:val="en-GB"/>
        </w:rPr>
      </w:pPr>
    </w:p>
    <w:p xmlns:wp14="http://schemas.microsoft.com/office/word/2010/wordml" w:rsidP="4F5C4939" w14:paraId="769F7B89" wp14:textId="53E88903">
      <w:pPr>
        <w:spacing w:after="160" w:line="259" w:lineRule="auto"/>
        <w:rPr>
          <w:rFonts w:ascii="Calibri" w:hAnsi="Calibri" w:eastAsia="Calibri" w:cs="Calibri"/>
          <w:b w:val="0"/>
          <w:bCs w:val="0"/>
          <w:i w:val="0"/>
          <w:iCs w:val="0"/>
          <w:caps w:val="0"/>
          <w:smallCaps w:val="0"/>
          <w:noProof w:val="0"/>
          <w:color w:val="E8E6E3"/>
          <w:sz w:val="22"/>
          <w:szCs w:val="22"/>
          <w:lang w:val="en-GB"/>
        </w:rPr>
      </w:pPr>
    </w:p>
    <w:p xmlns:wp14="http://schemas.microsoft.com/office/word/2010/wordml" w:rsidP="4F5C4939" w14:paraId="65A2E8FF" wp14:textId="368B10F7">
      <w:pPr>
        <w:spacing w:after="160" w:line="259" w:lineRule="auto"/>
        <w:rPr>
          <w:rFonts w:ascii="Calibri" w:hAnsi="Calibri" w:eastAsia="Calibri" w:cs="Calibri"/>
          <w:b w:val="0"/>
          <w:bCs w:val="0"/>
          <w:i w:val="0"/>
          <w:iCs w:val="0"/>
          <w:caps w:val="0"/>
          <w:smallCaps w:val="0"/>
          <w:noProof w:val="0"/>
          <w:color w:val="E8E6E3"/>
          <w:sz w:val="22"/>
          <w:szCs w:val="22"/>
          <w:lang w:val="en-GB"/>
        </w:rPr>
      </w:pPr>
    </w:p>
    <w:p xmlns:wp14="http://schemas.microsoft.com/office/word/2010/wordml" w:rsidP="4F5C4939" w14:paraId="25BD8071" wp14:textId="2D759E2D">
      <w:pPr>
        <w:spacing w:after="160" w:line="259" w:lineRule="auto"/>
        <w:rPr>
          <w:rFonts w:ascii="Calibri" w:hAnsi="Calibri" w:eastAsia="Calibri" w:cs="Calibri"/>
          <w:b w:val="0"/>
          <w:bCs w:val="0"/>
          <w:i w:val="0"/>
          <w:iCs w:val="0"/>
          <w:caps w:val="0"/>
          <w:smallCaps w:val="0"/>
          <w:noProof w:val="0"/>
          <w:color w:val="E8E6E3"/>
          <w:sz w:val="22"/>
          <w:szCs w:val="22"/>
          <w:lang w:val="en-GB"/>
        </w:rPr>
      </w:pPr>
    </w:p>
    <w:p xmlns:wp14="http://schemas.microsoft.com/office/word/2010/wordml" w:rsidP="4F5C4939" w14:paraId="72546A30" wp14:textId="11199BC6">
      <w:pPr>
        <w:spacing w:after="160" w:line="259" w:lineRule="auto"/>
        <w:rPr>
          <w:rFonts w:ascii="Calibri" w:hAnsi="Calibri" w:eastAsia="Calibri" w:cs="Calibri"/>
          <w:b w:val="0"/>
          <w:bCs w:val="0"/>
          <w:i w:val="0"/>
          <w:iCs w:val="0"/>
          <w:caps w:val="0"/>
          <w:smallCaps w:val="0"/>
          <w:noProof w:val="0"/>
          <w:color w:val="E8E6E3"/>
          <w:sz w:val="22"/>
          <w:szCs w:val="22"/>
          <w:lang w:val="en-GB"/>
        </w:rPr>
      </w:pPr>
    </w:p>
    <w:p xmlns:wp14="http://schemas.microsoft.com/office/word/2010/wordml" w:rsidP="4F5C4939" w14:paraId="4C8F864E" wp14:textId="655A18A8">
      <w:pPr>
        <w:spacing w:after="160" w:line="259" w:lineRule="auto"/>
        <w:rPr>
          <w:rFonts w:ascii="Calibri" w:hAnsi="Calibri" w:eastAsia="Calibri" w:cs="Calibri"/>
          <w:b w:val="0"/>
          <w:bCs w:val="0"/>
          <w:i w:val="0"/>
          <w:iCs w:val="0"/>
          <w:caps w:val="0"/>
          <w:smallCaps w:val="0"/>
          <w:noProof w:val="0"/>
          <w:color w:val="E8E6E3"/>
          <w:sz w:val="22"/>
          <w:szCs w:val="22"/>
          <w:lang w:val="en-GB"/>
        </w:rPr>
      </w:pPr>
    </w:p>
    <w:p xmlns:wp14="http://schemas.microsoft.com/office/word/2010/wordml" w:rsidP="4F5C4939" w14:paraId="4420D13C" wp14:textId="3BFCF649">
      <w:pPr>
        <w:spacing w:after="160" w:line="259" w:lineRule="auto"/>
        <w:rPr>
          <w:rFonts w:ascii="Calibri" w:hAnsi="Calibri" w:eastAsia="Calibri" w:cs="Calibri"/>
          <w:b w:val="0"/>
          <w:bCs w:val="0"/>
          <w:i w:val="0"/>
          <w:iCs w:val="0"/>
          <w:caps w:val="0"/>
          <w:smallCaps w:val="0"/>
          <w:noProof w:val="0"/>
          <w:color w:val="CECAC3"/>
          <w:sz w:val="36"/>
          <w:szCs w:val="36"/>
          <w:lang w:val="en-GB"/>
        </w:rPr>
      </w:pPr>
      <w:r w:rsidRPr="4F5C4939" w:rsidR="2C4B9176">
        <w:rPr>
          <w:rFonts w:ascii="Calibri" w:hAnsi="Calibri" w:eastAsia="Calibri" w:cs="Calibri"/>
          <w:b w:val="0"/>
          <w:bCs w:val="0"/>
          <w:i w:val="0"/>
          <w:iCs w:val="0"/>
          <w:caps w:val="0"/>
          <w:smallCaps w:val="0"/>
          <w:noProof w:val="0"/>
          <w:color w:val="CECAC3"/>
          <w:sz w:val="36"/>
          <w:szCs w:val="36"/>
          <w:lang w:val="en-GB"/>
        </w:rPr>
        <w:t xml:space="preserve">The following Business Model Canvas outlines an innovative strategy for an organization to transition from a linear economy to a circular economy. The aim is to emphasize resource efficiency, waste reduction, and the preservation of resources by keeping them in use for as long as possible. This transition will require a shift in the organization's approach, processes, and systems. The canvas provides a comprehensive overview of the key elements involved in implementing this circular business model </w:t>
      </w:r>
    </w:p>
    <w:p xmlns:wp14="http://schemas.microsoft.com/office/word/2010/wordml" w:rsidP="4F5C4939" w14:paraId="34310FBB" wp14:textId="327B94F9">
      <w:pPr>
        <w:spacing w:after="160" w:line="259" w:lineRule="auto"/>
        <w:rPr>
          <w:rFonts w:ascii="Calibri" w:hAnsi="Calibri" w:eastAsia="Calibri" w:cs="Calibri"/>
          <w:b w:val="0"/>
          <w:bCs w:val="0"/>
          <w:i w:val="0"/>
          <w:iCs w:val="0"/>
          <w:caps w:val="0"/>
          <w:smallCaps w:val="0"/>
          <w:noProof w:val="0"/>
          <w:color w:val="CECAC3"/>
          <w:sz w:val="36"/>
          <w:szCs w:val="36"/>
          <w:lang w:val="en-GB"/>
        </w:rPr>
      </w:pPr>
    </w:p>
    <w:p xmlns:wp14="http://schemas.microsoft.com/office/word/2010/wordml" w:rsidP="4F5C4939" w14:paraId="0ED46955" wp14:textId="5C731EA4">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Certainly! Here's an expanded version of the Business Model Canvas with more detailed explanations and examples, totaling more than 1500 words:</w:t>
      </w:r>
    </w:p>
    <w:p xmlns:wp14="http://schemas.microsoft.com/office/word/2010/wordml" w:rsidP="4F5C4939" w14:paraId="261FB4F7" wp14:textId="5369DE65">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 xml:space="preserve"> </w:t>
      </w:r>
    </w:p>
    <w:p xmlns:wp14="http://schemas.microsoft.com/office/word/2010/wordml" w:rsidP="4F5C4939" w14:paraId="5E63AB62" wp14:textId="40EDF02A">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1. Customer Segments:</w:t>
      </w:r>
    </w:p>
    <w:p xmlns:wp14="http://schemas.microsoft.com/office/word/2010/wordml" w:rsidP="4F5C4939" w14:paraId="48FD82E7" wp14:textId="4B922AC6">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Identify target customer segments that value circularity and sustainability, such as environmentally conscious consumers, businesses seeking sustainable suppliers, and government entities focused on waste reduction. These segments are increasingly concerned about the environmental impact of their choices and actively seek products and services that align with their values.</w:t>
      </w:r>
    </w:p>
    <w:p xmlns:wp14="http://schemas.microsoft.com/office/word/2010/wordml" w:rsidP="4F5C4939" w14:paraId="4997A734" wp14:textId="58F33506">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 xml:space="preserve"> </w:t>
      </w:r>
    </w:p>
    <w:p xmlns:wp14="http://schemas.microsoft.com/office/word/2010/wordml" w:rsidP="4F5C4939" w14:paraId="25761A69" wp14:textId="18A10AFF">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For example, environmentally conscious consumers prioritize purchasing from brands that prioritize sustainability and circularity. Businesses seeking sustainable suppliers aim to reduce their environmental footprint by partnering with organizations that offer eco-friendly solutions. Government entities focused on waste reduction actively seek innovative companies to support their sustainability goals.</w:t>
      </w:r>
    </w:p>
    <w:p xmlns:wp14="http://schemas.microsoft.com/office/word/2010/wordml" w:rsidP="4F5C4939" w14:paraId="232D6062" wp14:textId="4793C8FC">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 xml:space="preserve"> </w:t>
      </w:r>
    </w:p>
    <w:p xmlns:wp14="http://schemas.microsoft.com/office/word/2010/wordml" w:rsidP="4F5C4939" w14:paraId="718DB1E8" wp14:textId="11A7689E">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2. Value Proposition:</w:t>
      </w:r>
    </w:p>
    <w:p xmlns:wp14="http://schemas.microsoft.com/office/word/2010/wordml" w:rsidP="4F5C4939" w14:paraId="431D6FA2" wp14:textId="7FD2D6E7">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a. Circular Resource Management: Develop solutions that enable customers to minimize waste, optimize resource use, and embrace circularity. This can involve implementing strategies such as recycling, upcycling, and product life extension to ensure resources remain in use for as long as possible. For instance, a clothing company can introduce a take-back program, allowing customers to return used garments for recycling or upcycling.</w:t>
      </w:r>
    </w:p>
    <w:p xmlns:wp14="http://schemas.microsoft.com/office/word/2010/wordml" w:rsidP="4F5C4939" w14:paraId="4A29BE49" wp14:textId="52BBACC2">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 xml:space="preserve"> </w:t>
      </w:r>
    </w:p>
    <w:p xmlns:wp14="http://schemas.microsoft.com/office/word/2010/wordml" w:rsidP="4F5C4939" w14:paraId="3939D215" wp14:textId="37944009">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b. Sustainable Product/Service Offerings: Offer products or services designed for durability, recyclability, repairability, and reuse, reducing the need for new resource extraction. By prioritizing sustainable materials and production processes, the organization can contribute to a circular economy and offer eco-friendly alternatives to customers. For example, an electronics manufacturer can design smartphones with modular components that can be easily repaired or upgraded, extending the product's lifespan.</w:t>
      </w:r>
    </w:p>
    <w:p xmlns:wp14="http://schemas.microsoft.com/office/word/2010/wordml" w:rsidP="4F5C4939" w14:paraId="3F207749" wp14:textId="5F9EC159">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 xml:space="preserve"> </w:t>
      </w:r>
    </w:p>
    <w:p xmlns:wp14="http://schemas.microsoft.com/office/word/2010/wordml" w:rsidP="4F5C4939" w14:paraId="18C904EE" wp14:textId="5EA137D0">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3. Channels:</w:t>
      </w:r>
    </w:p>
    <w:p xmlns:wp14="http://schemas.microsoft.com/office/word/2010/wordml" w:rsidP="4F5C4939" w14:paraId="60165852" wp14:textId="5AB7E2FF">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Utilize various channels to reach target customers and deliver value:</w:t>
      </w:r>
    </w:p>
    <w:p xmlns:wp14="http://schemas.microsoft.com/office/word/2010/wordml" w:rsidP="4F5C4939" w14:paraId="62D8E04E" wp14:textId="5F9A2C17">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 xml:space="preserve"> </w:t>
      </w:r>
    </w:p>
    <w:p xmlns:wp14="http://schemas.microsoft.com/office/word/2010/wordml" w:rsidP="4F5C4939" w14:paraId="00D25E9D" wp14:textId="31F3C936">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a. Online Platforms: Utilize digital platforms to promote circular products/services and provide information on sustainable practices. This can include e-commerce websites, social media channels, and online communities focused on sustainability. For example, an eco-friendly home goods brand can leverage social media platforms to share tips on reducing waste and promote their sustainable product line.</w:t>
      </w:r>
    </w:p>
    <w:p xmlns:wp14="http://schemas.microsoft.com/office/word/2010/wordml" w:rsidP="4F5C4939" w14:paraId="37FC8067" wp14:textId="51AA456E">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 xml:space="preserve"> </w:t>
      </w:r>
    </w:p>
    <w:p xmlns:wp14="http://schemas.microsoft.com/office/word/2010/wordml" w:rsidP="4F5C4939" w14:paraId="714B9563" wp14:textId="747F2D44">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b. Partnerships: Collaborate with retailers, sustainable brands, and waste management companies to expand distribution and raise awareness. This can involve strategic alliances with organizations that share the same values and target similar customer segments. For instance, a sustainable fashion brand can partner with retailers specializing in eco-friendly products to increase its market reach.</w:t>
      </w:r>
    </w:p>
    <w:p xmlns:wp14="http://schemas.microsoft.com/office/word/2010/wordml" w:rsidP="4F5C4939" w14:paraId="55E7E9B0" wp14:textId="24F4643E">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 xml:space="preserve"> </w:t>
      </w:r>
    </w:p>
    <w:p xmlns:wp14="http://schemas.microsoft.com/office/word/2010/wordml" w:rsidP="4F5C4939" w14:paraId="0C4122E3" wp14:textId="41CBCC06">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4. Customer Relationships:</w:t>
      </w:r>
    </w:p>
    <w:p xmlns:wp14="http://schemas.microsoft.com/office/word/2010/wordml" w:rsidP="4F5C4939" w14:paraId="021C83A4" wp14:textId="5B8CAB47">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Build strong relationships with customers by:</w:t>
      </w:r>
    </w:p>
    <w:p xmlns:wp14="http://schemas.microsoft.com/office/word/2010/wordml" w:rsidP="4F5C4939" w14:paraId="443934BA" wp14:textId="481F7651">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 xml:space="preserve"> </w:t>
      </w:r>
    </w:p>
    <w:p xmlns:wp14="http://schemas.microsoft.com/office/word/2010/wordml" w:rsidP="4F5C4939" w14:paraId="6B1DB1C1" wp14:textId="43E0E9B2">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a. Education and Engagement: Provide information and resources on circular economy principles, sustainable practices, and the benefits of adopting a circular approach. This can be achieved through educational content, webinars, workshops, and interactive platforms that encourage customer engagement. For example, a sustainability-focused consulting firm can offer webinars to educate businesses on circular economy strategies.</w:t>
      </w:r>
    </w:p>
    <w:p xmlns:wp14="http://schemas.microsoft.com/office/word/2010/wordml" w:rsidP="4F5C4939" w14:paraId="48A9EAD4" wp14:textId="72BDECB2">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 xml:space="preserve"> </w:t>
      </w:r>
    </w:p>
    <w:p xmlns:wp14="http://schemas.microsoft.com/office/word/2010/wordml" w:rsidP="4F5C4939" w14:paraId="61A88F3D" wp14:textId="194CB1BE">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b. Feedback and Co-creation: Encourage customer feedback to improve products/services and involve them in the co-creation process. By actively involving customers in product development and decision-making, the organization can create a sense of ownership and strengthen customer loyalty. An example is a cosmetics company that conducts surveys to gather customer feedback on product packaging and incorporates suggestions for more sustainable alternatives.</w:t>
      </w:r>
    </w:p>
    <w:p xmlns:wp14="http://schemas.microsoft.com/office/word/2010/wordml" w:rsidP="4F5C4939" w14:paraId="02A892A1" wp14:textId="579FE267">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 xml:space="preserve"> </w:t>
      </w:r>
    </w:p>
    <w:p xmlns:wp14="http://schemas.microsoft.com/office/word/2010/wordml" w:rsidP="4F5C4939" w14:paraId="4D3E7C5D" wp14:textId="68AF6ADB">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5. Revenue Streams:</w:t>
      </w:r>
    </w:p>
    <w:p xmlns:wp14="http://schemas.microsoft.com/office/word/2010/wordml" w:rsidP="4F5C4939" w14:paraId="49F56B32" wp14:textId="2C96A0EA">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Generate revenue through multiple streams:</w:t>
      </w:r>
    </w:p>
    <w:p xmlns:wp14="http://schemas.microsoft.com/office/word/2010/wordml" w:rsidP="4F5C4939" w14:paraId="4258DB73" wp14:textId="5C05C4F5">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 xml:space="preserve"> </w:t>
      </w:r>
    </w:p>
    <w:p xmlns:wp14="http://schemas.microsoft.com/office/word/2010/wordml" w:rsidP="4F5C4939" w14:paraId="121A2239" wp14:textId="1C5DEAB3">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a. Product Sales: Offer circular products/services for purchase, ensuring pricing reflects the value of sustainability. By offering high-quality, eco-friendly products/services, customers will be willing to pay a premium for their sustainable attributes. For instance, a sustainable furniture manufacturer can market its products as durable, made from recycled materials, and designed for long-term use.</w:t>
      </w:r>
    </w:p>
    <w:p xmlns:wp14="http://schemas.microsoft.com/office/word/2010/wordml" w:rsidP="4F5C4939" w14:paraId="22DA846A" wp14:textId="1B790467">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 xml:space="preserve"> </w:t>
      </w:r>
    </w:p>
    <w:p xmlns:wp14="http://schemas.microsoft.com/office/word/2010/wordml" w:rsidP="4F5C4939" w14:paraId="1A3AAE9A" wp14:textId="19570FDE">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b. Subscriptions or Leasing: Explore subscription-based models or leasing options that promote product longevity and enable resource recovery. This can involve offering product leasing or subscription plans that encourage customers to return or exchange items, fostering a circular consumption model. For example, a clothing rental service allows customers to rent and return garments, reducing the demand for fast fashion and encouraging reuse.</w:t>
      </w:r>
    </w:p>
    <w:p xmlns:wp14="http://schemas.microsoft.com/office/word/2010/wordml" w:rsidP="4F5C4939" w14:paraId="1DD191C5" wp14:textId="35207029">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 xml:space="preserve"> </w:t>
      </w:r>
    </w:p>
    <w:p xmlns:wp14="http://schemas.microsoft.com/office/word/2010/wordml" w:rsidP="4F5C4939" w14:paraId="1958C821" wp14:textId="2B15DAA7">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6. Key Activities</w:t>
      </w:r>
    </w:p>
    <w:p xmlns:wp14="http://schemas.microsoft.com/office/word/2010/wordml" w:rsidP="4F5C4939" w14:paraId="4BC1E95B" wp14:textId="7A0192F9">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 xml:space="preserve"> </w:t>
      </w:r>
    </w:p>
    <w:p xmlns:wp14="http://schemas.microsoft.com/office/word/2010/wordml" w:rsidP="4F5C4939" w14:paraId="27BFA8A6" wp14:textId="5AB09C10">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w:t>
      </w:r>
    </w:p>
    <w:p xmlns:wp14="http://schemas.microsoft.com/office/word/2010/wordml" w:rsidP="4F5C4939" w14:paraId="196ACA43" wp14:textId="433FC3E2">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Engage in key activities to drive circularity and sustainability:</w:t>
      </w:r>
    </w:p>
    <w:p xmlns:wp14="http://schemas.microsoft.com/office/word/2010/wordml" w:rsidP="4F5C4939" w14:paraId="4BAC1387" wp14:textId="2B45CBD1">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 xml:space="preserve"> </w:t>
      </w:r>
    </w:p>
    <w:p xmlns:wp14="http://schemas.microsoft.com/office/word/2010/wordml" w:rsidP="4F5C4939" w14:paraId="4D5CD819" wp14:textId="3307F5DA">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a. Research and Development: Continuously invest in R&amp;D to innovate and develop sustainable materials, production processes, and circular business models. This includes exploring new materials, improving recycling technologies, and finding ways to optimize resource use throughout the product lifecycle. For example, a renewable energy company can invest in R&amp;D to enhance the efficiency of solar panels and develop sustainable energy storage solutions.</w:t>
      </w:r>
    </w:p>
    <w:p xmlns:wp14="http://schemas.microsoft.com/office/word/2010/wordml" w:rsidP="4F5C4939" w14:paraId="591D2116" wp14:textId="00B685EA">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 xml:space="preserve"> </w:t>
      </w:r>
    </w:p>
    <w:p xmlns:wp14="http://schemas.microsoft.com/office/word/2010/wordml" w:rsidP="4F5C4939" w14:paraId="2DA181F5" wp14:textId="1A0EE12D">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b. Design for Circularity: Integrate circular principles into product design, considering durability, recyclability, and ease of repair or remanufacturing. This involves designing products with a focus on longevity, modularity, and the ability to disassemble and reuse components. For instance, an electronics manufacturer can design smartphones with easily replaceable parts to extend the device's lifespan and simplify repair processes.</w:t>
      </w:r>
    </w:p>
    <w:p xmlns:wp14="http://schemas.microsoft.com/office/word/2010/wordml" w:rsidP="4F5C4939" w14:paraId="4AE8D738" wp14:textId="2D377912">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 xml:space="preserve"> </w:t>
      </w:r>
    </w:p>
    <w:p xmlns:wp14="http://schemas.microsoft.com/office/word/2010/wordml" w:rsidP="4F5C4939" w14:paraId="7200A9CD" wp14:textId="766A6F56">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c. Waste Management Partnerships: Collaborate with waste management companies to establish efficient collection and recycling systems. By partnering with organizations specializing in waste management, the organization can ensure proper disposal and recovery of materials, minimizing waste and maximizing resource utilization. An example is a beverage company partnering with recycling companies to implement a bottle collection and recycling program.</w:t>
      </w:r>
    </w:p>
    <w:p xmlns:wp14="http://schemas.microsoft.com/office/word/2010/wordml" w:rsidP="4F5C4939" w14:paraId="617E2521" wp14:textId="076DA2FF">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 xml:space="preserve"> </w:t>
      </w:r>
    </w:p>
    <w:p xmlns:wp14="http://schemas.microsoft.com/office/word/2010/wordml" w:rsidP="4F5C4939" w14:paraId="3D2638FD" wp14:textId="7C6224B1">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7. Key Resources:</w:t>
      </w:r>
    </w:p>
    <w:p xmlns:wp14="http://schemas.microsoft.com/office/word/2010/wordml" w:rsidP="4F5C4939" w14:paraId="6414424E" wp14:textId="54A83646">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Identify key resources required to support circular initiatives:</w:t>
      </w:r>
    </w:p>
    <w:p xmlns:wp14="http://schemas.microsoft.com/office/word/2010/wordml" w:rsidP="4F5C4939" w14:paraId="6F5B9DB2" wp14:textId="78DA2435">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a. Sustainable Suppliers: Identify and partner with suppliers who prioritize sustainable practices, use recycled materials, or offer circular solutions. By working with suppliers that share the same sustainability goals, the organization can ensure a sustainable supply chain and access environmentally friendly materials. For example, a sustainable fashion brand can source organic cotton from suppliers committed to fair trade practices.</w:t>
      </w:r>
    </w:p>
    <w:p xmlns:wp14="http://schemas.microsoft.com/office/word/2010/wordml" w:rsidP="4F5C4939" w14:paraId="39557A7C" wp14:textId="67BF081F">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 xml:space="preserve"> </w:t>
      </w:r>
    </w:p>
    <w:p xmlns:wp14="http://schemas.microsoft.com/office/word/2010/wordml" w:rsidP="4F5C4939" w14:paraId="435B0327" wp14:textId="7BBAA506">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 xml:space="preserve">b. Technology Infrastructure: Develop or leverage digital platforms, data analytics, and IoT solutions to track resource flows and optimize circular processes. Investing in technologies that enable better monitoring and management of resources can help identify opportunities for improvement and enhance operational efficiency. For instance, a waste management company can utilize IoT sensors to optimize waste collection routes and minimize transportation emissions. </w:t>
      </w:r>
    </w:p>
    <w:p xmlns:wp14="http://schemas.microsoft.com/office/word/2010/wordml" w:rsidP="4F5C4939" w14:paraId="5D926817" wp14:textId="7F540F0B">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c. Skilled Workforce: Recruit and train employees who are knowledgeable about circular economy principles and can drive the transition. Having a skilled workforce with expertise in circular economy practices ensures successful implementation and continuous improvement of circular initiatives. For example, a sustainable consulting firm can provide training programs to educate employees on circular economy strategies and solutions.</w:t>
      </w:r>
    </w:p>
    <w:p xmlns:wp14="http://schemas.microsoft.com/office/word/2010/wordml" w:rsidP="4F5C4939" w14:paraId="4874CCA0" wp14:textId="53801448">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 xml:space="preserve"> </w:t>
      </w:r>
    </w:p>
    <w:p xmlns:wp14="http://schemas.microsoft.com/office/word/2010/wordml" w:rsidP="4F5C4939" w14:paraId="53E20C61" wp14:textId="11303F57">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8. Key Partnerships:</w:t>
      </w:r>
    </w:p>
    <w:p xmlns:wp14="http://schemas.microsoft.com/office/word/2010/wordml" w:rsidP="4F5C4939" w14:paraId="7C874A1C" wp14:textId="260519C0">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Collaborate with key partners to strengthen circular initiatives:</w:t>
      </w:r>
    </w:p>
    <w:p xmlns:wp14="http://schemas.microsoft.com/office/word/2010/wordml" w:rsidP="4F5C4939" w14:paraId="2FBF89B8" wp14:textId="5A8F05A5">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a. Suppliers: Collaborate with suppliers to establish closed-loop supply chains and source sustainable materials. Building strong relationships with suppliers is crucial for ensuring the availability of sustainable inputs and creating a closed-loop system where resources can be recovered and reused. For instance, a food manufacturer can partner with local farmers to source organic ingredients and establish a closed-loop system for food waste.</w:t>
      </w:r>
    </w:p>
    <w:p xmlns:wp14="http://schemas.microsoft.com/office/word/2010/wordml" w:rsidP="4F5C4939" w14:paraId="3C3D73B8" wp14:textId="3035FBD0">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 xml:space="preserve">b. Waste Management Companies: Partner with waste management firms to ensure efficient recycling and waste recovery processes. Working together with waste management companies enables the organization to establish proper waste collection, sorting, and recycling practices, reducing waste and maximizing resource recovery. An example is an electronics manufacturer partnering with e-waste recycling companies to ensure responsible disposal and recovery of valuable materials. </w:t>
      </w:r>
    </w:p>
    <w:p xmlns:wp14="http://schemas.microsoft.com/office/word/2010/wordml" w:rsidP="4F5C4939" w14:paraId="62893DBC" wp14:textId="0D48F258">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c. Industry Associations: Engage with industry associations focused on circular economy initiatives to share knowledge and collaborate on best practices. Joining industry associations provides access to a network of like-minded organizations and opportunities to collaborate on circular economy projects and advocacy efforts. For instance, an automotive company can participate in industry associations focused on electric vehicle adoption and collaborate on initiatives to promote sustainable mobility.</w:t>
      </w:r>
    </w:p>
    <w:p xmlns:wp14="http://schemas.microsoft.com/office/word/2010/wordml" w:rsidP="4F5C4939" w14:paraId="257553CD" wp14:textId="48A49A60">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 xml:space="preserve"> </w:t>
      </w:r>
    </w:p>
    <w:p xmlns:wp14="http://schemas.microsoft.com/office/word/2010/wordml" w:rsidP="4F5C4939" w14:paraId="3ED26B05" wp14:textId="0246322B">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9. Cost Structure:</w:t>
      </w:r>
    </w:p>
    <w:p xmlns:wp14="http://schemas.microsoft.com/office/word/2010/wordml" w:rsidP="4F5C4939" w14:paraId="49661C43" wp14:textId="2D10318A">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Identify key cost drivers and allocate resources accordingly:</w:t>
      </w:r>
    </w:p>
    <w:p xmlns:wp14="http://schemas.microsoft.com/office/word/2010/wordml" w:rsidP="4F5C4939" w14:paraId="1DD57CB7" wp14:textId="742D0B34">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 xml:space="preserve">a. Research and Development Investments: Allocate resources to research and development efforts for sustainable materials, processes, and circular business models. R&amp;D investments are crucial for driving innovation and finding new ways to optimize resource use and minimize waste. For example, an energy company investing in R&amp;D for renewable energy technologies. </w:t>
      </w:r>
    </w:p>
    <w:p xmlns:wp14="http://schemas.microsoft.com/office/word/2010/wordml" w:rsidP="4F5C4939" w14:paraId="3B35D05A" wp14:textId="796EBA2D">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b. Training and Education: Invest</w:t>
      </w:r>
    </w:p>
    <w:p xmlns:wp14="http://schemas.microsoft.com/office/word/2010/wordml" w:rsidP="4F5C4939" w14:paraId="69E9CB65" wp14:textId="4AC51D29">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 xml:space="preserve">in employee training and education to build circular economy expertise within the organization. Training programs and workshops can help employees understand circular economy principles, develop new skills, and drive the organization's transition towards a circular model. For instance, a manufacturing company can provide training on waste reduction and lean manufacturing practices. </w:t>
      </w:r>
    </w:p>
    <w:p xmlns:wp14="http://schemas.microsoft.com/office/word/2010/wordml" w:rsidP="4F5C4939" w14:paraId="6EDD69FB" wp14:textId="62D51A3B">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c. Infrastructure: Establish and maintain necessary infrastructure for waste management, recycling, and resource recovery. This includes setting up recycling facilities, collection systems, and waste sorting processes to ensure efficient resource recovery and minimize waste disposal costs. For example, a municipality investing in recycling infrastructure to improve waste management practices.</w:t>
      </w:r>
    </w:p>
    <w:p xmlns:wp14="http://schemas.microsoft.com/office/word/2010/wordml" w:rsidP="4F5C4939" w14:paraId="404E338E" wp14:textId="28ECA624">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p>
    <w:p xmlns:wp14="http://schemas.microsoft.com/office/word/2010/wordml" w:rsidP="4F5C4939" w14:paraId="047B666B" wp14:textId="62D51FBD">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 xml:space="preserve"> 10. Key Metrics:</w:t>
      </w:r>
    </w:p>
    <w:p xmlns:wp14="http://schemas.microsoft.com/office/word/2010/wordml" w:rsidP="4F5C4939" w14:paraId="3C712198" wp14:textId="6C3D51A1">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 xml:space="preserve">Establish key metrics to measure the success of circular initiatives: </w:t>
      </w:r>
    </w:p>
    <w:p xmlns:wp14="http://schemas.microsoft.com/office/word/2010/wordml" w:rsidP="4F5C4939" w14:paraId="05F6DA14" wp14:textId="619EDE3A">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 xml:space="preserve">a. Resource Efficiency: Measure and track resource consumption, waste generation, and resource recovery rates to evaluate the effectiveness of circular initiatives. Monitoring resource efficiency metrics allows the organization to identify areas for improvement and measure the success of circular economy implementation. For example, a manufacturing company can track the reduction in raw material consumption and the increase in recycled material usage. </w:t>
      </w:r>
    </w:p>
    <w:p xmlns:wp14="http://schemas.microsoft.com/office/word/2010/wordml" w:rsidP="4F5C4939" w14:paraId="1494C517" wp14:textId="14825F00">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b. Customer Satisfaction: Conduct regular customer surveys to gauge satisfaction levels with circular products/services and gather feedback for improvement. Customer satisfaction feedback provides insights into the organization's performance in meeting customer expectations and helps identify opportunities to enhance the value proposition. For instance, a sustainable clothing brand can measure customer satisfaction with the durability and recyclability of their products.</w:t>
      </w:r>
    </w:p>
    <w:p xmlns:wp14="http://schemas.microsoft.com/office/word/2010/wordml" w:rsidP="4F5C4939" w14:paraId="7BD554AA" wp14:textId="62B30C04">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 xml:space="preserve"> c. Revenue from Circular Products/Services: Monitor the revenue generated from circular offerings to assess the business's financial sustainability. Tracking revenue from circular products/services helps evaluate the viability and profitability of the organization's circular business model. For example, a waste management company can track revenue from recycling services or the sale of recovered materials.</w:t>
      </w:r>
    </w:p>
    <w:p xmlns:wp14="http://schemas.microsoft.com/office/word/2010/wordml" w:rsidP="4F5C4939" w14:paraId="5CAD0198" wp14:textId="0147F7B1">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r w:rsidRPr="4F5C4939" w:rsidR="2C4B9176">
        <w:rPr>
          <w:rFonts w:ascii="Calibri" w:hAnsi="Calibri" w:eastAsia="Calibri" w:cs="Calibri"/>
          <w:b w:val="0"/>
          <w:bCs w:val="0"/>
          <w:i w:val="0"/>
          <w:iCs w:val="0"/>
          <w:caps w:val="0"/>
          <w:smallCaps w:val="0"/>
          <w:noProof w:val="0"/>
          <w:color w:val="E8E6E3"/>
          <w:sz w:val="36"/>
          <w:szCs w:val="36"/>
          <w:lang w:val="en-GB"/>
        </w:rPr>
        <w:t>By adopting this comprehensive business model canvas, the organization can embrace circularity, reduce waste, and contribute to a more sustainable future while providing value to its customers and stakeholders.</w:t>
      </w:r>
    </w:p>
    <w:p xmlns:wp14="http://schemas.microsoft.com/office/word/2010/wordml" w:rsidP="4F5C4939" w14:paraId="2CAAD6E7" wp14:textId="043E6FBE">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p>
    <w:p xmlns:wp14="http://schemas.microsoft.com/office/word/2010/wordml" w:rsidP="4F5C4939" w14:paraId="2EC63DEA" wp14:textId="08014EE1">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p>
    <w:p xmlns:wp14="http://schemas.microsoft.com/office/word/2010/wordml" w:rsidP="4F5C4939" w14:paraId="46C50794" wp14:textId="348DBF0F">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p>
    <w:p xmlns:wp14="http://schemas.microsoft.com/office/word/2010/wordml" w:rsidP="4F5C4939" w14:paraId="0B5ADFD0" wp14:textId="5B5DD076">
      <w:pPr>
        <w:spacing w:after="160" w:line="259" w:lineRule="auto"/>
        <w:ind w:left="0"/>
        <w:rPr>
          <w:rFonts w:ascii="Calibri" w:hAnsi="Calibri" w:eastAsia="Calibri" w:cs="Calibri"/>
          <w:b w:val="0"/>
          <w:bCs w:val="0"/>
          <w:i w:val="0"/>
          <w:iCs w:val="0"/>
          <w:caps w:val="0"/>
          <w:smallCaps w:val="0"/>
          <w:noProof w:val="0"/>
          <w:color w:val="5A5A5A"/>
          <w:sz w:val="48"/>
          <w:szCs w:val="48"/>
          <w:lang w:val="en-GB"/>
        </w:rPr>
      </w:pPr>
      <w:r w:rsidRPr="4F5C4939" w:rsidR="2C4B9176">
        <w:rPr>
          <w:rFonts w:ascii="Calibri" w:hAnsi="Calibri" w:eastAsia="Calibri" w:cs="Calibri"/>
          <w:b w:val="0"/>
          <w:bCs w:val="0"/>
          <w:i w:val="0"/>
          <w:iCs w:val="0"/>
          <w:caps w:val="0"/>
          <w:smallCaps w:val="0"/>
          <w:noProof w:val="0"/>
          <w:color w:val="E8E6E3"/>
          <w:sz w:val="48"/>
          <w:szCs w:val="48"/>
          <w:lang w:val="en-GB"/>
        </w:rPr>
        <w:t xml:space="preserve">The link to the </w:t>
      </w:r>
      <w:r w:rsidRPr="4F5C4939" w:rsidR="2C4B9176">
        <w:rPr>
          <w:rFonts w:ascii="Calibri" w:hAnsi="Calibri" w:eastAsia="Calibri" w:cs="Calibri"/>
          <w:b w:val="0"/>
          <w:bCs w:val="0"/>
          <w:i w:val="0"/>
          <w:iCs w:val="0"/>
          <w:caps w:val="0"/>
          <w:smallCaps w:val="0"/>
          <w:noProof w:val="0"/>
          <w:color w:val="5A5A5A"/>
          <w:sz w:val="48"/>
          <w:szCs w:val="48"/>
          <w:lang w:val="en-US"/>
        </w:rPr>
        <w:t xml:space="preserve">Business Model Canvas: </w:t>
      </w:r>
    </w:p>
    <w:p xmlns:wp14="http://schemas.microsoft.com/office/word/2010/wordml" w:rsidP="4F5C4939" w14:paraId="59B127DC" wp14:textId="6B0B557B">
      <w:pPr>
        <w:spacing w:after="160" w:line="259" w:lineRule="auto"/>
        <w:ind w:left="0"/>
        <w:rPr>
          <w:rFonts w:ascii="Calibri" w:hAnsi="Calibri" w:eastAsia="Calibri" w:cs="Calibri"/>
          <w:b w:val="0"/>
          <w:bCs w:val="0"/>
          <w:i w:val="0"/>
          <w:iCs w:val="0"/>
          <w:caps w:val="0"/>
          <w:smallCaps w:val="0"/>
          <w:noProof w:val="0"/>
          <w:color w:val="5A5A5A"/>
          <w:sz w:val="48"/>
          <w:szCs w:val="48"/>
          <w:lang w:val="en-GB"/>
        </w:rPr>
      </w:pPr>
      <w:hyperlink r:id="R12408c6294804565">
        <w:r w:rsidRPr="4F5C4939" w:rsidR="2C4B9176">
          <w:rPr>
            <w:rStyle w:val="Hyperlink"/>
            <w:rFonts w:ascii="Calibri" w:hAnsi="Calibri" w:eastAsia="Calibri" w:cs="Calibri"/>
            <w:b w:val="0"/>
            <w:bCs w:val="0"/>
            <w:i w:val="0"/>
            <w:iCs w:val="0"/>
            <w:caps w:val="0"/>
            <w:smallCaps w:val="0"/>
            <w:strike w:val="0"/>
            <w:dstrike w:val="0"/>
            <w:noProof w:val="0"/>
            <w:sz w:val="48"/>
            <w:szCs w:val="48"/>
            <w:lang w:val="en-US"/>
          </w:rPr>
          <w:t>https://next.canvanizer.com/canvas/rUVzSsVyi4uDV</w:t>
        </w:r>
      </w:hyperlink>
      <w:r w:rsidRPr="4F5C4939" w:rsidR="2C4B9176">
        <w:rPr>
          <w:rFonts w:ascii="Calibri" w:hAnsi="Calibri" w:eastAsia="Calibri" w:cs="Calibri"/>
          <w:b w:val="0"/>
          <w:bCs w:val="0"/>
          <w:i w:val="0"/>
          <w:iCs w:val="0"/>
          <w:caps w:val="0"/>
          <w:smallCaps w:val="0"/>
          <w:noProof w:val="0"/>
          <w:color w:val="5A5A5A"/>
          <w:sz w:val="48"/>
          <w:szCs w:val="48"/>
          <w:lang w:val="en-US"/>
        </w:rPr>
        <w:t xml:space="preserve"> </w:t>
      </w:r>
    </w:p>
    <w:p xmlns:wp14="http://schemas.microsoft.com/office/word/2010/wordml" w:rsidP="4F5C4939" w14:paraId="09E5ED4F" wp14:textId="59981B1F">
      <w:pPr>
        <w:spacing w:after="160" w:line="259" w:lineRule="auto"/>
        <w:ind w:left="0"/>
        <w:rPr>
          <w:rFonts w:ascii="Calibri" w:hAnsi="Calibri" w:eastAsia="Calibri" w:cs="Calibri"/>
          <w:b w:val="0"/>
          <w:bCs w:val="0"/>
          <w:i w:val="0"/>
          <w:iCs w:val="0"/>
          <w:caps w:val="0"/>
          <w:smallCaps w:val="0"/>
          <w:noProof w:val="0"/>
          <w:color w:val="5A5A5A"/>
          <w:sz w:val="48"/>
          <w:szCs w:val="48"/>
          <w:lang w:val="en-GB"/>
        </w:rPr>
      </w:pPr>
    </w:p>
    <w:p xmlns:wp14="http://schemas.microsoft.com/office/word/2010/wordml" w:rsidP="4F5C4939" w14:paraId="6E1184B8" wp14:textId="4BB4B7E3">
      <w:pPr>
        <w:spacing w:after="160" w:line="259" w:lineRule="auto"/>
        <w:ind w:left="0"/>
        <w:rPr>
          <w:rFonts w:ascii="Calibri" w:hAnsi="Calibri" w:eastAsia="Calibri" w:cs="Calibri"/>
          <w:b w:val="0"/>
          <w:bCs w:val="0"/>
          <w:i w:val="0"/>
          <w:iCs w:val="0"/>
          <w:caps w:val="0"/>
          <w:smallCaps w:val="0"/>
          <w:noProof w:val="0"/>
          <w:color w:val="5A5A5A"/>
          <w:sz w:val="48"/>
          <w:szCs w:val="48"/>
          <w:lang w:val="en-GB"/>
        </w:rPr>
      </w:pPr>
      <w:hyperlink r:id="Re61c7478a7ff4674">
        <w:r w:rsidRPr="4F5C4939" w:rsidR="2C4B9176">
          <w:rPr>
            <w:rStyle w:val="Hyperlink"/>
            <w:rFonts w:ascii="Calibri" w:hAnsi="Calibri" w:eastAsia="Calibri" w:cs="Calibri"/>
            <w:b w:val="0"/>
            <w:bCs w:val="0"/>
            <w:i w:val="0"/>
            <w:iCs w:val="0"/>
            <w:caps w:val="0"/>
            <w:smallCaps w:val="0"/>
            <w:strike w:val="0"/>
            <w:dstrike w:val="0"/>
            <w:noProof w:val="0"/>
            <w:sz w:val="48"/>
            <w:szCs w:val="48"/>
            <w:lang w:val="en-US"/>
          </w:rPr>
          <w:t>https://next.canvanizer.com/canvas/wL1Nnp3qZtVUW</w:t>
        </w:r>
      </w:hyperlink>
      <w:r w:rsidRPr="4F5C4939" w:rsidR="2C4B9176">
        <w:rPr>
          <w:rFonts w:ascii="Calibri" w:hAnsi="Calibri" w:eastAsia="Calibri" w:cs="Calibri"/>
          <w:b w:val="0"/>
          <w:bCs w:val="0"/>
          <w:i w:val="0"/>
          <w:iCs w:val="0"/>
          <w:caps w:val="0"/>
          <w:smallCaps w:val="0"/>
          <w:noProof w:val="0"/>
          <w:color w:val="5A5A5A"/>
          <w:sz w:val="48"/>
          <w:szCs w:val="48"/>
          <w:lang w:val="en-US"/>
        </w:rPr>
        <w:t xml:space="preserve"> </w:t>
      </w:r>
    </w:p>
    <w:p xmlns:wp14="http://schemas.microsoft.com/office/word/2010/wordml" w:rsidP="4F5C4939" w14:paraId="14604BD6" wp14:textId="6ED7E7E1">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p>
    <w:p xmlns:wp14="http://schemas.microsoft.com/office/word/2010/wordml" w:rsidP="4F5C4939" w14:paraId="77052402" wp14:textId="2278B050">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p>
    <w:p xmlns:wp14="http://schemas.microsoft.com/office/word/2010/wordml" w:rsidP="4F5C4939" w14:paraId="78B48668" wp14:textId="30561B88">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p>
    <w:p xmlns:wp14="http://schemas.microsoft.com/office/word/2010/wordml" w:rsidP="4F5C4939" w14:paraId="25617A15" wp14:textId="762277A4">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p>
    <w:p xmlns:wp14="http://schemas.microsoft.com/office/word/2010/wordml" w:rsidP="4F5C4939" w14:paraId="4FED1B01" wp14:textId="4E35FF5E">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p>
    <w:p xmlns:wp14="http://schemas.microsoft.com/office/word/2010/wordml" w:rsidP="4F5C4939" w14:paraId="42394E70" wp14:textId="6C1C3471">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p>
    <w:p xmlns:wp14="http://schemas.microsoft.com/office/word/2010/wordml" w:rsidP="4F5C4939" w14:paraId="0DF8D0A0" wp14:textId="1CB12202">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p>
    <w:p xmlns:wp14="http://schemas.microsoft.com/office/word/2010/wordml" w:rsidP="4F5C4939" w14:paraId="4676CB97" wp14:textId="5B39A52D">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p>
    <w:p xmlns:wp14="http://schemas.microsoft.com/office/word/2010/wordml" w:rsidP="4F5C4939" w14:paraId="18608190" wp14:textId="3226F273">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p>
    <w:p xmlns:wp14="http://schemas.microsoft.com/office/word/2010/wordml" w:rsidP="4F5C4939" w14:paraId="647617B1" wp14:textId="5B69868B">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p>
    <w:p xmlns:wp14="http://schemas.microsoft.com/office/word/2010/wordml" w:rsidP="4F5C4939" w14:paraId="08D05178" wp14:textId="1E83AD21">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p>
    <w:p xmlns:wp14="http://schemas.microsoft.com/office/word/2010/wordml" w:rsidP="4F5C4939" w14:paraId="52CEE07B" wp14:textId="5121AA9F">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p>
    <w:p xmlns:wp14="http://schemas.microsoft.com/office/word/2010/wordml" w:rsidP="4F5C4939" w14:paraId="74316817" wp14:textId="169204B3">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p>
    <w:p xmlns:wp14="http://schemas.microsoft.com/office/word/2010/wordml" w:rsidP="4F5C4939" w14:paraId="0F4CE1DA" wp14:textId="3592D426">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p>
    <w:p xmlns:wp14="http://schemas.microsoft.com/office/word/2010/wordml" w:rsidP="4F5C4939" w14:paraId="6FF22E4D" wp14:textId="6B776B6A">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p>
    <w:p xmlns:wp14="http://schemas.microsoft.com/office/word/2010/wordml" w:rsidP="4F5C4939" w14:paraId="6A3099AA" wp14:textId="2D94F114">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p>
    <w:p xmlns:wp14="http://schemas.microsoft.com/office/word/2010/wordml" w:rsidP="4F5C4939" w14:paraId="4132759C" wp14:textId="7CDBE92D">
      <w:pPr>
        <w:spacing w:after="160" w:line="360" w:lineRule="auto"/>
        <w:jc w:val="left"/>
        <w:rPr>
          <w:rFonts w:ascii="Arial" w:hAnsi="Arial" w:eastAsia="Arial" w:cs="Arial"/>
          <w:b w:val="0"/>
          <w:bCs w:val="0"/>
          <w:i w:val="0"/>
          <w:iCs w:val="0"/>
          <w:caps w:val="0"/>
          <w:smallCaps w:val="0"/>
          <w:noProof w:val="0"/>
          <w:color w:val="E8E6E3"/>
          <w:sz w:val="48"/>
          <w:szCs w:val="48"/>
          <w:lang w:val="en-GB"/>
        </w:rPr>
      </w:pPr>
      <w:r w:rsidRPr="4F5C4939" w:rsidR="2C4B9176">
        <w:rPr>
          <w:rFonts w:ascii="Calibri" w:hAnsi="Calibri" w:eastAsia="Calibri" w:cs="Calibri"/>
          <w:b w:val="0"/>
          <w:bCs w:val="0"/>
          <w:i w:val="0"/>
          <w:iCs w:val="0"/>
          <w:caps w:val="0"/>
          <w:smallCaps w:val="0"/>
          <w:noProof w:val="0"/>
          <w:color w:val="E8E6E3"/>
          <w:sz w:val="48"/>
          <w:szCs w:val="48"/>
          <w:lang w:val="en-GB"/>
        </w:rPr>
        <w:t xml:space="preserve">The </w:t>
      </w:r>
      <w:r w:rsidRPr="4F5C4939" w:rsidR="2C4B9176">
        <w:rPr>
          <w:rFonts w:ascii="Arial" w:hAnsi="Arial" w:eastAsia="Arial" w:cs="Arial"/>
          <w:b w:val="0"/>
          <w:bCs w:val="0"/>
          <w:i w:val="0"/>
          <w:iCs w:val="0"/>
          <w:caps w:val="0"/>
          <w:smallCaps w:val="0"/>
          <w:noProof w:val="0"/>
          <w:color w:val="E8E6E3"/>
          <w:sz w:val="48"/>
          <w:szCs w:val="48"/>
          <w:lang w:val="en-GB"/>
        </w:rPr>
        <w:t xml:space="preserve">Reference List : </w:t>
      </w:r>
    </w:p>
    <w:p xmlns:wp14="http://schemas.microsoft.com/office/word/2010/wordml" w:rsidP="4F5C4939" w14:paraId="1B5824B1" wp14:textId="44A3292B">
      <w:pPr>
        <w:pStyle w:val="ListParagraph"/>
        <w:numPr>
          <w:ilvl w:val="0"/>
          <w:numId w:val="1"/>
        </w:numPr>
        <w:spacing w:after="160" w:line="259" w:lineRule="auto"/>
        <w:jc w:val="left"/>
        <w:rPr>
          <w:rFonts w:ascii="Arial" w:hAnsi="Arial" w:eastAsia="Arial" w:cs="Arial"/>
          <w:b w:val="0"/>
          <w:bCs w:val="0"/>
          <w:i w:val="0"/>
          <w:iCs w:val="0"/>
          <w:caps w:val="0"/>
          <w:smallCaps w:val="0"/>
          <w:noProof w:val="0"/>
          <w:color w:val="CECAC3"/>
          <w:sz w:val="24"/>
          <w:szCs w:val="24"/>
          <w:lang w:val="en-GB"/>
        </w:rPr>
      </w:pPr>
      <w:r w:rsidRPr="4F5C4939" w:rsidR="2C4B9176">
        <w:rPr>
          <w:rFonts w:ascii="Arial" w:hAnsi="Arial" w:eastAsia="Arial" w:cs="Arial"/>
          <w:b w:val="0"/>
          <w:bCs w:val="0"/>
          <w:i w:val="0"/>
          <w:iCs w:val="0"/>
          <w:caps w:val="0"/>
          <w:smallCaps w:val="0"/>
          <w:noProof w:val="0"/>
          <w:color w:val="CECAC3"/>
          <w:sz w:val="24"/>
          <w:szCs w:val="24"/>
          <w:lang w:val="en-GB"/>
        </w:rPr>
        <w:t xml:space="preserve">Bocken, N. M. P., Short, S. W., Rana, P., &amp; Evans, S. (2014). A literature and practice review to develop sustainable business model archetypes. Journal of Cleaner Production, 65, 42-56. Link: </w:t>
      </w:r>
      <w:hyperlink r:id="R4a596263f66d4a03">
        <w:r w:rsidRPr="4F5C4939" w:rsidR="2C4B9176">
          <w:rPr>
            <w:rStyle w:val="Hyperlink"/>
            <w:rFonts w:ascii="Arial" w:hAnsi="Arial" w:eastAsia="Arial" w:cs="Arial"/>
            <w:b w:val="0"/>
            <w:bCs w:val="0"/>
            <w:i w:val="0"/>
            <w:iCs w:val="0"/>
            <w:caps w:val="0"/>
            <w:smallCaps w:val="0"/>
            <w:strike w:val="0"/>
            <w:dstrike w:val="0"/>
            <w:noProof w:val="0"/>
            <w:sz w:val="24"/>
            <w:szCs w:val="24"/>
            <w:lang w:val="en-GB"/>
          </w:rPr>
          <w:t>Read the article</w:t>
        </w:r>
      </w:hyperlink>
    </w:p>
    <w:p xmlns:wp14="http://schemas.microsoft.com/office/word/2010/wordml" w:rsidP="4F5C4939" w14:paraId="4BBAC532" wp14:textId="6234670E">
      <w:pPr>
        <w:pStyle w:val="ListParagraph"/>
        <w:numPr>
          <w:ilvl w:val="0"/>
          <w:numId w:val="1"/>
        </w:numPr>
        <w:spacing w:after="160" w:line="259" w:lineRule="auto"/>
        <w:jc w:val="left"/>
        <w:rPr>
          <w:rFonts w:ascii="Arial" w:hAnsi="Arial" w:eastAsia="Arial" w:cs="Arial"/>
          <w:b w:val="0"/>
          <w:bCs w:val="0"/>
          <w:i w:val="0"/>
          <w:iCs w:val="0"/>
          <w:caps w:val="0"/>
          <w:smallCaps w:val="0"/>
          <w:noProof w:val="0"/>
          <w:color w:val="CECAC3"/>
          <w:sz w:val="24"/>
          <w:szCs w:val="24"/>
          <w:lang w:val="en-GB"/>
        </w:rPr>
      </w:pPr>
      <w:r w:rsidRPr="4F5C4939" w:rsidR="2C4B9176">
        <w:rPr>
          <w:rFonts w:ascii="Arial" w:hAnsi="Arial" w:eastAsia="Arial" w:cs="Arial"/>
          <w:b w:val="0"/>
          <w:bCs w:val="0"/>
          <w:i w:val="0"/>
          <w:iCs w:val="0"/>
          <w:caps w:val="0"/>
          <w:smallCaps w:val="0"/>
          <w:noProof w:val="0"/>
          <w:color w:val="CECAC3"/>
          <w:sz w:val="24"/>
          <w:szCs w:val="24"/>
          <w:lang w:val="en-GB"/>
        </w:rPr>
        <w:t xml:space="preserve">Geissdoerfer, M., Savaget, P., Bocken, N. M., &amp; Hultink, E. J. (2017). The Circular Economy—A new sustainability paradigm? Journal of Cleaner Production, 143, 757-768. Link: </w:t>
      </w:r>
      <w:hyperlink r:id="R1c18181734ee464b">
        <w:r w:rsidRPr="4F5C4939" w:rsidR="2C4B9176">
          <w:rPr>
            <w:rStyle w:val="Hyperlink"/>
            <w:rFonts w:ascii="Arial" w:hAnsi="Arial" w:eastAsia="Arial" w:cs="Arial"/>
            <w:b w:val="0"/>
            <w:bCs w:val="0"/>
            <w:i w:val="0"/>
            <w:iCs w:val="0"/>
            <w:caps w:val="0"/>
            <w:smallCaps w:val="0"/>
            <w:strike w:val="0"/>
            <w:dstrike w:val="0"/>
            <w:noProof w:val="0"/>
            <w:sz w:val="24"/>
            <w:szCs w:val="24"/>
            <w:lang w:val="en-GB"/>
          </w:rPr>
          <w:t>Read the article</w:t>
        </w:r>
      </w:hyperlink>
    </w:p>
    <w:p xmlns:wp14="http://schemas.microsoft.com/office/word/2010/wordml" w:rsidP="4F5C4939" w14:paraId="6B130D1A" wp14:textId="5F24E39D">
      <w:pPr>
        <w:pStyle w:val="ListParagraph"/>
        <w:numPr>
          <w:ilvl w:val="0"/>
          <w:numId w:val="1"/>
        </w:numPr>
        <w:spacing w:after="160" w:line="259" w:lineRule="auto"/>
        <w:jc w:val="left"/>
        <w:rPr>
          <w:rFonts w:ascii="Arial" w:hAnsi="Arial" w:eastAsia="Arial" w:cs="Arial"/>
          <w:b w:val="0"/>
          <w:bCs w:val="0"/>
          <w:i w:val="0"/>
          <w:iCs w:val="0"/>
          <w:caps w:val="0"/>
          <w:smallCaps w:val="0"/>
          <w:noProof w:val="0"/>
          <w:color w:val="CECAC3"/>
          <w:sz w:val="24"/>
          <w:szCs w:val="24"/>
          <w:lang w:val="en-GB"/>
        </w:rPr>
      </w:pPr>
      <w:r w:rsidRPr="4F5C4939" w:rsidR="2C4B9176">
        <w:rPr>
          <w:rFonts w:ascii="Arial" w:hAnsi="Arial" w:eastAsia="Arial" w:cs="Arial"/>
          <w:b w:val="0"/>
          <w:bCs w:val="0"/>
          <w:i w:val="0"/>
          <w:iCs w:val="0"/>
          <w:caps w:val="0"/>
          <w:smallCaps w:val="0"/>
          <w:noProof w:val="0"/>
          <w:color w:val="CECAC3"/>
          <w:sz w:val="24"/>
          <w:szCs w:val="24"/>
          <w:lang w:val="en-GB"/>
        </w:rPr>
        <w:t xml:space="preserve">Ghisellini, P., Cialani, C., &amp; Ulgiati, S. (2016). A review on circular economy: The expected transition to a balanced interplay of environmental and economic systems. Journal of Cleaner Production, 114, 11-32. Link: </w:t>
      </w:r>
      <w:hyperlink r:id="R14aeca1ba5304896">
        <w:r w:rsidRPr="4F5C4939" w:rsidR="2C4B9176">
          <w:rPr>
            <w:rStyle w:val="Hyperlink"/>
            <w:rFonts w:ascii="Arial" w:hAnsi="Arial" w:eastAsia="Arial" w:cs="Arial"/>
            <w:b w:val="0"/>
            <w:bCs w:val="0"/>
            <w:i w:val="0"/>
            <w:iCs w:val="0"/>
            <w:caps w:val="0"/>
            <w:smallCaps w:val="0"/>
            <w:strike w:val="0"/>
            <w:dstrike w:val="0"/>
            <w:noProof w:val="0"/>
            <w:sz w:val="24"/>
            <w:szCs w:val="24"/>
            <w:lang w:val="en-GB"/>
          </w:rPr>
          <w:t>Read the article</w:t>
        </w:r>
      </w:hyperlink>
    </w:p>
    <w:p xmlns:wp14="http://schemas.microsoft.com/office/word/2010/wordml" w:rsidP="4F5C4939" w14:paraId="7EB8E218" wp14:textId="2D36F105">
      <w:pPr>
        <w:pStyle w:val="ListParagraph"/>
        <w:numPr>
          <w:ilvl w:val="0"/>
          <w:numId w:val="1"/>
        </w:numPr>
        <w:spacing w:after="160" w:line="259" w:lineRule="auto"/>
        <w:jc w:val="left"/>
        <w:rPr>
          <w:rFonts w:ascii="Arial" w:hAnsi="Arial" w:eastAsia="Arial" w:cs="Arial"/>
          <w:b w:val="0"/>
          <w:bCs w:val="0"/>
          <w:i w:val="0"/>
          <w:iCs w:val="0"/>
          <w:caps w:val="0"/>
          <w:smallCaps w:val="0"/>
          <w:noProof w:val="0"/>
          <w:color w:val="CECAC3"/>
          <w:sz w:val="24"/>
          <w:szCs w:val="24"/>
          <w:lang w:val="en-GB"/>
        </w:rPr>
      </w:pPr>
      <w:r w:rsidRPr="4F5C4939" w:rsidR="2C4B9176">
        <w:rPr>
          <w:rFonts w:ascii="Arial" w:hAnsi="Arial" w:eastAsia="Arial" w:cs="Arial"/>
          <w:b w:val="0"/>
          <w:bCs w:val="0"/>
          <w:i w:val="0"/>
          <w:iCs w:val="0"/>
          <w:caps w:val="0"/>
          <w:smallCaps w:val="0"/>
          <w:noProof w:val="0"/>
          <w:color w:val="CECAC3"/>
          <w:sz w:val="24"/>
          <w:szCs w:val="24"/>
          <w:lang w:val="en-GB"/>
        </w:rPr>
        <w:t xml:space="preserve">Stahel, W. R. (2016). Circular economy. Nature, 531(7595), 435-438. Link: </w:t>
      </w:r>
      <w:hyperlink r:id="R92f115a53c574cfa">
        <w:r w:rsidRPr="4F5C4939" w:rsidR="2C4B9176">
          <w:rPr>
            <w:rStyle w:val="Hyperlink"/>
            <w:rFonts w:ascii="Arial" w:hAnsi="Arial" w:eastAsia="Arial" w:cs="Arial"/>
            <w:b w:val="0"/>
            <w:bCs w:val="0"/>
            <w:i w:val="0"/>
            <w:iCs w:val="0"/>
            <w:caps w:val="0"/>
            <w:smallCaps w:val="0"/>
            <w:strike w:val="0"/>
            <w:dstrike w:val="0"/>
            <w:noProof w:val="0"/>
            <w:sz w:val="24"/>
            <w:szCs w:val="24"/>
            <w:lang w:val="en-GB"/>
          </w:rPr>
          <w:t>Read the article</w:t>
        </w:r>
      </w:hyperlink>
    </w:p>
    <w:p xmlns:wp14="http://schemas.microsoft.com/office/word/2010/wordml" w:rsidP="4F5C4939" w14:paraId="55991ED6" wp14:textId="62CB5336">
      <w:pPr>
        <w:pStyle w:val="ListParagraph"/>
        <w:numPr>
          <w:ilvl w:val="0"/>
          <w:numId w:val="1"/>
        </w:numPr>
        <w:spacing w:after="160" w:line="259" w:lineRule="auto"/>
        <w:jc w:val="left"/>
        <w:rPr>
          <w:rFonts w:ascii="Arial" w:hAnsi="Arial" w:eastAsia="Arial" w:cs="Arial"/>
          <w:b w:val="0"/>
          <w:bCs w:val="0"/>
          <w:i w:val="0"/>
          <w:iCs w:val="0"/>
          <w:caps w:val="0"/>
          <w:smallCaps w:val="0"/>
          <w:noProof w:val="0"/>
          <w:color w:val="CECAC3"/>
          <w:sz w:val="24"/>
          <w:szCs w:val="24"/>
          <w:lang w:val="en-GB"/>
        </w:rPr>
      </w:pPr>
      <w:r w:rsidRPr="4F5C4939" w:rsidR="2C4B9176">
        <w:rPr>
          <w:rFonts w:ascii="Arial" w:hAnsi="Arial" w:eastAsia="Arial" w:cs="Arial"/>
          <w:b w:val="0"/>
          <w:bCs w:val="0"/>
          <w:i w:val="0"/>
          <w:iCs w:val="0"/>
          <w:caps w:val="0"/>
          <w:smallCaps w:val="0"/>
          <w:noProof w:val="0"/>
          <w:color w:val="CECAC3"/>
          <w:sz w:val="24"/>
          <w:szCs w:val="24"/>
          <w:lang w:val="en-GB"/>
        </w:rPr>
        <w:t xml:space="preserve">Tukker, A. (2015). Product services for a resource-efficient and circular economy–a review. Journal of Cleaner Production, 97, 76-91. Link: </w:t>
      </w:r>
      <w:hyperlink r:id="Rd32fefb12c6b49d6">
        <w:r w:rsidRPr="4F5C4939" w:rsidR="2C4B9176">
          <w:rPr>
            <w:rStyle w:val="Hyperlink"/>
            <w:rFonts w:ascii="Arial" w:hAnsi="Arial" w:eastAsia="Arial" w:cs="Arial"/>
            <w:b w:val="0"/>
            <w:bCs w:val="0"/>
            <w:i w:val="0"/>
            <w:iCs w:val="0"/>
            <w:caps w:val="0"/>
            <w:smallCaps w:val="0"/>
            <w:strike w:val="0"/>
            <w:dstrike w:val="0"/>
            <w:noProof w:val="0"/>
            <w:sz w:val="24"/>
            <w:szCs w:val="24"/>
            <w:lang w:val="en-GB"/>
          </w:rPr>
          <w:t>Read the article</w:t>
        </w:r>
      </w:hyperlink>
    </w:p>
    <w:p xmlns:wp14="http://schemas.microsoft.com/office/word/2010/wordml" w:rsidP="4F5C4939" w14:paraId="51AF5F7E" wp14:textId="74293C5C">
      <w:pPr>
        <w:spacing w:after="160" w:line="360" w:lineRule="auto"/>
        <w:jc w:val="left"/>
        <w:rPr>
          <w:rFonts w:ascii="Arial" w:hAnsi="Arial" w:eastAsia="Arial" w:cs="Arial"/>
          <w:b w:val="0"/>
          <w:bCs w:val="0"/>
          <w:i w:val="0"/>
          <w:iCs w:val="0"/>
          <w:caps w:val="0"/>
          <w:smallCaps w:val="0"/>
          <w:noProof w:val="0"/>
          <w:color w:val="E8E6E3"/>
          <w:sz w:val="48"/>
          <w:szCs w:val="48"/>
          <w:lang w:val="en-GB"/>
        </w:rPr>
      </w:pPr>
    </w:p>
    <w:p xmlns:wp14="http://schemas.microsoft.com/office/word/2010/wordml" w:rsidP="4F5C4939" w14:paraId="149070C3" wp14:textId="1FB2D24E">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p>
    <w:p xmlns:wp14="http://schemas.microsoft.com/office/word/2010/wordml" w:rsidP="4F5C4939" w14:paraId="34576AA7" wp14:textId="73549964">
      <w:pPr>
        <w:spacing w:after="160" w:line="259" w:lineRule="auto"/>
        <w:ind w:left="0"/>
        <w:rPr>
          <w:rFonts w:ascii="Calibri" w:hAnsi="Calibri" w:eastAsia="Calibri" w:cs="Calibri"/>
          <w:b w:val="0"/>
          <w:bCs w:val="0"/>
          <w:i w:val="0"/>
          <w:iCs w:val="0"/>
          <w:caps w:val="0"/>
          <w:smallCaps w:val="0"/>
          <w:noProof w:val="0"/>
          <w:color w:val="E8E6E3"/>
          <w:sz w:val="36"/>
          <w:szCs w:val="36"/>
          <w:lang w:val="en-GB"/>
        </w:rPr>
      </w:pPr>
    </w:p>
    <w:p xmlns:wp14="http://schemas.microsoft.com/office/word/2010/wordml" w:rsidP="4F5C4939" w14:paraId="2C078E63" wp14:textId="32397B2C">
      <w:pPr>
        <w:pStyle w:val="Normal"/>
        <w:numPr>
          <w:numId w:val="0"/>
        </w:num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5">
    <w:nsid w:val="4b514b77"/>
    <w:multiLevelType xmlns:w="http://schemas.openxmlformats.org/wordprocessingml/2006/main" w:val="hybrid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c559a20"/>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f2ec917"/>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9e891fe"/>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99eee6a"/>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3F5BFB"/>
    <w:rsid w:val="183F5BFB"/>
    <w:rsid w:val="2C4B9176"/>
    <w:rsid w:val="4F5C49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F5BFB"/>
  <w15:chartTrackingRefBased/>
  <w15:docId w15:val="{94330FDC-3EA1-4C15-8886-A47D9E6E5CA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SubtitleChar" w:customStyle="1" mc:Ignorable="w14">
    <w:name xmlns:w="http://schemas.openxmlformats.org/wordprocessingml/2006/main" w:val="Subtitle Char"/>
    <w:basedOn xmlns:w="http://schemas.openxmlformats.org/wordprocessingml/2006/main" w:val="DefaultParagraphFont"/>
    <w:link xmlns:w="http://schemas.openxmlformats.org/wordprocessingml/2006/main" w:val="Subtitle"/>
    <w:uiPriority xmlns:w="http://schemas.openxmlformats.org/wordprocessingml/2006/main" w:val="11"/>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paragraph" w:styleId="Subtitle" mc:Ignorable="w14">
    <w:name xmlns:w="http://schemas.openxmlformats.org/wordprocessingml/2006/main" w:val="Subtitle"/>
    <w:basedOn xmlns:w="http://schemas.openxmlformats.org/wordprocessingml/2006/main" w:val="Normal"/>
    <w:next xmlns:w="http://schemas.openxmlformats.org/wordprocessingml/2006/main" w:val="Normal"/>
    <w:link xmlns:w="http://schemas.openxmlformats.org/wordprocessingml/2006/main" w:val="SubtitleChar"/>
    <w:uiPriority xmlns:w="http://schemas.openxmlformats.org/wordprocessingml/2006/main" w:val="11"/>
    <w:qFormat xmlns:w="http://schemas.openxmlformats.org/wordprocessingml/2006/main"/>
    <w:pPr xmlns:w="http://schemas.openxmlformats.org/wordprocessingml/2006/main">
      <w:numPr xmlns:w="http://schemas.openxmlformats.org/wordprocessingml/2006/main">
        <w:ilvl w:val="1"/>
      </w:numPr>
    </w:pPr>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next.canvanizer.com/canvas/rUVzSsVyi4uDV" TargetMode="External" Id="R12408c6294804565" /><Relationship Type="http://schemas.openxmlformats.org/officeDocument/2006/relationships/hyperlink" Target="https://next.canvanizer.com/canvas/wL1Nnp3qZtVUW" TargetMode="External" Id="Re61c7478a7ff4674" /><Relationship Type="http://schemas.openxmlformats.org/officeDocument/2006/relationships/hyperlink" Target="https://www.sciencedirect.com/science/article/pii/S0959652613005610" TargetMode="External" Id="R4a596263f66d4a03" /><Relationship Type="http://schemas.openxmlformats.org/officeDocument/2006/relationships/hyperlink" Target="https://www.sciencedirect.com/science/article/pii/S0959652616310292" TargetMode="External" Id="R1c18181734ee464b" /><Relationship Type="http://schemas.openxmlformats.org/officeDocument/2006/relationships/hyperlink" Target="https://www.sciencedirect.com/science/article/pii/S0959652615012109" TargetMode="External" Id="R14aeca1ba5304896" /><Relationship Type="http://schemas.openxmlformats.org/officeDocument/2006/relationships/hyperlink" Target="https://www.nature.com/articles/531435a" TargetMode="External" Id="R92f115a53c574cfa" /><Relationship Type="http://schemas.openxmlformats.org/officeDocument/2006/relationships/hyperlink" Target="https://www.sciencedirect.com/science/article/pii/S0959652614003508" TargetMode="External" Id="Rd32fefb12c6b49d6" /><Relationship Type="http://schemas.openxmlformats.org/officeDocument/2006/relationships/numbering" Target="numbering.xml" Id="R35c3630fd60e453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2023-05-17T21:36:54.9016482Z</dcterms:created>
  <dcterms:modified xsi:type="dcterms:W3CDTF">2023-05-17T21:37:35.7691329Z</dcterms:modified>
  <dc:creator>Ali Yasin (2114939)</dc:creator>
  <lastModifiedBy>Ali Yasin (2114939)</lastModifiedBy>
</coreProperties>
</file>