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DDF19" w14:textId="77777777" w:rsidR="00181CF8" w:rsidRDefault="00181CF8" w:rsidP="00181CF8">
      <w:pPr>
        <w:pStyle w:val="paragraph"/>
        <w:spacing w:before="0" w:beforeAutospacing="0" w:after="0" w:afterAutospacing="0"/>
        <w:textAlignment w:val="baseline"/>
        <w:rPr>
          <w:rFonts w:ascii="Arial Nova" w:hAnsi="Arial Nova"/>
        </w:rPr>
      </w:pPr>
      <w:bookmarkStart w:id="0" w:name="_heading=h.tpphhb2fw9hz" w:colFirst="0" w:colLast="0"/>
      <w:bookmarkStart w:id="1" w:name="_Toc210435940"/>
      <w:bookmarkEnd w:id="0"/>
      <w:r>
        <w:rPr>
          <w:rStyle w:val="normaltextrun"/>
          <w:rFonts w:ascii="Arial Nova" w:eastAsiaTheme="majorEastAsia" w:hAnsi="Arial Nova"/>
        </w:rPr>
        <w:t>Name: Mercy Asare</w:t>
      </w:r>
      <w:r>
        <w:rPr>
          <w:rStyle w:val="eop"/>
          <w:rFonts w:ascii="Arial Nova" w:eastAsiaTheme="majorEastAsia" w:hAnsi="Arial Nova"/>
        </w:rPr>
        <w:t> </w:t>
      </w:r>
    </w:p>
    <w:p w14:paraId="44D497BA" w14:textId="77777777" w:rsidR="00181CF8" w:rsidRDefault="00181CF8" w:rsidP="00181CF8">
      <w:pPr>
        <w:pStyle w:val="paragraph"/>
        <w:numPr>
          <w:ilvl w:val="0"/>
          <w:numId w:val="2"/>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ID:2330846</w:t>
      </w:r>
      <w:r>
        <w:rPr>
          <w:rStyle w:val="eop"/>
          <w:rFonts w:ascii="Arial Nova" w:eastAsiaTheme="majorEastAsia" w:hAnsi="Arial Nova"/>
        </w:rPr>
        <w:t> </w:t>
      </w:r>
    </w:p>
    <w:p w14:paraId="2ACD85A6" w14:textId="7EBD57DD" w:rsidR="00181CF8" w:rsidRDefault="00181CF8" w:rsidP="00181CF8">
      <w:pPr>
        <w:pStyle w:val="paragraph"/>
        <w:numPr>
          <w:ilvl w:val="0"/>
          <w:numId w:val="3"/>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Module: BMHP50</w:t>
      </w:r>
      <w:r>
        <w:rPr>
          <w:rStyle w:val="normaltextrun"/>
          <w:rFonts w:ascii="Arial Nova" w:eastAsiaTheme="majorEastAsia" w:hAnsi="Arial Nova"/>
        </w:rPr>
        <w:t>23</w:t>
      </w:r>
    </w:p>
    <w:p w14:paraId="298D0B4C" w14:textId="0A6805FD" w:rsidR="00181CF8" w:rsidRDefault="00181CF8" w:rsidP="00181CF8">
      <w:pPr>
        <w:pStyle w:val="paragraph"/>
        <w:numPr>
          <w:ilvl w:val="0"/>
          <w:numId w:val="4"/>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 xml:space="preserve">Module Title: </w:t>
      </w:r>
      <w:r>
        <w:rPr>
          <w:rStyle w:val="normaltextrun"/>
          <w:rFonts w:ascii="Arial Nova" w:eastAsiaTheme="majorEastAsia" w:hAnsi="Arial Nova"/>
        </w:rPr>
        <w:t>Introducing to Physiology</w:t>
      </w:r>
    </w:p>
    <w:p w14:paraId="22F71BDB" w14:textId="4EDD0EA9" w:rsidR="00181CF8" w:rsidRPr="00181CF8" w:rsidRDefault="00181CF8" w:rsidP="00181CF8">
      <w:pPr>
        <w:pStyle w:val="paragraph"/>
        <w:numPr>
          <w:ilvl w:val="0"/>
          <w:numId w:val="5"/>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L</w:t>
      </w:r>
      <w:r w:rsidRPr="00181CF8">
        <w:rPr>
          <w:rStyle w:val="normaltextrun"/>
          <w:rFonts w:ascii="Arial Nova" w:eastAsiaTheme="majorEastAsia" w:hAnsi="Arial Nova"/>
        </w:rPr>
        <w:t>ectur</w:t>
      </w:r>
      <w:r>
        <w:rPr>
          <w:rStyle w:val="normaltextrun"/>
          <w:rFonts w:ascii="Arial Nova" w:eastAsiaTheme="majorEastAsia" w:hAnsi="Arial Nova"/>
        </w:rPr>
        <w:t>e</w:t>
      </w:r>
      <w:r w:rsidRPr="00181CF8">
        <w:rPr>
          <w:rStyle w:val="normaltextrun"/>
          <w:rFonts w:ascii="Arial Nova" w:eastAsiaTheme="majorEastAsia" w:hAnsi="Arial Nova"/>
        </w:rPr>
        <w:t xml:space="preserve">: </w:t>
      </w:r>
      <w:r w:rsidRPr="00181CF8">
        <w:rPr>
          <w:rFonts w:ascii="Arial Nova" w:hAnsi="Arial Nova"/>
          <w:i/>
          <w:iCs/>
          <w:color w:val="242130"/>
          <w:u w:val="single"/>
          <w:shd w:val="clear" w:color="auto" w:fill="FFFFFF"/>
        </w:rPr>
        <w:t>Gillian Weaver</w:t>
      </w:r>
    </w:p>
    <w:p w14:paraId="7CF471B4" w14:textId="7853A339" w:rsidR="00181CF8" w:rsidRPr="00181CF8" w:rsidRDefault="00181CF8" w:rsidP="00181CF8">
      <w:pPr>
        <w:pStyle w:val="paragraph"/>
        <w:numPr>
          <w:ilvl w:val="0"/>
          <w:numId w:val="5"/>
        </w:numPr>
        <w:spacing w:before="0" w:beforeAutospacing="0" w:after="0" w:afterAutospacing="0"/>
        <w:ind w:left="1080" w:firstLine="0"/>
        <w:textAlignment w:val="baseline"/>
        <w:rPr>
          <w:rFonts w:ascii="Arial Nova" w:hAnsi="Arial Nova"/>
        </w:rPr>
      </w:pPr>
      <w:r w:rsidRPr="00181CF8">
        <w:rPr>
          <w:rStyle w:val="normaltextrun"/>
          <w:rFonts w:ascii="Arial Nova" w:eastAsiaTheme="majorEastAsia" w:hAnsi="Arial Nova"/>
        </w:rPr>
        <w:t xml:space="preserve">Date: </w:t>
      </w:r>
      <w:r w:rsidRPr="00181CF8">
        <w:rPr>
          <w:rStyle w:val="normaltextrun"/>
          <w:rFonts w:ascii="Arial Nova" w:eastAsiaTheme="majorEastAsia" w:hAnsi="Arial Nova"/>
        </w:rPr>
        <w:t>10</w:t>
      </w:r>
      <w:r w:rsidRPr="00181CF8">
        <w:rPr>
          <w:rStyle w:val="normaltextrun"/>
          <w:rFonts w:ascii="Arial Nova" w:eastAsiaTheme="majorEastAsia" w:hAnsi="Arial Nova"/>
        </w:rPr>
        <w:t>-1</w:t>
      </w:r>
      <w:r w:rsidRPr="00181CF8">
        <w:rPr>
          <w:rStyle w:val="normaltextrun"/>
          <w:rFonts w:ascii="Arial Nova" w:eastAsiaTheme="majorEastAsia" w:hAnsi="Arial Nova"/>
        </w:rPr>
        <w:t>1</w:t>
      </w:r>
      <w:r w:rsidRPr="00181CF8">
        <w:rPr>
          <w:rStyle w:val="normaltextrun"/>
          <w:rFonts w:ascii="Arial Nova" w:eastAsiaTheme="majorEastAsia" w:hAnsi="Arial Nova"/>
        </w:rPr>
        <w:t>-2025</w:t>
      </w:r>
      <w:r w:rsidRPr="00181CF8">
        <w:rPr>
          <w:rStyle w:val="eop"/>
          <w:rFonts w:ascii="Arial Nova" w:eastAsiaTheme="majorEastAsia" w:hAnsi="Arial Nova"/>
        </w:rPr>
        <w:t> </w:t>
      </w:r>
    </w:p>
    <w:p w14:paraId="48BAFBBA" w14:textId="77777777" w:rsidR="00181CF8" w:rsidRDefault="00181CF8" w:rsidP="00181CF8">
      <w:pPr>
        <w:rPr>
          <w:b/>
        </w:rPr>
      </w:pPr>
    </w:p>
    <w:p w14:paraId="69318E77" w14:textId="77777777" w:rsidR="00181CF8" w:rsidRDefault="00181CF8" w:rsidP="00181CF8">
      <w:pPr>
        <w:rPr>
          <w:b/>
          <w:bCs/>
          <w:sz w:val="28"/>
          <w:szCs w:val="28"/>
          <w:u w:val="single"/>
        </w:rPr>
      </w:pPr>
    </w:p>
    <w:p w14:paraId="5F98C4F6" w14:textId="3ADA7119" w:rsidR="004D1A3E" w:rsidRPr="00181CF8" w:rsidRDefault="00E31738" w:rsidP="00181CF8">
      <w:pPr>
        <w:rPr>
          <w:b/>
          <w:sz w:val="32"/>
          <w:szCs w:val="32"/>
        </w:rPr>
      </w:pPr>
      <w:r w:rsidRPr="00E31738">
        <w:rPr>
          <w:b/>
          <w:bCs/>
          <w:sz w:val="28"/>
          <w:szCs w:val="28"/>
          <w:u w:val="single"/>
        </w:rPr>
        <w:t>Case Study 1</w:t>
      </w:r>
      <w:bookmarkEnd w:id="1"/>
    </w:p>
    <w:p w14:paraId="02C8ECDC" w14:textId="77777777" w:rsidR="004D1A3E" w:rsidRDefault="00C3420A">
      <w:pPr>
        <w:pStyle w:val="Heading1"/>
      </w:pPr>
      <w:bookmarkStart w:id="2" w:name="_Toc210435941"/>
      <w:r>
        <w:t>Introduction</w:t>
      </w:r>
      <w:bookmarkEnd w:id="2"/>
    </w:p>
    <w:p w14:paraId="71335F14" w14:textId="3CDD2CAF" w:rsidR="004D1A3E" w:rsidRDefault="00C3420A">
      <w:r>
        <w:t>The growing global health threat is interconnected to unhealthy diets, urbanisation and sedentary lifestyles. The number of people with this scenario is projected to proliferate significantly by the end of 2045. According to idf.org (2025), type 2 diabetes impacted 589 million adults throughout the world in 2024. However, according to the study of who.int (2025)</w:t>
      </w:r>
      <w:r w:rsidR="00F54C62">
        <w:t>,</w:t>
      </w:r>
      <w:r>
        <w:t xml:space="preserve"> and other global health study reports, diabetes is now a serious and increasing chronic metabolic disease, persistent hyperglycaemia caused by insulin deficiency or resistance. This can lead to severe damage to the blood vessels, heart, nerves, and kidneys over time</w:t>
      </w:r>
      <w:r w:rsidR="00DC46EB">
        <w:t>.</w:t>
      </w:r>
    </w:p>
    <w:p w14:paraId="5AD37415" w14:textId="77777777" w:rsidR="004D1A3E" w:rsidRDefault="00C3420A">
      <w:r>
        <w:t>According to the report of heart.org (2025), a few diabetes risk factors can be managed by healthy lifestyle choices. The report has described that within the non-modifiable risk factors, family history, age and gestational diabetes are included. On the other hand, weight, physical activity, blood pressure and smoking are indicated to be modifiable risk factors.</w:t>
      </w:r>
    </w:p>
    <w:p w14:paraId="7D193719" w14:textId="5CD6E14D" w:rsidR="004D1A3E" w:rsidRDefault="00C3420A">
      <w:r>
        <w:t xml:space="preserve">From the study of Alam </w:t>
      </w:r>
      <w:r>
        <w:rPr>
          <w:i/>
        </w:rPr>
        <w:t xml:space="preserve">et al. </w:t>
      </w:r>
      <w:r>
        <w:t>(2021), it proclaims that atmosphere, genetics, lack of physical exercise, sedentary way of life, consumption of alcoholic beverages, dyslipidaemia, smoking, hyperinsulinemia, decreased β-cell sensitivity, and acceleration of glucagon activity are considered the primary risk elements for prediabetes. Moreover, hypertriglyceridemia means that within the blood there is a significant presence of triglycerides (fats)</w:t>
      </w:r>
      <w:r w:rsidR="00F54C62">
        <w:t xml:space="preserve"> and intensifies the chances of pre occurrence of Diabetes</w:t>
      </w:r>
      <w:r>
        <w:t>. It notably raises the threat of atherosclerosis and related heart disease.</w:t>
      </w:r>
    </w:p>
    <w:p w14:paraId="4B63A262" w14:textId="77777777" w:rsidR="004D1A3E" w:rsidRDefault="00C3420A">
      <w:pPr>
        <w:jc w:val="center"/>
      </w:pPr>
      <w:r>
        <w:rPr>
          <w:noProof/>
        </w:rPr>
        <w:lastRenderedPageBreak/>
        <w:drawing>
          <wp:inline distT="114300" distB="114300" distL="114300" distR="114300" wp14:anchorId="61D63B5C" wp14:editId="72B03028">
            <wp:extent cx="5016338" cy="2876432"/>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13867"/>
                    <a:stretch>
                      <a:fillRect/>
                    </a:stretch>
                  </pic:blipFill>
                  <pic:spPr>
                    <a:xfrm>
                      <a:off x="0" y="0"/>
                      <a:ext cx="5016338" cy="2876432"/>
                    </a:xfrm>
                    <a:prstGeom prst="rect">
                      <a:avLst/>
                    </a:prstGeom>
                    <a:ln w="12700">
                      <a:solidFill>
                        <a:srgbClr val="000000"/>
                      </a:solidFill>
                      <a:prstDash val="solid"/>
                    </a:ln>
                  </pic:spPr>
                </pic:pic>
              </a:graphicData>
            </a:graphic>
          </wp:inline>
        </w:drawing>
      </w:r>
    </w:p>
    <w:p w14:paraId="48595D72" w14:textId="77777777" w:rsidR="004D1A3E" w:rsidRDefault="00C3420A">
      <w:pPr>
        <w:jc w:val="center"/>
        <w:rPr>
          <w:b/>
        </w:rPr>
      </w:pPr>
      <w:r>
        <w:rPr>
          <w:b/>
        </w:rPr>
        <w:t>Figure 1: Cost of NHS for Type 2 Diabetes in UK</w:t>
      </w:r>
    </w:p>
    <w:p w14:paraId="2762C212" w14:textId="77777777" w:rsidR="004D1A3E" w:rsidRDefault="00C3420A">
      <w:pPr>
        <w:jc w:val="center"/>
      </w:pPr>
      <w:r>
        <w:rPr>
          <w:b/>
        </w:rPr>
        <w:t>(Source: gov.uk, 2025)</w:t>
      </w:r>
    </w:p>
    <w:p w14:paraId="12BBF659" w14:textId="35961888" w:rsidR="004D1A3E" w:rsidRDefault="00C3420A">
      <w:r>
        <w:t>Furthermore, the report has proclaimed that 10- and 14-year-old adolescents and children with T2D may start to experience weight and body shape issues at an earlier stage. It states that, due to the risks of witnessing the growing level of T2D among the children</w:t>
      </w:r>
      <w:r w:rsidR="00F54C62">
        <w:t xml:space="preserve"> cited the vulnerability </w:t>
      </w:r>
      <w:r w:rsidR="00F64EBB">
        <w:t>of early</w:t>
      </w:r>
      <w:r w:rsidR="00F54C62">
        <w:t xml:space="preserve"> stage or pre diabetes which required to reduce the prevalence by healthy diet and lifestyle</w:t>
      </w:r>
      <w:r>
        <w:t xml:space="preserve">. </w:t>
      </w:r>
    </w:p>
    <w:p w14:paraId="4FE66496" w14:textId="77777777" w:rsidR="004D1A3E" w:rsidRDefault="00C3420A">
      <w:pPr>
        <w:jc w:val="center"/>
      </w:pPr>
      <w:r>
        <w:rPr>
          <w:noProof/>
        </w:rPr>
        <w:drawing>
          <wp:inline distT="114300" distB="114300" distL="114300" distR="114300" wp14:anchorId="6C345269" wp14:editId="2E4A64EE">
            <wp:extent cx="5367338" cy="310271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13323"/>
                    <a:stretch>
                      <a:fillRect/>
                    </a:stretch>
                  </pic:blipFill>
                  <pic:spPr>
                    <a:xfrm>
                      <a:off x="0" y="0"/>
                      <a:ext cx="5367338" cy="3102713"/>
                    </a:xfrm>
                    <a:prstGeom prst="rect">
                      <a:avLst/>
                    </a:prstGeom>
                    <a:ln/>
                  </pic:spPr>
                </pic:pic>
              </a:graphicData>
            </a:graphic>
          </wp:inline>
        </w:drawing>
      </w:r>
    </w:p>
    <w:p w14:paraId="54ADA76E" w14:textId="77777777" w:rsidR="004D1A3E" w:rsidRDefault="00C3420A">
      <w:pPr>
        <w:jc w:val="center"/>
        <w:rPr>
          <w:b/>
        </w:rPr>
      </w:pPr>
      <w:r>
        <w:rPr>
          <w:b/>
        </w:rPr>
        <w:t>Figure 2: Problem scale in UK</w:t>
      </w:r>
    </w:p>
    <w:p w14:paraId="24FD181B" w14:textId="77777777" w:rsidR="004D1A3E" w:rsidRDefault="00C3420A">
      <w:pPr>
        <w:jc w:val="center"/>
        <w:rPr>
          <w:b/>
        </w:rPr>
      </w:pPr>
      <w:r>
        <w:rPr>
          <w:b/>
        </w:rPr>
        <w:t>(Source: gov.uk, 2025)</w:t>
      </w:r>
    </w:p>
    <w:p w14:paraId="1C9281ED" w14:textId="77777777" w:rsidR="004D1A3E" w:rsidRDefault="00C3420A">
      <w:pPr>
        <w:pStyle w:val="Heading1"/>
      </w:pPr>
      <w:bookmarkStart w:id="3" w:name="_Toc210435942"/>
      <w:r>
        <w:lastRenderedPageBreak/>
        <w:t>Factors Influencing Blood Sugar</w:t>
      </w:r>
      <w:bookmarkEnd w:id="3"/>
    </w:p>
    <w:p w14:paraId="3B8F2AD4" w14:textId="77777777" w:rsidR="004D1A3E" w:rsidRDefault="00C3420A">
      <w:r>
        <w:t xml:space="preserve">According to bhf.org.uk (2025), glucose is often called blood sugar while the sugar is integrating in the blood. Generally, an individual gets glucose from the food and drinks they consume daily. If the body does not have effective insulin to proactively control the sugar from the daily consumption, the sugar stays in the bloodstream. As a result, if someone has insulin resistance, the body will fail to respond to insulin properly. The scenario is called hyperglucagonemia, which leads to an excessive level of glucose production by the liver. As a result, the significant hyperglycaemia that indicates the disease. It particularly leads to health problems such as kidney disease, coronary heart disease and diabetic eye disease. </w:t>
      </w:r>
    </w:p>
    <w:p w14:paraId="7E6AD6A9" w14:textId="77777777" w:rsidR="004D1A3E" w:rsidRDefault="00C3420A">
      <w:pPr>
        <w:rPr>
          <w:shd w:val="clear" w:color="auto" w:fill="FFE599"/>
        </w:rPr>
      </w:pPr>
      <w:r>
        <w:t xml:space="preserve">The body maintains effective and safe blood sugar (glucose) levels through the help of a complicated feedback loop which is centred on the major two pancreatic hormones. It includes glucagon and insulin. </w:t>
      </w:r>
    </w:p>
    <w:p w14:paraId="63BA14D1" w14:textId="77777777" w:rsidR="004D1A3E" w:rsidRDefault="00C3420A">
      <w:pPr>
        <w:rPr>
          <w:b/>
        </w:rPr>
      </w:pPr>
      <w:r>
        <w:rPr>
          <w:b/>
        </w:rPr>
        <w:t>When blood sugar rises (after a meal)</w:t>
      </w:r>
    </w:p>
    <w:p w14:paraId="74BD86D7" w14:textId="77777777" w:rsidR="004D1A3E" w:rsidRDefault="00C3420A">
      <w:r>
        <w:t xml:space="preserve">According to Rohani </w:t>
      </w:r>
      <w:r>
        <w:rPr>
          <w:i/>
        </w:rPr>
        <w:t>et al.</w:t>
      </w:r>
      <w:r>
        <w:t xml:space="preserve"> (2024), the opposing actions of glucagon and insulin, which are secreted by the pancreas, are considered the primary mechanism for regulating blood glucose. As a stimulus, while an individual has completed the meal, the carbohydrates are digested and further broken down into glucose and automatically enter the bloodstream. In terms of detection, beta cells in the pancreas automatically detect the significant growth in blood glucose and release insulin. As of its response, it has identified that insulin mainly acts as a key, effectively instructing cells in the muscles, liver, and fat tissue in order to absorb glucose from the blood to use for energy in a body. Additionally, the muscles and liver simultaneously store the excess glucose through the process of glycogenesis. At the end, fat cells mainly absorb the glucose and convert it into the lipids for a longer time. Resulting in the blood sugar level automatically decreasing and returning to a stable situation. </w:t>
      </w:r>
    </w:p>
    <w:p w14:paraId="25EADC0B" w14:textId="77777777" w:rsidR="004D1A3E" w:rsidRDefault="00C3420A">
      <w:pPr>
        <w:rPr>
          <w:b/>
        </w:rPr>
      </w:pPr>
      <w:r>
        <w:rPr>
          <w:b/>
        </w:rPr>
        <w:t>When blood sugar falls (during fasting)</w:t>
      </w:r>
    </w:p>
    <w:p w14:paraId="3E08683D" w14:textId="77777777" w:rsidR="004D1A3E" w:rsidRDefault="00C3420A">
      <w:r>
        <w:t xml:space="preserve">In this specific situation, as a stimulus, sometimes in the body it has identified that blood glucose levels decrease below the average range. Now, alpha cells in the pancreas automatically detect that significant decrease and release the hormone glucagon. In response, the dispatched glucagon signals the liver to transform the preserved glycogen back into the glucose and release that glucose into the bloodstream. This entire process is mainly denoted by glycogenolysis (Durai </w:t>
      </w:r>
      <w:r>
        <w:rPr>
          <w:i/>
        </w:rPr>
        <w:t xml:space="preserve">et al., </w:t>
      </w:r>
      <w:r>
        <w:t xml:space="preserve">2021). Additionally, during the prolonged fasting, the liver can further generate new glucose from the other substances, such as fatty acids and amino acids. The process is recognised as gluconeogenesis. As a result, the levels of blood sugar </w:t>
      </w:r>
      <w:r>
        <w:lastRenderedPageBreak/>
        <w:t>significantly increase and further return to the normal range. This proactively ensures a constant supply of energy for the brain and other tissues of blood vessels.</w:t>
      </w:r>
    </w:p>
    <w:p w14:paraId="6393C89F" w14:textId="77777777" w:rsidR="004D1A3E" w:rsidRDefault="00C3420A">
      <w:pPr>
        <w:pStyle w:val="Heading1"/>
      </w:pPr>
      <w:bookmarkStart w:id="4" w:name="_Toc210435943"/>
      <w:r>
        <w:t>The Process of Cellular Respiration</w:t>
      </w:r>
      <w:bookmarkEnd w:id="4"/>
    </w:p>
    <w:p w14:paraId="37845B25" w14:textId="77777777" w:rsidR="004D1A3E" w:rsidRDefault="00C3420A">
      <w:r>
        <w:t xml:space="preserve">This area of this study is going to showcase that through a process called cellular respiration, glucose and oxygen are used to create adenosine triphosphate (ATP). ATP is considered the primary energy source of the cell. According to the opinion of Biro (2022), the entire process involves a series of metabolic processes – ‘glycolysis, the Krebs cycle, and oxidative phosphorylation’ – that also extract the energy from the glucose and preserve it in the ATP molecules. </w:t>
      </w:r>
    </w:p>
    <w:p w14:paraId="6BA97D0B" w14:textId="77777777" w:rsidR="004D1A3E" w:rsidRDefault="00C3420A">
      <w:r>
        <w:rPr>
          <w:b/>
          <w:i/>
        </w:rPr>
        <w:t>Overarching aerobic pathway</w:t>
      </w:r>
      <w:r>
        <w:t>: C</w:t>
      </w:r>
      <w:r>
        <w:rPr>
          <w:vertAlign w:val="subscript"/>
        </w:rPr>
        <w:t>6</w:t>
      </w:r>
      <w:r>
        <w:t>H</w:t>
      </w:r>
      <w:r>
        <w:rPr>
          <w:vertAlign w:val="subscript"/>
        </w:rPr>
        <w:t>12</w:t>
      </w:r>
      <w:r>
        <w:t>O</w:t>
      </w:r>
      <w:r>
        <w:rPr>
          <w:vertAlign w:val="subscript"/>
        </w:rPr>
        <w:t>6</w:t>
      </w:r>
      <w:r>
        <w:t xml:space="preserve"> + 6O</w:t>
      </w:r>
      <w:r>
        <w:rPr>
          <w:vertAlign w:val="subscript"/>
        </w:rPr>
        <w:t>2</w:t>
      </w:r>
      <w:sdt>
        <w:sdtPr>
          <w:tag w:val="goog_rdk_0"/>
          <w:id w:val="1621448155"/>
        </w:sdtPr>
        <w:sdtContent>
          <w:r>
            <w:rPr>
              <w:rFonts w:ascii="Cardo" w:eastAsia="Cardo" w:hAnsi="Cardo" w:cs="Cardo"/>
            </w:rPr>
            <w:t xml:space="preserve"> → 6CO</w:t>
          </w:r>
        </w:sdtContent>
      </w:sdt>
      <w:r>
        <w:rPr>
          <w:vertAlign w:val="subscript"/>
        </w:rPr>
        <w:t>2</w:t>
      </w:r>
      <w:r>
        <w:t xml:space="preserve"> + 6H</w:t>
      </w:r>
      <w:r>
        <w:rPr>
          <w:vertAlign w:val="subscript"/>
        </w:rPr>
        <w:t>2</w:t>
      </w:r>
      <w:r>
        <w:t>O + Energy (as ATP)</w:t>
      </w:r>
    </w:p>
    <w:p w14:paraId="602F10B2" w14:textId="77777777" w:rsidR="004D1A3E" w:rsidRDefault="00C3420A">
      <w:pPr>
        <w:rPr>
          <w:b/>
        </w:rPr>
      </w:pPr>
      <w:r>
        <w:rPr>
          <w:b/>
        </w:rPr>
        <w:t>Glycolysis</w:t>
      </w:r>
    </w:p>
    <w:p w14:paraId="08A066B1" w14:textId="519B5537" w:rsidR="004D1A3E" w:rsidRDefault="00C3420A">
      <w:r>
        <w:t>As for its location, glycolysis mainly occurs in the cytoplasm. While it comes to its process, the data from Traut (2025)</w:t>
      </w:r>
      <w:r w:rsidR="00F54C62">
        <w:t>,</w:t>
      </w:r>
      <w:r>
        <w:t xml:space="preserve"> clearly shows that one molecule of glucose (a 6-carbon sugar) is divided into two molecules of pyruvate, which is also a 3-carbon compound. The entire process can occur with or without the presence of oxygen. As for its energy yield, an overall gain of 2 NADH molecules and 2 ATP molecules (Frayn, 2022). </w:t>
      </w:r>
    </w:p>
    <w:p w14:paraId="0C90489B" w14:textId="77777777" w:rsidR="004D1A3E" w:rsidRDefault="00C3420A">
      <w:pPr>
        <w:rPr>
          <w:b/>
        </w:rPr>
      </w:pPr>
      <w:r>
        <w:rPr>
          <w:b/>
        </w:rPr>
        <w:t>The Krebs cycle (Citric Acid Cycle)</w:t>
      </w:r>
    </w:p>
    <w:p w14:paraId="163E0D8C" w14:textId="77777777" w:rsidR="004D1A3E" w:rsidRDefault="00C3420A">
      <w:r>
        <w:t>Its actual location is in the mitochondrial matrix. During its processing, if oxygen is present, pyruvate, which has a protective role, is converted into acetyl-CoA. After that, it enters the Krebs cycle. Additionally, the acetyl-CoA is oxidised, and due to that, it produces CO₂ and decreases high-energy electron carriers (Namari, 2024). Furthermore, in terms of its energy yield, from the glucose molecule that specifically yields two turns of the cycle, the cycle of Krebs generates 2 ATP (or GTP) and 6 NADH, along with 2 FADH₂.</w:t>
      </w:r>
    </w:p>
    <w:p w14:paraId="659A5FEA" w14:textId="77777777" w:rsidR="004D1A3E" w:rsidRDefault="00C3420A">
      <w:pPr>
        <w:rPr>
          <w:b/>
        </w:rPr>
      </w:pPr>
      <w:r>
        <w:rPr>
          <w:b/>
        </w:rPr>
        <w:t>Oxidative phosphorylation and the electron transport chain (ETC)</w:t>
      </w:r>
    </w:p>
    <w:p w14:paraId="6E5E8CB7" w14:textId="4F20EF3A" w:rsidR="004D1A3E" w:rsidRDefault="00C3420A">
      <w:r>
        <w:t xml:space="preserve">This occurs specifically in the inner mitochondrial membrane. Focusing on its process, this stage utilises the high-energy electrons that are significantly stored in the FADH₂ and NADH, especially from the previous steps. However, these specific electrons are fully transferred through a series of protein complexes (the ETC). Additionally, the entire energy released is being utilised for pumping protons throughout the membrane. Furthermore, it ultimately creates a proton gradient that powers the noteworthy enzyme ATP synthase for converting ADP to ATP (Yadav, Yadav, and Yadav, 2021). Here, the oxygen acts as the last electron acceptor, which integrates with protons and electrons in order to form water. </w:t>
      </w:r>
    </w:p>
    <w:p w14:paraId="3C493A39" w14:textId="7ECD74B9" w:rsidR="004D1A3E" w:rsidRDefault="00C3420A">
      <w:r>
        <w:lastRenderedPageBreak/>
        <w:t>Finally, as for its energy yield, the entire process generates the vast majority of the cell’s ATP. Approximately this is the projection for the genuine yield, which is typically 26–28 ATP per glucose molecule.</w:t>
      </w:r>
    </w:p>
    <w:p w14:paraId="604B6C5B" w14:textId="77777777" w:rsidR="004D1A3E" w:rsidRDefault="00C3420A">
      <w:r>
        <w:t>While it connects to diabetes, glycosylation of DNA can foster mutations. The conversion of glycogen and explanation of glycogen synthesis back to glucose are stimulated by the hormones precisely. Here, glucose is preserved as glycogen for minimising the water necessary to disintegrate several individual glucose molecules.</w:t>
      </w:r>
    </w:p>
    <w:p w14:paraId="4888BC1F" w14:textId="77777777" w:rsidR="004D1A3E" w:rsidRDefault="00C3420A">
      <w:pPr>
        <w:pStyle w:val="Heading1"/>
      </w:pPr>
      <w:bookmarkStart w:id="5" w:name="_Toc210435944"/>
      <w:r>
        <w:t>Blood Glucose Monitoring and Tracking</w:t>
      </w:r>
      <w:bookmarkEnd w:id="5"/>
    </w:p>
    <w:p w14:paraId="40A5BBAA" w14:textId="77777777" w:rsidR="004D1A3E" w:rsidRDefault="00C3420A">
      <w:r>
        <w:t xml:space="preserve">For the individuals with type 2 diabetes, frequently tracking and recording blood sugar level is generally considered a foundational practice for effective and safe management. Frequently monitoring the level of blood glucose through finger-prick tests delivers critical data for clinicians and patients for type 2 diabetes. </w:t>
      </w:r>
    </w:p>
    <w:p w14:paraId="311D50C2" w14:textId="77777777" w:rsidR="004D1A3E" w:rsidRDefault="00C3420A">
      <w:pPr>
        <w:rPr>
          <w:b/>
        </w:rPr>
      </w:pPr>
      <w:r>
        <w:rPr>
          <w:b/>
        </w:rPr>
        <w:t xml:space="preserve">Tracking blood sugar enables safe management </w:t>
      </w:r>
    </w:p>
    <w:p w14:paraId="4CB000D0" w14:textId="77777777" w:rsidR="004D1A3E" w:rsidRDefault="00C3420A">
      <w:r>
        <w:rPr>
          <w:b/>
          <w:i/>
        </w:rPr>
        <w:t>Reveals direct impact of choices:</w:t>
      </w:r>
      <w:r>
        <w:t xml:space="preserve"> Blood sugar logs produce a customised record which directly showcases patients in which way exercise, food choices, stress and medication affect the glucose level (</w:t>
      </w:r>
      <w:proofErr w:type="spellStart"/>
      <w:r>
        <w:t>Fornasini</w:t>
      </w:r>
      <w:proofErr w:type="spellEnd"/>
      <w:r>
        <w:t xml:space="preserve">, 2021). </w:t>
      </w:r>
    </w:p>
    <w:p w14:paraId="171BF957" w14:textId="77777777" w:rsidR="004D1A3E" w:rsidRDefault="00C3420A">
      <w:r>
        <w:rPr>
          <w:b/>
          <w:i/>
        </w:rPr>
        <w:t>Prevents and mitigates emergencies:</w:t>
      </w:r>
      <w:r>
        <w:t xml:space="preserve"> As per the information of Daly and Hovorka (2021), regular or frequent monitoring assists in detecting dangerously high blood sugar (</w:t>
      </w:r>
      <w:proofErr w:type="spellStart"/>
      <w:r>
        <w:t>hyperglycemia</w:t>
      </w:r>
      <w:proofErr w:type="spellEnd"/>
      <w:r>
        <w:t>) or low blood sugar (</w:t>
      </w:r>
      <w:proofErr w:type="spellStart"/>
      <w:r>
        <w:t>hypoglycemia</w:t>
      </w:r>
      <w:proofErr w:type="spellEnd"/>
      <w:r>
        <w:t xml:space="preserve">) before it becomes a life-threatening catastrophe. </w:t>
      </w:r>
    </w:p>
    <w:p w14:paraId="273946EA" w14:textId="77777777" w:rsidR="004D1A3E" w:rsidRDefault="00C3420A">
      <w:r>
        <w:rPr>
          <w:b/>
          <w:i/>
        </w:rPr>
        <w:t>Guides treatment modifications:</w:t>
      </w:r>
      <w:r>
        <w:t xml:space="preserve"> The potential information which is collected from blood sugar analyses is crucial for the healthcare professionals. However, this enables a patient’s care team to proactively assess the efficacy of their contemporary behaviour plan and make appropriate modifications. </w:t>
      </w:r>
    </w:p>
    <w:p w14:paraId="5B623D59" w14:textId="77777777" w:rsidR="004D1A3E" w:rsidRDefault="00C3420A">
      <w:pPr>
        <w:rPr>
          <w:b/>
        </w:rPr>
      </w:pPr>
      <w:r>
        <w:rPr>
          <w:b/>
        </w:rPr>
        <w:t>Lifestyle changes reinforce safe management</w:t>
      </w:r>
    </w:p>
    <w:p w14:paraId="62D85DF7" w14:textId="77777777" w:rsidR="004D1A3E" w:rsidRDefault="00C3420A">
      <w:r>
        <w:rPr>
          <w:b/>
          <w:i/>
        </w:rPr>
        <w:t>Diet:</w:t>
      </w:r>
      <w:r>
        <w:t xml:space="preserve"> The people who have faced type 2 diabetes, a balanced meal plan is indispensable. Through assessing the blood sugar levels after and before meals, the person can gain insight about portion control, carbohydrate impact, and food choices. In this regard, the individual can therefore figure out what the forward steps for actions are for them. (Feng </w:t>
      </w:r>
      <w:r>
        <w:rPr>
          <w:i/>
        </w:rPr>
        <w:t xml:space="preserve">et al., </w:t>
      </w:r>
      <w:r>
        <w:t>2021).</w:t>
      </w:r>
    </w:p>
    <w:p w14:paraId="2199B662" w14:textId="77777777" w:rsidR="004D1A3E" w:rsidRDefault="00C3420A">
      <w:r>
        <w:rPr>
          <w:b/>
          <w:i/>
        </w:rPr>
        <w:t>Exercise:</w:t>
      </w:r>
      <w:r>
        <w:t xml:space="preserve"> It has been identified that regular physical activity progresses the sensitivity of the body to insulin. It specifically helps the persons to maintain proper lower blood glucose levels. Additionally, measuring blood sugar can be beneficial for patients through working out safely and making it a habit (Stone, Dudley and Owen, 2025). </w:t>
      </w:r>
    </w:p>
    <w:p w14:paraId="20F6856D" w14:textId="77777777" w:rsidR="004D1A3E" w:rsidRDefault="00C3420A">
      <w:pPr>
        <w:pStyle w:val="Heading1"/>
      </w:pPr>
      <w:bookmarkStart w:id="6" w:name="_Toc210435945"/>
      <w:r>
        <w:lastRenderedPageBreak/>
        <w:t>Evidence-Based Recommendations</w:t>
      </w:r>
      <w:bookmarkEnd w:id="6"/>
    </w:p>
    <w:p w14:paraId="3FE9DB5F" w14:textId="21C9FDF2" w:rsidR="00A157B5" w:rsidRPr="00A157B5" w:rsidRDefault="00C3420A">
      <w:pPr>
        <w:rPr>
          <w:bCs/>
        </w:rPr>
      </w:pPr>
      <w:r>
        <w:t xml:space="preserve">As stated by Hall </w:t>
      </w:r>
      <w:r>
        <w:rPr>
          <w:i/>
        </w:rPr>
        <w:t>et al.</w:t>
      </w:r>
      <w:r>
        <w:t xml:space="preserve"> (2021), the researchers identified that nearly 60% of type 1 diabetes patients admitted to misusing insulin. It can potentially lead to critical vascular complications or even mortality. A study of 1515 children, aged nearly between 9 and 14 years, reported </w:t>
      </w:r>
      <w:r w:rsidR="00B06532">
        <w:t xml:space="preserve">about </w:t>
      </w:r>
      <w:r w:rsidR="00A157B5">
        <w:t>early-stage</w:t>
      </w:r>
      <w:r w:rsidR="00B06532">
        <w:t xml:space="preserve"> </w:t>
      </w:r>
      <w:r w:rsidR="00A157B5">
        <w:t xml:space="preserve">diabetes. </w:t>
      </w:r>
      <w:r>
        <w:t>extreme levels of body dissatisfaction.</w:t>
      </w:r>
      <w:r w:rsidR="00A157B5">
        <w:t xml:space="preserve"> </w:t>
      </w:r>
      <w:r w:rsidR="00A157B5" w:rsidRPr="00A157B5">
        <w:t xml:space="preserve">Multidisciplinary professionals from </w:t>
      </w:r>
      <w:r w:rsidR="00A157B5">
        <w:t>‘</w:t>
      </w:r>
      <w:r w:rsidR="00A157B5" w:rsidRPr="00A157B5">
        <w:t>The Association of Children’s Diabetes Clinician</w:t>
      </w:r>
      <w:r w:rsidR="00A157B5">
        <w:t xml:space="preserve">’ have suggested to use GRADE methodology to prevent this. It involves, graded recommendation, assessment, development and evaluation. Lifestyle change and providing metformin are the mainstay of early treatment. Besides this </w:t>
      </w:r>
      <w:r w:rsidR="00A157B5" w:rsidRPr="00A157B5">
        <w:t>GLP1 agonists</w:t>
      </w:r>
      <w:r w:rsidR="00A157B5">
        <w:t xml:space="preserve"> are second line agent for controlling </w:t>
      </w:r>
      <w:r w:rsidR="00A157B5" w:rsidRPr="00A157B5">
        <w:t>ketosis-prone Type 2 diabetes (KPD)</w:t>
      </w:r>
      <w:r w:rsidR="00A157B5" w:rsidRPr="00A157B5">
        <w:rPr>
          <w:b/>
        </w:rPr>
        <w:t xml:space="preserve"> </w:t>
      </w:r>
      <w:r w:rsidR="00A157B5" w:rsidRPr="00A157B5">
        <w:rPr>
          <w:bCs/>
        </w:rPr>
        <w:t>that</w:t>
      </w:r>
      <w:r w:rsidR="00A157B5">
        <w:rPr>
          <w:bCs/>
        </w:rPr>
        <w:t xml:space="preserve"> sever the breakdown of blood sugar and adipose tissue in body</w:t>
      </w:r>
      <w:r w:rsidR="008C49F2">
        <w:rPr>
          <w:bCs/>
        </w:rPr>
        <w:t xml:space="preserve"> (</w:t>
      </w:r>
      <w:r w:rsidR="008C49F2">
        <w:t xml:space="preserve">White </w:t>
      </w:r>
      <w:r w:rsidR="008C49F2" w:rsidRPr="008C49F2">
        <w:rPr>
          <w:i/>
          <w:iCs/>
        </w:rPr>
        <w:t>et al.,</w:t>
      </w:r>
      <w:r w:rsidR="008C49F2">
        <w:t xml:space="preserve"> 2024)</w:t>
      </w:r>
      <w:r w:rsidR="00A157B5">
        <w:rPr>
          <w:bCs/>
        </w:rPr>
        <w:t xml:space="preserve">. For </w:t>
      </w:r>
      <w:r w:rsidR="008C49F2">
        <w:rPr>
          <w:bCs/>
        </w:rPr>
        <w:t>adults’</w:t>
      </w:r>
      <w:r w:rsidR="00A157B5">
        <w:rPr>
          <w:bCs/>
        </w:rPr>
        <w:t xml:space="preserve"> reduction in smoking, excess adiposity, hypertension and increased physical activity can be helpful.</w:t>
      </w:r>
    </w:p>
    <w:p w14:paraId="628BA73C" w14:textId="028B9543" w:rsidR="004D1A3E" w:rsidRDefault="00C3420A">
      <w:pPr>
        <w:rPr>
          <w:b/>
        </w:rPr>
      </w:pPr>
      <w:r>
        <w:rPr>
          <w:b/>
        </w:rPr>
        <w:t>Weight management:</w:t>
      </w:r>
      <w:r>
        <w:t xml:space="preserve"> An individual with type 2 diabetes is frequently impacted by sudden obesity-related </w:t>
      </w:r>
      <w:r w:rsidR="00E31738">
        <w:t>issues after</w:t>
      </w:r>
      <w:r>
        <w:t xml:space="preserve"> the fluctuation of glucose levels in blood vessels, as their body regains the fluids. According to nice.org.uk (2025), NICE guidelines recommend that patients who face obesity significantly aim for a beginning weight-loss target of 5% to 10% of their entire body weight. Based on the research of nihr.ac.uk (2025), the Diabetes Remission Clinical Trial (</w:t>
      </w:r>
      <w:proofErr w:type="spellStart"/>
      <w:r>
        <w:t>DiRECT</w:t>
      </w:r>
      <w:proofErr w:type="spellEnd"/>
      <w:r>
        <w:t xml:space="preserve">) has further provided a strong and substantial weight loss that can potentially lead to the remission of type 2 diabetes; specifically, it occurs within the few years of diagnosis. </w:t>
      </w:r>
    </w:p>
    <w:p w14:paraId="229B8CC1" w14:textId="77777777" w:rsidR="004D1A3E" w:rsidRDefault="00C3420A">
      <w:r>
        <w:rPr>
          <w:b/>
        </w:rPr>
        <w:t xml:space="preserve">Physical activity: </w:t>
      </w:r>
      <w:r>
        <w:t xml:space="preserve">As per the information of diabetesjournals.org (2025), researchers and doctors are suggested to do approximately 150 minutes of moderate-intensity activity, including spreading it over the week and brisk walking. Moreover, the data taken from heart.org (2025) significantly confirms that frequent exercise assists individuals in lowering cholesterol and blood pressure and aims to manage blood sugar. </w:t>
      </w:r>
    </w:p>
    <w:p w14:paraId="4473876E" w14:textId="77777777" w:rsidR="004D1A3E" w:rsidRDefault="00C3420A">
      <w:r>
        <w:rPr>
          <w:b/>
        </w:rPr>
        <w:t>Smoking Cessation, Alcohol and other factors:</w:t>
      </w:r>
      <w:r>
        <w:t xml:space="preserve"> As it has been reflected in this report, smoking, alcohol and others are considered modifiable risk factors. For type 2 diabetes patients the consumption of tobacco raises insulin resistance and increases the possible risks of complications (nerve, heart and kidney). According to nhs.uk (2025), the NHS offers a wide range of ‘free Stop Smoking </w:t>
      </w:r>
      <w:proofErr w:type="gramStart"/>
      <w:r>
        <w:t>services’</w:t>
      </w:r>
      <w:proofErr w:type="gramEnd"/>
      <w:r>
        <w:t xml:space="preserve">. These are services that might include in a group or one-to-one sessions along with medication. It makes a person even more likely to succeed in quitting. </w:t>
      </w:r>
      <w:r>
        <w:tab/>
      </w:r>
      <w:r>
        <w:tab/>
      </w:r>
      <w:r>
        <w:tab/>
      </w:r>
    </w:p>
    <w:p w14:paraId="1F1F4D19" w14:textId="77777777" w:rsidR="004D1A3E" w:rsidRDefault="00C3420A">
      <w:pPr>
        <w:pStyle w:val="Heading1"/>
      </w:pPr>
      <w:bookmarkStart w:id="7" w:name="_Toc210435946"/>
      <w:r>
        <w:lastRenderedPageBreak/>
        <w:t>Conclusion</w:t>
      </w:r>
      <w:bookmarkEnd w:id="7"/>
    </w:p>
    <w:p w14:paraId="76FAE246" w14:textId="3C40830D" w:rsidR="004D1A3E" w:rsidRDefault="00C3420A" w:rsidP="008C49F2">
      <w:r>
        <w:t xml:space="preserve">In conclusion, it can be summarised that for an individual, effective self-management, especially through lifestyle changes and blood sugar monitoring, is crucial for long-term safety and wellbeing. Most importantly, by comprehending the physiology of glucose regulation (glucagon and insulin feedback loops) and the energy metabolism, an individual can better grasp the </w:t>
      </w:r>
      <w:r w:rsidR="003C7A6A">
        <w:t xml:space="preserve">preventive result. </w:t>
      </w:r>
      <w:r>
        <w:t>Routine data such as periodic HbA1c tests, glucose readings and blood pressure logs are considered as the tools for customised care for type 2 diabetes patients. Additionally, blood sugar tracking for personalised control allows the patients to prevent complications, collaborate on care and promote long-term adherence.</w:t>
      </w:r>
      <w:r w:rsidR="000B1F7A">
        <w:t xml:space="preserve"> Obesity control, dietary fitness, cessation of smoking, physical activity and routine check-up are some key measurement of controlling risk factor associated with T2D</w:t>
      </w:r>
      <w:r>
        <w:t xml:space="preserve">. </w:t>
      </w:r>
      <w:bookmarkStart w:id="8" w:name="_heading=h.6vwv4g26s9p" w:colFirst="0" w:colLast="0"/>
      <w:bookmarkEnd w:id="8"/>
      <w:r>
        <w:br w:type="page"/>
      </w:r>
    </w:p>
    <w:p w14:paraId="1FAFCE58" w14:textId="7EB9F01C" w:rsidR="008C49F2" w:rsidRPr="008C49F2" w:rsidRDefault="00C3420A" w:rsidP="008C49F2">
      <w:pPr>
        <w:pStyle w:val="Heading1"/>
      </w:pPr>
      <w:bookmarkStart w:id="9" w:name="_Toc210435947"/>
      <w:r>
        <w:lastRenderedPageBreak/>
        <w:t>Reference list</w:t>
      </w:r>
      <w:bookmarkEnd w:id="9"/>
    </w:p>
    <w:p w14:paraId="368BD5D8" w14:textId="77777777" w:rsidR="008C49F2" w:rsidRDefault="008C49F2" w:rsidP="008C49F2">
      <w:r>
        <w:t xml:space="preserve">Alam, S., Hasan, M.K., </w:t>
      </w:r>
      <w:proofErr w:type="spellStart"/>
      <w:r>
        <w:t>Neaz</w:t>
      </w:r>
      <w:proofErr w:type="spellEnd"/>
      <w:r>
        <w:t xml:space="preserve">, S., Hussain, N., Hossain, M.F. and Rahman, T., (2021). Diabetes Mellitus: insights from epidemiology, biochemistry, risk factors, diagnosis, complications and comprehensive management. </w:t>
      </w:r>
      <w:r w:rsidRPr="008C49F2">
        <w:rPr>
          <w:i/>
        </w:rPr>
        <w:t>Diabetology</w:t>
      </w:r>
      <w:r>
        <w:t xml:space="preserve">, </w:t>
      </w:r>
      <w:r w:rsidRPr="008C49F2">
        <w:rPr>
          <w:i/>
        </w:rPr>
        <w:t>2</w:t>
      </w:r>
      <w:r>
        <w:t>(2), pp.36-50.</w:t>
      </w:r>
    </w:p>
    <w:p w14:paraId="2D978B13" w14:textId="77777777" w:rsidR="008C49F2" w:rsidRDefault="008C49F2" w:rsidP="008C49F2">
      <w:r>
        <w:t xml:space="preserve">bhf.org.uk, (2025). </w:t>
      </w:r>
      <w:r w:rsidRPr="008C49F2">
        <w:rPr>
          <w:i/>
        </w:rPr>
        <w:t xml:space="preserve">Blood sugar levels: what is </w:t>
      </w:r>
      <w:proofErr w:type="gramStart"/>
      <w:r w:rsidRPr="008C49F2">
        <w:rPr>
          <w:i/>
        </w:rPr>
        <w:t>normal?</w:t>
      </w:r>
      <w:r>
        <w:t>.</w:t>
      </w:r>
      <w:proofErr w:type="gramEnd"/>
      <w:r>
        <w:t xml:space="preserve"> Available at: https://www.bhf.org.uk/informationsupport/heart-matters-magazine/medical/tests/blood-sugar [Accessed on: 26th September, 2025]</w:t>
      </w:r>
    </w:p>
    <w:p w14:paraId="29BF15F2" w14:textId="77777777" w:rsidR="008C49F2" w:rsidRDefault="008C49F2" w:rsidP="008C49F2">
      <w:r>
        <w:t xml:space="preserve">Biro, G.P., (2022). Oxygen and ATP: the Energy Economy of the Cell. In </w:t>
      </w:r>
      <w:r w:rsidRPr="008C49F2">
        <w:rPr>
          <w:i/>
        </w:rPr>
        <w:t>Blood substitutes and oxygen biotherapeutics</w:t>
      </w:r>
      <w:r>
        <w:t xml:space="preserve"> (pp. 21-32). Cham: Springer International Publishing.</w:t>
      </w:r>
    </w:p>
    <w:p w14:paraId="22B9A7AD" w14:textId="77777777" w:rsidR="008C49F2" w:rsidRDefault="008C49F2" w:rsidP="008C49F2">
      <w:r>
        <w:t xml:space="preserve">Daly, A. and Hovorka, R., (2021). Technology in the management of type 2 diabetes: present status and future prospects. </w:t>
      </w:r>
      <w:r w:rsidRPr="008C49F2">
        <w:rPr>
          <w:i/>
        </w:rPr>
        <w:t>Diabetes, Obesity and Metabolism</w:t>
      </w:r>
      <w:r>
        <w:t xml:space="preserve">, </w:t>
      </w:r>
      <w:r w:rsidRPr="008C49F2">
        <w:rPr>
          <w:i/>
        </w:rPr>
        <w:t>23</w:t>
      </w:r>
      <w:r>
        <w:t>(8), pp.1722-1732.</w:t>
      </w:r>
    </w:p>
    <w:p w14:paraId="47626B9E" w14:textId="77777777" w:rsidR="008C49F2" w:rsidRDefault="008C49F2" w:rsidP="008C49F2">
      <w:r>
        <w:t xml:space="preserve">diabetesjournals.org, (2025). </w:t>
      </w:r>
      <w:r w:rsidRPr="008C49F2">
        <w:rPr>
          <w:i/>
        </w:rPr>
        <w:t>Physical Activity/Exercise and Diabetes: A Position Statement of the American Diabetes Association</w:t>
      </w:r>
      <w:r>
        <w:t>. Available at: https://diabetesjournals.org/care/article/39/11/2065/37249/Physical-Activity-Exercise-and-Diabetes-A-Position [Accessed on: 26th September, 2025]</w:t>
      </w:r>
    </w:p>
    <w:p w14:paraId="25C76916" w14:textId="77777777" w:rsidR="008C49F2" w:rsidRDefault="008C49F2" w:rsidP="008C49F2">
      <w:r>
        <w:t xml:space="preserve">Durai, V., Samya, V., Akila, G.V., </w:t>
      </w:r>
      <w:proofErr w:type="spellStart"/>
      <w:r>
        <w:t>Shriraam</w:t>
      </w:r>
      <w:proofErr w:type="spellEnd"/>
      <w:r>
        <w:t xml:space="preserve">, V., Jasmine, A., </w:t>
      </w:r>
      <w:proofErr w:type="spellStart"/>
      <w:r>
        <w:t>Muthuthandavan</w:t>
      </w:r>
      <w:proofErr w:type="spellEnd"/>
      <w:r>
        <w:t xml:space="preserve">, A.R., Gayathri, T. and Mahadevan, S., (2021). Self-care practices and factors influencing self-care among type 2 diabetes mellitus patients in a rural health </w:t>
      </w:r>
      <w:proofErr w:type="spellStart"/>
      <w:r>
        <w:t>center</w:t>
      </w:r>
      <w:proofErr w:type="spellEnd"/>
      <w:r>
        <w:t xml:space="preserve"> in South India. </w:t>
      </w:r>
      <w:r w:rsidRPr="008C49F2">
        <w:rPr>
          <w:i/>
        </w:rPr>
        <w:t>Journal of education and health promotion</w:t>
      </w:r>
      <w:r>
        <w:t xml:space="preserve">, </w:t>
      </w:r>
      <w:r w:rsidRPr="008C49F2">
        <w:rPr>
          <w:i/>
        </w:rPr>
        <w:t>10</w:t>
      </w:r>
      <w:r>
        <w:t>, p.151.</w:t>
      </w:r>
    </w:p>
    <w:p w14:paraId="6E173EEA" w14:textId="77777777" w:rsidR="008C49F2" w:rsidRDefault="008C49F2" w:rsidP="008C49F2">
      <w:r>
        <w:t xml:space="preserve">Feng, S., </w:t>
      </w:r>
      <w:proofErr w:type="spellStart"/>
      <w:r>
        <w:t>Mäntymäki</w:t>
      </w:r>
      <w:proofErr w:type="spellEnd"/>
      <w:r>
        <w:t xml:space="preserve">, M., Dhir, A. and Salmela, H., (2021). How self-tracking and the quantified </w:t>
      </w:r>
      <w:proofErr w:type="spellStart"/>
      <w:r>
        <w:t>self promote</w:t>
      </w:r>
      <w:proofErr w:type="spellEnd"/>
      <w:r>
        <w:t xml:space="preserve"> health and well-being: systematic review. </w:t>
      </w:r>
      <w:r w:rsidRPr="008C49F2">
        <w:rPr>
          <w:i/>
        </w:rPr>
        <w:t>Journal of Medical Internet Research</w:t>
      </w:r>
      <w:r>
        <w:t xml:space="preserve">, </w:t>
      </w:r>
      <w:r w:rsidRPr="008C49F2">
        <w:rPr>
          <w:i/>
        </w:rPr>
        <w:t>23</w:t>
      </w:r>
      <w:r>
        <w:t>(9), p.e25171.</w:t>
      </w:r>
    </w:p>
    <w:p w14:paraId="0CD5939E" w14:textId="77777777" w:rsidR="008C49F2" w:rsidRDefault="008C49F2" w:rsidP="008C49F2">
      <w:proofErr w:type="spellStart"/>
      <w:r>
        <w:t>Fornasini</w:t>
      </w:r>
      <w:proofErr w:type="spellEnd"/>
      <w:r>
        <w:t>, S., (2021). Clinical self-tracking to improve knowing in practice: designing self-experiments for Type 2 Diabetes care.</w:t>
      </w:r>
    </w:p>
    <w:p w14:paraId="788CCA92" w14:textId="77777777" w:rsidR="008C49F2" w:rsidRDefault="008C49F2" w:rsidP="008C49F2">
      <w:r>
        <w:t xml:space="preserve">Frayn, K.N., (2022). </w:t>
      </w:r>
      <w:r w:rsidRPr="008C49F2">
        <w:rPr>
          <w:i/>
        </w:rPr>
        <w:t>Understanding human metabolism</w:t>
      </w:r>
      <w:r>
        <w:t>. Cambridge University Press.</w:t>
      </w:r>
    </w:p>
    <w:p w14:paraId="4C442964" w14:textId="77777777" w:rsidR="008C49F2" w:rsidRDefault="008C49F2" w:rsidP="008C49F2">
      <w:r>
        <w:t xml:space="preserve">gov.uk, (2025). </w:t>
      </w:r>
      <w:r w:rsidRPr="008C49F2">
        <w:rPr>
          <w:i/>
        </w:rPr>
        <w:t>The national burden of Type 2 diabetes</w:t>
      </w:r>
      <w:r>
        <w:t>. Available at: https://www.gov.uk/government/publications/health-matters-preventing-type-2-diabetes/health-matters-preventing-type-2-diabetes [Accessed on: 26th September, 2025]</w:t>
      </w:r>
    </w:p>
    <w:p w14:paraId="6DF4BFF6" w14:textId="77777777" w:rsidR="008C49F2" w:rsidRDefault="008C49F2" w:rsidP="008C49F2">
      <w:r>
        <w:t xml:space="preserve">Hall, R., Keeble, L., </w:t>
      </w:r>
      <w:proofErr w:type="spellStart"/>
      <w:r>
        <w:t>Sünram</w:t>
      </w:r>
      <w:proofErr w:type="spellEnd"/>
      <w:r>
        <w:t xml:space="preserve">-Lea, S.I. and To, M., (2021). A review of risk factors associated with insulin omission for weight loss in type 1 diabetes. </w:t>
      </w:r>
      <w:r w:rsidRPr="008C49F2">
        <w:rPr>
          <w:i/>
        </w:rPr>
        <w:t>Clinical Child Psychology and Psychiatry</w:t>
      </w:r>
      <w:r>
        <w:t xml:space="preserve">, </w:t>
      </w:r>
      <w:r w:rsidRPr="008C49F2">
        <w:rPr>
          <w:i/>
        </w:rPr>
        <w:t>26</w:t>
      </w:r>
      <w:r>
        <w:t>(3), pp.606-616.</w:t>
      </w:r>
    </w:p>
    <w:p w14:paraId="61752A04" w14:textId="77777777" w:rsidR="008C49F2" w:rsidRDefault="008C49F2" w:rsidP="008C49F2">
      <w:r>
        <w:t xml:space="preserve">heart.org, (2025). </w:t>
      </w:r>
      <w:r w:rsidRPr="008C49F2">
        <w:rPr>
          <w:i/>
        </w:rPr>
        <w:t>Diabetes Risk Factors</w:t>
      </w:r>
      <w:r>
        <w:t>. Available at: https://www.heart.org/en/health-topics/diabetes/understand-your-risk-for-diabetes# [Accessed on: 26th September, 2025]</w:t>
      </w:r>
    </w:p>
    <w:p w14:paraId="66D9B9C9" w14:textId="77777777" w:rsidR="008C49F2" w:rsidRDefault="008C49F2" w:rsidP="008C49F2">
      <w:r>
        <w:lastRenderedPageBreak/>
        <w:t xml:space="preserve">idf.org, (2025). </w:t>
      </w:r>
      <w:r w:rsidRPr="008C49F2">
        <w:rPr>
          <w:i/>
        </w:rPr>
        <w:t>Facts &amp; figures</w:t>
      </w:r>
      <w:r>
        <w:t>. Available at: https://idf.org/about-diabetes/diabetes-facts-figures/ [Accessed on: 26th September, 2025]</w:t>
      </w:r>
    </w:p>
    <w:p w14:paraId="49B94828" w14:textId="77777777" w:rsidR="008C49F2" w:rsidRDefault="008C49F2" w:rsidP="008C49F2">
      <w:r>
        <w:t>Namari, N.A.P., (2024). Heat Generation Mechanism in Cellular Metabolism Based on Electrochemical Kinetics.</w:t>
      </w:r>
    </w:p>
    <w:p w14:paraId="64121533" w14:textId="77777777" w:rsidR="008C49F2" w:rsidRDefault="008C49F2" w:rsidP="008C49F2">
      <w:r>
        <w:t xml:space="preserve">nhs.uk, (2025). </w:t>
      </w:r>
      <w:r w:rsidRPr="008C49F2">
        <w:rPr>
          <w:i/>
        </w:rPr>
        <w:t>NHS stop smoking services help you quit</w:t>
      </w:r>
      <w:r>
        <w:t>. Available at: https://www.nhs.uk/live-well/quit-smoking/nhs-stop-smoking-services-help-you-quit/ [Accessed on: 26th September, 2025]</w:t>
      </w:r>
    </w:p>
    <w:p w14:paraId="24C42A3C" w14:textId="77777777" w:rsidR="008C49F2" w:rsidRDefault="008C49F2" w:rsidP="008C49F2">
      <w:r>
        <w:t xml:space="preserve">nice.org.uk, (2025). </w:t>
      </w:r>
      <w:r w:rsidRPr="008C49F2">
        <w:rPr>
          <w:i/>
        </w:rPr>
        <w:t>Diet and lifestyle</w:t>
      </w:r>
      <w:r>
        <w:t>. Available at: https://www.nice.org.uk/guidance/ng28/ifp/chapter/diet-and-lifestyle# [Accessed on: 26th September, 2025]</w:t>
      </w:r>
    </w:p>
    <w:p w14:paraId="1494F812" w14:textId="77777777" w:rsidR="008C49F2" w:rsidRDefault="008C49F2" w:rsidP="008C49F2">
      <w:r>
        <w:t>nihr.ac.uk, (2025)</w:t>
      </w:r>
      <w:r w:rsidRPr="008C49F2">
        <w:rPr>
          <w:i/>
        </w:rPr>
        <w:t>. Losing weight following type 2 diabetes diagnosis boosts chance of remission</w:t>
      </w:r>
      <w:r>
        <w:t>. Available at: https://evidence.nihr.ac.uk/not-articletype/losing-weight-following-type-2-diabetes-diagnosis-boosts-chance-of-remission/ [Accessed on: 26th September, 2025]</w:t>
      </w:r>
    </w:p>
    <w:p w14:paraId="31FD8DD3" w14:textId="77777777" w:rsidR="008C49F2" w:rsidRDefault="008C49F2" w:rsidP="008C49F2">
      <w:r>
        <w:t>Rohani, T., Hajian-</w:t>
      </w:r>
      <w:proofErr w:type="spellStart"/>
      <w:r>
        <w:t>Tilaki</w:t>
      </w:r>
      <w:proofErr w:type="spellEnd"/>
      <w:r>
        <w:t xml:space="preserve">, K., </w:t>
      </w:r>
      <w:proofErr w:type="spellStart"/>
      <w:r>
        <w:t>Hajiahmadi</w:t>
      </w:r>
      <w:proofErr w:type="spellEnd"/>
      <w:r>
        <w:t xml:space="preserve">, M., Heidari, B., </w:t>
      </w:r>
      <w:proofErr w:type="spellStart"/>
      <w:r>
        <w:t>Rahimabadi</w:t>
      </w:r>
      <w:proofErr w:type="spellEnd"/>
      <w:r>
        <w:t xml:space="preserve">, N.R. and </w:t>
      </w:r>
      <w:proofErr w:type="spellStart"/>
      <w:r>
        <w:t>Geraili</w:t>
      </w:r>
      <w:proofErr w:type="spellEnd"/>
      <w:r>
        <w:t xml:space="preserve">, Z., (2024). Factors affecting blood sugar changes in diabetic patients using a three-level model in analysis of longitudinal data. </w:t>
      </w:r>
      <w:r w:rsidRPr="008C49F2">
        <w:rPr>
          <w:i/>
        </w:rPr>
        <w:t>Caspian Journal of Internal Medicine</w:t>
      </w:r>
      <w:r>
        <w:t xml:space="preserve">, </w:t>
      </w:r>
      <w:r w:rsidRPr="008C49F2">
        <w:rPr>
          <w:i/>
        </w:rPr>
        <w:t>15</w:t>
      </w:r>
      <w:r>
        <w:t>(4), p.615.</w:t>
      </w:r>
    </w:p>
    <w:p w14:paraId="6736B5D6" w14:textId="77777777" w:rsidR="008C49F2" w:rsidRDefault="008C49F2" w:rsidP="008C49F2">
      <w:r>
        <w:t xml:space="preserve">Stone, H., Dudley, D. and Owen, A., (2025). A Longitudinal Study on the Sustainability of Self-Care </w:t>
      </w:r>
      <w:proofErr w:type="spellStart"/>
      <w:r>
        <w:t>Behaviors</w:t>
      </w:r>
      <w:proofErr w:type="spellEnd"/>
      <w:r>
        <w:t xml:space="preserve"> in Type 2 Diabetes Patients Using Mobile Health Applications.</w:t>
      </w:r>
    </w:p>
    <w:p w14:paraId="38EAB8F2" w14:textId="77777777" w:rsidR="008C49F2" w:rsidRDefault="008C49F2" w:rsidP="008C49F2">
      <w:r>
        <w:t xml:space="preserve">Traut, T.W., (2025). Control Your Sugar: Special Enzymes Control Glucose Metabolism. In </w:t>
      </w:r>
      <w:r w:rsidRPr="008C49F2">
        <w:rPr>
          <w:i/>
        </w:rPr>
        <w:t>Enzymes: The Worker Bees of the Cell</w:t>
      </w:r>
      <w:r>
        <w:t xml:space="preserve"> (pp. 159-180). Cham: Springer Nature Switzerland.</w:t>
      </w:r>
    </w:p>
    <w:p w14:paraId="1FC5EC77" w14:textId="77777777" w:rsidR="008C49F2" w:rsidRDefault="008C49F2" w:rsidP="008C49F2">
      <w:r>
        <w:t xml:space="preserve">White, B., Ng, S.M., Agwu, J.C., Barrett, T.G., Birchmore, N., Kershaw, M., Drew, J., F </w:t>
      </w:r>
      <w:proofErr w:type="spellStart"/>
      <w:r>
        <w:t>Kavvoura</w:t>
      </w:r>
      <w:proofErr w:type="spellEnd"/>
      <w:r>
        <w:t xml:space="preserve">, Law, J., C </w:t>
      </w:r>
      <w:proofErr w:type="spellStart"/>
      <w:r>
        <w:t>Moudiotis</w:t>
      </w:r>
      <w:proofErr w:type="spellEnd"/>
      <w:r>
        <w:t xml:space="preserve">, Procter, E., Paul, P., Regan, F., Reilly, P., Sachdev, P., R </w:t>
      </w:r>
      <w:proofErr w:type="spellStart"/>
      <w:r>
        <w:t>Sakremath</w:t>
      </w:r>
      <w:proofErr w:type="spellEnd"/>
      <w:r>
        <w:t>, Semple, C., Sharples, K., M Skae and Timmis, A. (2024). A practical evidence-based approach to management of type 2 diabetes in children and young people (CYP): UK consensus. </w:t>
      </w:r>
      <w:r w:rsidRPr="008C49F2">
        <w:rPr>
          <w:i/>
          <w:iCs/>
        </w:rPr>
        <w:t>BMC Medicine</w:t>
      </w:r>
      <w:r>
        <w:t xml:space="preserve">, 22(1). </w:t>
      </w:r>
    </w:p>
    <w:p w14:paraId="070D4ED3" w14:textId="77777777" w:rsidR="008C49F2" w:rsidRDefault="008C49F2" w:rsidP="008C49F2">
      <w:r>
        <w:t xml:space="preserve">who.int, (2025). </w:t>
      </w:r>
      <w:r w:rsidRPr="008C49F2">
        <w:rPr>
          <w:i/>
        </w:rPr>
        <w:t>Diabetes</w:t>
      </w:r>
      <w:r>
        <w:t>. Available at: https://www.who.int/news-room/fact-sheets/detail/diabetes# [Accessed on: 26th September, 2025]</w:t>
      </w:r>
    </w:p>
    <w:p w14:paraId="2495B3F8" w14:textId="77777777" w:rsidR="008C49F2" w:rsidRDefault="008C49F2" w:rsidP="008C49F2">
      <w:r>
        <w:t xml:space="preserve">Yadav, S., Yadav, K.S. and Yadav, P., (2021). Bioenergetics, Metabolism of Biomolecules, Photosynthesis and Respiration, Transcription and Translation, Recombinant DNA Technology. In </w:t>
      </w:r>
      <w:r w:rsidRPr="008C49F2">
        <w:rPr>
          <w:i/>
        </w:rPr>
        <w:t>Biochemistry: Fundamentals and Bioenergetics</w:t>
      </w:r>
      <w:r>
        <w:t xml:space="preserve"> (pp. 361-410). Bentham Science Publishers.</w:t>
      </w:r>
    </w:p>
    <w:p w14:paraId="36E55A56" w14:textId="77777777" w:rsidR="008C49F2" w:rsidRDefault="008C49F2"/>
    <w:sectPr w:rsidR="008C49F2" w:rsidSect="00181CF8">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E62BD" w14:textId="77777777" w:rsidR="001B6AC0" w:rsidRDefault="001B6AC0">
      <w:pPr>
        <w:spacing w:line="240" w:lineRule="auto"/>
      </w:pPr>
      <w:r>
        <w:separator/>
      </w:r>
    </w:p>
  </w:endnote>
  <w:endnote w:type="continuationSeparator" w:id="0">
    <w:p w14:paraId="798276DA" w14:textId="77777777" w:rsidR="001B6AC0" w:rsidRDefault="001B6A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4932538-C281-4444-A0D4-8011F9442A6D}"/>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embedRegular r:id="rId2" w:fontKey="{16DDA5E4-EE58-4523-A232-239E3E8F10AF}"/>
    <w:embedItalic r:id="rId3" w:fontKey="{F7AE5DEC-D833-4714-B8DA-9C2CCAFA1CFD}"/>
  </w:font>
  <w:font w:name="Cardo">
    <w:charset w:val="00"/>
    <w:family w:val="auto"/>
    <w:pitch w:val="default"/>
    <w:embedRegular r:id="rId4" w:fontKey="{C489020E-945B-4ED7-9AD3-A79DF0BA5BB1}"/>
  </w:font>
  <w:font w:name="Cambria">
    <w:panose1 w:val="02040503050406030204"/>
    <w:charset w:val="00"/>
    <w:family w:val="roman"/>
    <w:pitch w:val="variable"/>
    <w:sig w:usb0="E00006FF" w:usb1="420024FF" w:usb2="02000000" w:usb3="00000000" w:csb0="0000019F" w:csb1="00000000"/>
    <w:embedRegular r:id="rId5" w:fontKey="{A5E9E322-B6D3-4E1D-B94B-02CC35A0E34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852C7" w14:textId="77777777" w:rsidR="004D1A3E" w:rsidRDefault="00C3420A">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31738">
      <w:rPr>
        <w:noProof/>
        <w:color w:val="000000"/>
      </w:rPr>
      <w:t>1</w:t>
    </w:r>
    <w:r>
      <w:rPr>
        <w:color w:val="000000"/>
      </w:rPr>
      <w:fldChar w:fldCharType="end"/>
    </w:r>
  </w:p>
  <w:p w14:paraId="4C5C5F47" w14:textId="77777777" w:rsidR="004D1A3E" w:rsidRDefault="004D1A3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38CFA" w14:textId="77777777" w:rsidR="001B6AC0" w:rsidRDefault="001B6AC0">
      <w:pPr>
        <w:spacing w:line="240" w:lineRule="auto"/>
      </w:pPr>
      <w:r>
        <w:separator/>
      </w:r>
    </w:p>
  </w:footnote>
  <w:footnote w:type="continuationSeparator" w:id="0">
    <w:p w14:paraId="18D65D05" w14:textId="77777777" w:rsidR="001B6AC0" w:rsidRDefault="001B6A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C786D"/>
    <w:multiLevelType w:val="multilevel"/>
    <w:tmpl w:val="8CC2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BF790B"/>
    <w:multiLevelType w:val="hybridMultilevel"/>
    <w:tmpl w:val="BA4CA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873F2D"/>
    <w:multiLevelType w:val="multilevel"/>
    <w:tmpl w:val="B4AA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6237FF"/>
    <w:multiLevelType w:val="multilevel"/>
    <w:tmpl w:val="E7B4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735735"/>
    <w:multiLevelType w:val="multilevel"/>
    <w:tmpl w:val="C7E8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6016144">
    <w:abstractNumId w:val="1"/>
  </w:num>
  <w:num w:numId="2" w16cid:durableId="1989942748">
    <w:abstractNumId w:val="2"/>
  </w:num>
  <w:num w:numId="3" w16cid:durableId="1170873058">
    <w:abstractNumId w:val="4"/>
  </w:num>
  <w:num w:numId="4" w16cid:durableId="1386637356">
    <w:abstractNumId w:val="0"/>
  </w:num>
  <w:num w:numId="5" w16cid:durableId="19896272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A3E"/>
    <w:rsid w:val="00023A57"/>
    <w:rsid w:val="00070AA5"/>
    <w:rsid w:val="000B1F7A"/>
    <w:rsid w:val="00181CF8"/>
    <w:rsid w:val="001B6AC0"/>
    <w:rsid w:val="00231E34"/>
    <w:rsid w:val="002B74B6"/>
    <w:rsid w:val="002B7629"/>
    <w:rsid w:val="00341564"/>
    <w:rsid w:val="00383360"/>
    <w:rsid w:val="003C7A6A"/>
    <w:rsid w:val="00405DB0"/>
    <w:rsid w:val="00456BAA"/>
    <w:rsid w:val="004D1A3E"/>
    <w:rsid w:val="00686BFE"/>
    <w:rsid w:val="00760F94"/>
    <w:rsid w:val="007B0598"/>
    <w:rsid w:val="008C49F2"/>
    <w:rsid w:val="00A157B5"/>
    <w:rsid w:val="00B06532"/>
    <w:rsid w:val="00C33303"/>
    <w:rsid w:val="00C3420A"/>
    <w:rsid w:val="00C5073A"/>
    <w:rsid w:val="00DB4F79"/>
    <w:rsid w:val="00DC46EB"/>
    <w:rsid w:val="00E31738"/>
    <w:rsid w:val="00ED39DF"/>
    <w:rsid w:val="00F54C62"/>
    <w:rsid w:val="00F64E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DAC5A"/>
  <w15:docId w15:val="{B349E388-5A3C-43C4-AA91-9CE787157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83AB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83AB0"/>
    <w:pPr>
      <w:spacing w:after="100"/>
    </w:pPr>
  </w:style>
  <w:style w:type="character" w:styleId="Hyperlink">
    <w:name w:val="Hyperlink"/>
    <w:basedOn w:val="DefaultParagraphFont"/>
    <w:uiPriority w:val="99"/>
    <w:unhideWhenUsed/>
    <w:rsid w:val="00383AB0"/>
    <w:rPr>
      <w:color w:val="0000FF" w:themeColor="hyperlink"/>
      <w:u w:val="single"/>
    </w:rPr>
  </w:style>
  <w:style w:type="paragraph" w:styleId="Header">
    <w:name w:val="header"/>
    <w:basedOn w:val="Normal"/>
    <w:link w:val="HeaderChar"/>
    <w:uiPriority w:val="99"/>
    <w:unhideWhenUsed/>
    <w:rsid w:val="00383AB0"/>
    <w:pPr>
      <w:tabs>
        <w:tab w:val="center" w:pos="4680"/>
        <w:tab w:val="right" w:pos="9360"/>
      </w:tabs>
      <w:spacing w:line="240" w:lineRule="auto"/>
    </w:pPr>
  </w:style>
  <w:style w:type="character" w:customStyle="1" w:styleId="HeaderChar">
    <w:name w:val="Header Char"/>
    <w:basedOn w:val="DefaultParagraphFont"/>
    <w:link w:val="Header"/>
    <w:uiPriority w:val="99"/>
    <w:rsid w:val="00383AB0"/>
  </w:style>
  <w:style w:type="paragraph" w:styleId="Footer">
    <w:name w:val="footer"/>
    <w:basedOn w:val="Normal"/>
    <w:link w:val="FooterChar"/>
    <w:uiPriority w:val="99"/>
    <w:unhideWhenUsed/>
    <w:rsid w:val="00383AB0"/>
    <w:pPr>
      <w:tabs>
        <w:tab w:val="center" w:pos="4680"/>
        <w:tab w:val="right" w:pos="9360"/>
      </w:tabs>
      <w:spacing w:line="240" w:lineRule="auto"/>
    </w:pPr>
  </w:style>
  <w:style w:type="character" w:customStyle="1" w:styleId="FooterChar">
    <w:name w:val="Footer Char"/>
    <w:basedOn w:val="DefaultParagraphFont"/>
    <w:link w:val="Footer"/>
    <w:uiPriority w:val="99"/>
    <w:rsid w:val="00383AB0"/>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8C49F2"/>
    <w:pPr>
      <w:spacing w:before="100" w:beforeAutospacing="1" w:after="100" w:afterAutospacing="1" w:line="240" w:lineRule="auto"/>
      <w:jc w:val="left"/>
    </w:pPr>
    <w:rPr>
      <w:lang w:val="en-US" w:eastAsia="en-US"/>
    </w:rPr>
  </w:style>
  <w:style w:type="paragraph" w:styleId="ListParagraph">
    <w:name w:val="List Paragraph"/>
    <w:basedOn w:val="Normal"/>
    <w:uiPriority w:val="34"/>
    <w:qFormat/>
    <w:rsid w:val="008C49F2"/>
    <w:pPr>
      <w:ind w:left="720"/>
      <w:contextualSpacing/>
    </w:pPr>
  </w:style>
  <w:style w:type="paragraph" w:customStyle="1" w:styleId="paragraph">
    <w:name w:val="paragraph"/>
    <w:basedOn w:val="Normal"/>
    <w:rsid w:val="00181CF8"/>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181CF8"/>
  </w:style>
  <w:style w:type="character" w:customStyle="1" w:styleId="eop">
    <w:name w:val="eop"/>
    <w:basedOn w:val="DefaultParagraphFont"/>
    <w:rsid w:val="00181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7670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xqwEkaxjRsTrcUW8c5l6iEQ8kw==">CgMxLjAaEgoBMBINCgsIB0IHEgVDYXJkbzIOaC50cHBoaGIyZnc5aHoyDmguMWU1OHZveHBiZHZ3Mg5oLjR2Zzhja2E0YWE2YzIOaC5rbXh5MTBvNjNjenIyDmgudXJpbmdlZDl6OWliMg5oLmE4bDV6M3BsaGxmcTIOaC5icHd5Y2k0dGNwYjMyDWguNnZ3djRnMjZzOXAyDmguNHFlamF1bDIzcXQwOAByITFGLVJoR0RJdm82VHdiYVM3VGVJS3BZR0ctLUI5M1pyNw==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2734</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Mercy Asare (2330846)</dc:creator>
  <cp:lastModifiedBy>Mercy Asare (2330846)</cp:lastModifiedBy>
  <cp:revision>2</cp:revision>
  <dcterms:created xsi:type="dcterms:W3CDTF">2025-11-05T07:28:00Z</dcterms:created>
  <dcterms:modified xsi:type="dcterms:W3CDTF">2025-11-05T07:28:00Z</dcterms:modified>
</cp:coreProperties>
</file>