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3373" w:firstLineChars="1200"/>
        <w:rPr>
          <w:rFonts w:hint="default" w:ascii="Times New Roman" w:hAnsi="Times New Roman" w:cs="Times New Roman" w:eastAsiaTheme="minorEastAsia"/>
          <w:b/>
          <w:bCs/>
          <w:sz w:val="28"/>
          <w:szCs w:val="28"/>
          <w:lang w:val="en-US" w:eastAsia="zh-CN"/>
        </w:rPr>
      </w:pPr>
      <w:r>
        <w:rPr>
          <w:rFonts w:hint="eastAsia" w:ascii="Times New Roman" w:hAnsi="Times New Roman" w:cs="Times New Roman"/>
          <w:b/>
          <w:bCs/>
          <w:sz w:val="28"/>
          <w:szCs w:val="28"/>
          <w:lang w:val="en-US" w:eastAsia="zh-CN"/>
        </w:rPr>
        <w:t xml:space="preserve">PART 1 </w:t>
      </w:r>
    </w:p>
    <w:p>
      <w:pPr>
        <w:spacing w:line="360" w:lineRule="auto"/>
        <w:ind w:firstLine="560" w:firstLineChars="200"/>
        <w:rPr>
          <w:rFonts w:hint="default" w:ascii="Times New Roman" w:hAnsi="Times New Roman" w:cs="Times New Roman"/>
          <w:sz w:val="28"/>
          <w:szCs w:val="28"/>
        </w:rPr>
      </w:pPr>
    </w:p>
    <w:p>
      <w:pPr>
        <w:spacing w:line="360" w:lineRule="auto"/>
        <w:rPr>
          <w:rFonts w:hint="default" w:ascii="Times New Roman" w:hAnsi="Times New Roman" w:cs="Times New Roman"/>
          <w:b/>
          <w:bCs/>
          <w:sz w:val="28"/>
          <w:szCs w:val="28"/>
        </w:rPr>
      </w:pPr>
      <w:r>
        <w:rPr>
          <w:rFonts w:hint="default" w:ascii="Times New Roman" w:hAnsi="Times New Roman" w:cs="Times New Roman"/>
          <w:b/>
          <w:bCs/>
          <w:sz w:val="28"/>
          <w:szCs w:val="28"/>
        </w:rPr>
        <w:t>Classification theory of ship autonomy</w:t>
      </w:r>
    </w:p>
    <w:p>
      <w:pPr>
        <w:spacing w:line="360" w:lineRule="auto"/>
        <w:ind w:firstLine="560" w:firstLineChars="200"/>
        <w:rPr>
          <w:rFonts w:hint="default" w:ascii="Times New Roman" w:hAnsi="Times New Roman" w:cs="Times New Roman"/>
          <w:sz w:val="28"/>
          <w:szCs w:val="28"/>
        </w:rPr>
      </w:pP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In recent years, technological advances and breakthroughs have triggered a series of industrial revolutions. However, from the point of view of technological evolution, four kinds can usually be distinguished (Liao et al. 2017)). The first was Industry 1.0 (the Age of Steam), which began in Britain in the late 18th century and was characteri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rPr>
        <w:t>ed by semi-automated production using hydraulic and steam-powered equipment. Second, Industry 2.0 (the Age of electricity), which began at the beginning of the 20th century, is characteri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rPr>
        <w:t>ed by the use of electricity for mass popularization and production activities. Third, Industry 3.0 (the Information Age) also began in the mid-20th century, with the advent of computers and the use of information and communication technologies to produce automated production (Peters 2017; Hyun Park et al. 2017; Xu, Xu and Li 2018). Finally, nowadays, Industry 4.0 begins at the beginning of the 21st century. The main feature of Industry 4.0 is the convergence of information physical systems and Internet of Things technologies to produce autonomous intelligence and unmanned systems.</w:t>
      </w:r>
    </w:p>
    <w:p>
      <w:pPr>
        <w:spacing w:line="360" w:lineRule="auto"/>
        <w:ind w:firstLine="560" w:firstLineChars="200"/>
        <w:rPr>
          <w:rFonts w:hint="eastAsia" w:ascii="Times New Roman" w:hAnsi="Times New Roman" w:cs="Times New Roman"/>
          <w:sz w:val="28"/>
          <w:szCs w:val="28"/>
          <w:lang w:val="en-US" w:eastAsia="zh-CN"/>
        </w:rPr>
      </w:pPr>
      <w:r>
        <w:rPr>
          <w:rFonts w:hint="default" w:ascii="Times New Roman" w:hAnsi="Times New Roman" w:cs="Times New Roman"/>
          <w:sz w:val="28"/>
          <w:szCs w:val="28"/>
        </w:rPr>
        <w:t>Unmanned systems have been applied to all walks of life and become an inseparable part of human society.</w:t>
      </w:r>
      <w:r>
        <w:rPr>
          <w:rFonts w:hint="eastAsia" w:ascii="Times New Roman" w:hAnsi="Times New Roman" w:cs="Times New Roman"/>
          <w:sz w:val="28"/>
          <w:szCs w:val="28"/>
          <w:lang w:val="en-US" w:eastAsia="zh-CN"/>
        </w:rPr>
        <w:t xml:space="preserve"> Unmanned systems have been applied to all walks of life and become an inseparable part of human society. Applications like drones and driverless cars are already changing the way and nature of work. The introduction of automated systems in various industries has greatly improved safety and reduced accidents, but the shipping industry is undergoing a revolution. Since the advent of the maritime industry, it has relied on human activities for exploration and trade, such as maintenance of ship machinery, positioning and navigation. At present, these conditions are gradually changing, unmanned ships and autonomous ships began to rise quietly. The shipping industry is an international business, with around 1.6 million seafarers currently active on routes worldwide (UNCTAD 2019) and responsible for about 90 per cent of global freight traffic. (Oksavik et al. 2020) However, some scholars believe that removing humans from ships can improve the safety and efficiency of the shipping industry. (Hoem et al. 2019). And in recent years, there has been a growing interest in the automation of large-scale cargo transportation at commercial sea. And a preference for higher levels of autonomy. (Pazouki et al. 2018) It is therefore important that this paper discuss the different terms used to designate autonomous vessels.</w:t>
      </w:r>
    </w:p>
    <w:p>
      <w:pPr>
        <w:spacing w:line="360" w:lineRule="auto"/>
        <w:ind w:firstLine="280" w:firstLineChars="100"/>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Understanding the difference between autonomous, unmanned and automatic</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ships requires ergonomics, artificial intelligence, human factors and more.</w:t>
      </w:r>
      <w:r>
        <w:rPr>
          <w:rFonts w:hint="eastAsia" w:ascii="Times New Roman" w:hAnsi="Times New Roman" w:cs="Times New Roman"/>
          <w:sz w:val="28"/>
          <w:szCs w:val="28"/>
          <w:lang w:val="en-US" w:eastAsia="zh-CN"/>
        </w:rPr>
        <w:t xml:space="preserve"> The word . </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autonomy” has been launched in the early 17th century, originating from the greek word </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autonomia/autonomous</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which means auto = </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self”and “nomos = law”, independent and self-governing ((http://dictionary.cambrid), (http://dictionary.referen)). The word by itself is a concept found in different kinds of sciences, like engineering, philosophy, biology and medicine. As far as the engineering etymology is concerned, the word autonomy is used in order to describe the ability of an engineering system to make its own decisions about its actions while performing different tasks, without the need for the involvement of an exogenous system or operator (Albus et al., 1998). Thus, autonomous systems can make choices without external influence, and autonomy is when the system changes the mode of operation it was originally programmed to operate in, but such mode is determined in advance by the system designer. </w:t>
      </w: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The word “automation” was introduced in the mid of the 19th century and is inspired by the earlier word automatic ((http://dictionary.cambrid), (http://dictionary.referen)). Automation includes the execution by a machine agent of a function that was previously carried out by a human ((Parasuraman, 2000). In summary, the word automation refers to a system that will be implemented exactly as it was programmed, without any choice or potential to be modified in any different way depending on the different situations encountered. Its behavior is preprogrammed from the start, and it has no ability to change it. Even though an unmanned system is generally understood as one remotely controlled with or without a human on board, some variations still exist across industries (Liu et al. 2016; Rødseth 2019). Therefore, it is necessary to understand how the maritime industry understands and applies autonomous unmanned systems. The standard definition that is often relied upon from the perspective of the shipping industry is developed by the International Maritime Organization (IMO). IMO proposes the common name for autonomous and unmanned vessels as Maritime Autonomous Surface Vessel (MASS), which describes a vessel that can operate with varying degrees of independence from human interaction (Rødseth, Nordahl and Hoem, 2018). In addition, Lloyd's Register proposes a seven-level classification of autonomous levels in maritime transport, where level 0 represents ships with no autonomous function, in which all actions and decisions are carried out manually (although the system may have some degree of autonomy), and level 5 represents fully autonomous ships, in which decisions are made without any supervision. However, the standard reference for the shipping industry is the classification of autonomous vessels proposed by IMO as follows:</w:t>
      </w: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Level 1 -- Ships with automated processes and decision support: Sailors operate and control onboard systems and functions. Some operations may be automated.</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Level 2 - Remote Control boat with crew on board: The boat is controlled and operated from another position, but with crew on board.</w:t>
      </w: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Level 3 - Remote control vessel without crew on board: Controls and operates the vessel from another position. There were no sailors on board.</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Level 4 - Fully autonomous ship: The ship's operating system is able to make decisions and determine actions on its own.</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This classification largely integrates the ideas of Rødseth, Nordahl and Hoem (2018) and Lloyd's register. A Level 3 MASS is often referred to as unmanned. Depending on the hierarchical classification of such systems, human involvement in offshore operations may be reduced from direct, manual control to remote supervision and control, or periodic status checks. In any case, the role of the human is reduced: in some concepts, only one maintenance person remains on board during a given period of time (Komianos 2018), rather than the entire crew, under certain circumstances. For others, all operations will be performed remotely or autonomously using an extensive network of sensors and communication links (Kobyli productive ski 2018; Fan et al. 2020). The pursuit of unmanned ships is driven by a number of factors, including cost reduction (Zghyer et al. 2019; Jo and Enrico, 2020). Since on-board labor costs can account for 36% of all costs (Kretschmann et al., 2017), the idea of autonomous (or unmanned) ships is forward-looking, and scholars agree that it will eventually happen. However, this will bring about a subversive change to the Marine industry employees, and the existing maritime education and training will also face specific challenges and impacts. The benefits and challenges of introducing MASS to shipping also need to be considered from a practical perspective. On the one hand, benefits can be derived from human factors, business, and social impacts. First, the human factor can be eliminated by reducing sea transportation to eliminate human errors of judgment, accidents caused by fatigue and alcoholism, work stress, inadequate staffing, poor living conditions, etc. Secondly, from the perspective of commercial factors, it can reduce the cost of human resources, save fuel, and increase the working time and sailing distance of ships. Thirdly, in terms of social influence, MASS makes up for the shortage of seafarers' labor force and changes the way of life and work of seafarers. On the other hand, challenges are also obvious. From the perspective of human factors, human-computer interaction technology is not mature, and there is no clear standard and specification for the working ability of professional and technical personnel. The business dimension requires changes and more investment in technology, professional services, maritime training and education. From the perspective of social impact, the introduction of MASS has led to the constant changes in the labor market demand of the shipping industry, and the reserve and existing professional personnel reserve or those attached to the shipping industry are insufficient or their skills are outdated. </w:t>
      </w:r>
    </w:p>
    <w:p>
      <w:pPr>
        <w:spacing w:line="360" w:lineRule="auto"/>
        <w:rPr>
          <w:rFonts w:hint="default" w:ascii="Times New Roman" w:hAnsi="Times New Roman" w:cs="Times New Roman"/>
          <w:b/>
          <w:bCs/>
          <w:sz w:val="28"/>
          <w:szCs w:val="28"/>
          <w:lang w:val="en-US" w:eastAsia="zh-CN"/>
        </w:rPr>
      </w:pPr>
    </w:p>
    <w:p>
      <w:pPr>
        <w:spacing w:line="360" w:lineRule="auto"/>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Shipping information decision theory</w:t>
      </w:r>
    </w:p>
    <w:p>
      <w:pPr>
        <w:spacing w:line="360" w:lineRule="auto"/>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shipping industry can be highly volatile and risky (Kavussanos and Visvikis, 2006), and most activities are carried out under conditions of uncertainty and stress. Wiswikis (2002) believes that information can aid challenging decision-making by reducing uncertainty. In addition, shipping managers should adopt a certain behavior (Choi et al., 2020) and an unstable environment (Yin et al., 2019) when decisions are aimed at profit maximization in competition. However, decisions related to market risks, ship operations and other technical areas may adversely affect shipping companies (Yin et al., 2019). These perceived risks affect and shape the information behavior and performance of shipping managers. Events (Yin et al. 2019) have the power to alter macroeconomic variables, shock market participants, and increase uncertainty (Michail and Melas 2020). This phenomenon affecting geopolitical factors could significantly affect global trade and influence the decisions of shipping companies (Kotcharin and Maneenop 2020). More precisely, the information confusion caused by the COVID-19 pandemic has increased market uncertainty and price volatility (Haroon and Rizvi, 2020). It is important to emphasize that effective information management practices, such as knowledge management procedures that can enhance decision-making, have become a necessity for shipping companies since the 2008 financial crisis. Given these factors, this research is attractive to companies operating in a competitive environment in a crisis. Huang et al. (2015) clarified that the existence of risks and uncertainties usually requires complex decision scenario analysis. Decision making usually involves the study of industry fundamentals, long-term objectives, and test cases concerning theories of market patterns (Hilton, 2001). Jumi (2019) means that decision-making should be a rational mechanism, because reason can deal with uncertainty.</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Rational model, based on logical thinking and analysis; Intuitive or irrational patterns based on emotion or emotion (Huang et al., 2015). Industry influences the types of decisions managers make.</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Abubakar et al. 2019) shows that competitive industries often lead to rational decision-making. However, the rationality of decision often brings some disadvantages. In this respect, rational decision-making depends on speed, capability, and technology, and limits the information that can be processed (Abubakar et al. 2019). In the same context, Hilton (2001) supports the view that technological progress has led to information overload for decision makers, thereby placing more constraints on rational decision-making. It seems reasonable that managers have little guidance on how to use their limited information processing capabilities to process the amount of information available (Winkler et al., 2015). Since managers are accountable for their decisions, they often take fewer rational decisions and choose ones that are easy to explain. The literature suggests that intuition is a management skill used when making important decisions because it can cope with volatility and uncertainty in a way that logic and reason cannot (Constantiou, 2019). In addition, managers often make strategic decisions based on intuition in response to uncertain, risky, and volatile environments and time constraints (Dane and Pratt, 2007). In fact, managers need to be able to critically analyze problems while using intuition to react quickly in demanding environments (Simon, 2020). Keller and Sadler Smith (2019) are convinced that planning and analysis systems alone cannot facilitate decision making.</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b/>
          <w:bCs/>
          <w:sz w:val="28"/>
          <w:szCs w:val="28"/>
          <w:lang w:val="en-US" w:eastAsia="zh-CN"/>
          <w14:textFill>
            <w14:gradFill>
              <w14:gsLst>
                <w14:gs w14:pos="0">
                  <w14:srgbClr w14:val="E30000"/>
                </w14:gs>
                <w14:gs w14:pos="100000">
                  <w14:srgbClr w14:val="760303"/>
                </w14:gs>
              </w14:gsLst>
              <w14:lin w14:scaled="0"/>
            </w14:gradFill>
          </w14:textFill>
        </w:rPr>
      </w:pPr>
      <w:r>
        <w:rPr>
          <w:rFonts w:hint="eastAsia" w:ascii="Times New Roman" w:hAnsi="Times New Roman" w:cs="Times New Roman"/>
          <w:b/>
          <w:bCs/>
          <w:sz w:val="28"/>
          <w:szCs w:val="28"/>
          <w:lang w:val="en-US" w:eastAsia="zh-CN"/>
        </w:rPr>
        <w:t>T</w:t>
      </w:r>
      <w:r>
        <w:rPr>
          <w:rFonts w:hint="default" w:ascii="Times New Roman" w:hAnsi="Times New Roman" w:cs="Times New Roman"/>
          <w:b/>
          <w:bCs/>
          <w:sz w:val="28"/>
          <w:szCs w:val="28"/>
          <w:lang w:val="en-US" w:eastAsia="zh-CN"/>
        </w:rPr>
        <w:t>raining and education</w:t>
      </w:r>
      <w:r>
        <w:rPr>
          <w:rFonts w:hint="eastAsia" w:ascii="Times New Roman" w:hAnsi="Times New Roman" w:cs="Times New Roman"/>
          <w:b/>
          <w:bCs/>
          <w:sz w:val="28"/>
          <w:szCs w:val="28"/>
          <w:lang w:val="en-US" w:eastAsia="zh-CN"/>
        </w:rPr>
        <w:t xml:space="preserve"> (MET)</w:t>
      </w:r>
      <w:r>
        <w:rPr>
          <w:rFonts w:hint="default" w:ascii="Times New Roman" w:hAnsi="Times New Roman" w:cs="Times New Roman"/>
          <w:b/>
          <w:bCs/>
          <w:sz w:val="28"/>
          <w:szCs w:val="28"/>
          <w:lang w:val="en-US" w:eastAsia="zh-CN"/>
        </w:rPr>
        <w:t xml:space="preserve"> for seafarers</w:t>
      </w:r>
      <w:r>
        <w:rPr>
          <w:rFonts w:hint="eastAsia" w:ascii="Times New Roman" w:hAnsi="Times New Roman" w:cs="Times New Roman"/>
          <w:b/>
          <w:bCs/>
          <w:sz w:val="28"/>
          <w:szCs w:val="28"/>
          <w:lang w:val="en-US" w:eastAsia="zh-CN"/>
        </w:rPr>
        <w:t xml:space="preserve"> </w:t>
      </w:r>
      <w:r>
        <w:rPr>
          <w:rFonts w:hint="eastAsia" w:ascii="Times New Roman" w:hAnsi="Times New Roman" w:cs="Times New Roman"/>
          <w:b/>
          <w:bCs/>
          <w:sz w:val="28"/>
          <w:szCs w:val="28"/>
          <w:lang w:val="en-US" w:eastAsia="zh-CN"/>
          <w14:textFill>
            <w14:gradFill>
              <w14:gsLst>
                <w14:gs w14:pos="0">
                  <w14:srgbClr w14:val="E30000"/>
                </w14:gs>
                <w14:gs w14:pos="100000">
                  <w14:srgbClr w14:val="760303"/>
                </w14:gs>
              </w14:gsLst>
              <w14:lin w14:scaled="0"/>
            </w14:gradFill>
          </w14:textFill>
        </w:rPr>
        <w:t>海事教育虚拟培训</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pursuit of unmanned ships is driven by a number of factors, including cost reduction (Zghyer et al. 2019; Jo and Enrico, 2020). Since on-board labor costs can account for 36% of all costs (Kretschmann et al., 2017), the idea of autonomous (or unmanned) ships is forward-looking, and scholars agree that it will eventually happen. However, challenges are also obvious. From the perspective of human factors, human-computer interaction technology is not mature, and there is no clear standard and specification for the working ability of professional and technical personnel. The business dimension requires changes and more investment in technology, professional services, maritime training and education. From the perspective of human resource impact, the introduction of MASS has led to the constant changes in the labor market demand of the shipping industry, and the reserve and existing professional personnel reserve or those attached to the shipping industry are insufficient or their skills are outdated. Vocational training, education and re-education of seafarers is the mission of MET, which aims not only at sustainable development of maritime practitioners, but also at revitalizing the maritime community as a whole. As IMO Secretary-General K. Sekimizu(2010) stressed, "the shipping industry relies on competent and well-trained seafarers to ensure the safety of life at sea, maritime safety, navigation efficiency and the protection and maintenance of the Marine environment" this process is constantly changing; It depends on the technical, social, cultural, political and economic context of the countries of the world, as well as on international conventions, EU interregional organizations and national legislation. The operational education and training of water transport in almost all countries of the world originates from the on-the-job training model. The first attempt to codify international training for seafarers was made through the 1936 Convention on the Competence of Officers, under the auspices of the International Labour Organization (ILO). Among other things, the Convention requires that "no person shall perform or shall perform in any ship to which this Convention applies the duties of master or master, nautical officer in charge of watch, chief engineer or engineer in charge of watch, unless he holds a certificate of fitness to perform such duties issued or approved by the public authority of the territory in which the ship is registered. No specific criteria are specified. The 1978 International Convention on Standards of Training, Certification and Watchkeeping for Seafarers (STCW), which came into force in 1984, was the first international convention to lay down specific standards that seafarers must meet. However, the labor market will change significantly after the introduction of unmanned ships, and STCW's training system needs to be updated. In any case, the crew needs to be trained to perform all functional tasks and capabilities of the crew of an autonomous ship (Royce,2016). There are also articles pointing to the maritime sector, where automated ships may lead to the demise of certain jobs on ships, and although this is unlikely to happen before 2040, the importance of re-certification and retraining of crews will be key to the transition of the shipping industry to an era of automation and technology (WMU,2019). In adjusting the MET, changes in the legal framework governing MASS operations must be taken into account. Because of the use of international conventions in an international context, the legislation of each member state must be formulated within this context. Therefore, it is urgent to designate a sister treaty similar to STCW to extend the training of unmanned ship personnel, or to amend the provisions of the existing STCW treaty. Lloyd's Register of Shipping has identified the need for specialized education and training in intelligent information technology, knowledge of conventions and regulations, customized professional training, Marine engi</w:t>
      </w:r>
      <w:r>
        <w:rPr>
          <w:rFonts w:hint="default" w:ascii="Times New Roman" w:hAnsi="Times New Roman" w:cs="Times New Roman"/>
          <w:sz w:val="28"/>
          <w:szCs w:val="28"/>
          <w:lang w:val="en-US" w:eastAsia="zh-CN"/>
        </w:rPr>
        <w:t>neering technology training, logical and critical thinking training, and leadership training. This is due to the increasing integration of interdisciplinary research in computer science, social science, engineering and psychology, and involving different interest groups, such as policy makers, business employers, seafarers, educators, etc. More research needs to be done on the introduction of MASS. Because it is more likely that jobs will be changed rather than eliminated, at the same time, coupled with the creation of new types of jobs, will lead to changes in the definition and MET of training and re-skilling needs. The need for seafarers will decrease, however, the need for crews with AI technology and cyber skills will increase, they will need extensive training programs, and the shipping workforce will need to be trained and retrained. Information dissemination: Communication between ship and shoreline needs to be two-way, accurate, scalable, supported by multiple systems, and to minimize risk to ship navigation. In addition, there needs to be sufficient communication link capacity for ship sensor monitoring and remote control, and the ability to monitor equipment in use in real time. A combination of "digital" skills and maritime skills: Seafarers' tasks will become more digital, especially in operational monitoring and systems management, data analysis accuracy, fluency and the ability to use big data cloud computing. Further, the digital operation of ship scheduling, navigation planning, sea, rail and land multimodal transport services (bartuseviiien, 2020). Therefore, software engineering education and training in digital technologies will need to be adjusted to equip seafarers with the new skills they need. Unmanned ships have been applied to the commercial field and commercial benefits have been achieved. From the perspective of the industry, MASS's intervention in the maritime labor market will lead to changes and challenges in MET, and the transformation of maritime training and education will be paid attention to. Among them, Marine information technology training, data transmission, simulation training, and some factors that must be operated by humans and cannot be replaced by intelligent systems will become the key research directions.</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ind w:firstLine="3654" w:firstLineChars="1300"/>
        <w:rPr>
          <w:rFonts w:hint="eastAsia" w:ascii="Times New Roman" w:hAnsi="Times New Roman" w:cs="Times New Roman"/>
          <w:b/>
          <w:bCs/>
          <w:sz w:val="28"/>
          <w:szCs w:val="28"/>
          <w:lang w:val="en-US" w:eastAsia="zh-CN"/>
        </w:rPr>
      </w:pPr>
    </w:p>
    <w:p>
      <w:pPr>
        <w:spacing w:line="360" w:lineRule="auto"/>
        <w:ind w:firstLine="3654" w:firstLineChars="1300"/>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PART 2</w:t>
      </w: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Since ancient times, shipping has been a very adventurous activity. Training qualified sailors with excellent quality and diversified skills is the goal of every shipping company and even a country's human resources. Just as the pandemic has subsided and the shipping and trade industries have begun to recover, the pandemic has hit the world's educational institutions, including Maritime Education and Training (MET), which has also been hit by the virus. And the shipping industry, which has been depressed for as long as three years, has also begun to change. On the one hand, from the most intuitive aspect, many students can't arrive at the school for face-to-face instruction, or can't board the ship for practical operation. This is a challenge not only for students, but also for maritime education and training institutions. Different technologies and solutions need to be developed to deal with crises or fill gaps and ensure continuous teaching and learning. While online education is not an invention, it changes learning patterns, uses digital tools and other virtual infrastructure that will greatly enrich the overall maritime education and training system. On the other hand, I will evaluate the virtual application of maritime education and training in Norway and the platform construction of maritime education and training in China, and analyze the effectiveness of both parties in the practical application of maritime education and training.</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The International Association of Maritime Universities reports that 90 percent of member universities' normal teaching activities have been affected by the pandemic. The pandemic has forced universities to find other ways to provide educational content (Bertram, 2019). Many of the changes brought about by the pandemic are shifts in the way educational content is delivered, away from the traditional face-to-face classroom delivery to more technology-based virtual learning experiences. Prior to the pandemic, maritime teaching in Norway had begun to shift towards introducing more digital programmes, also for the re-education and retraining of Marine practitioners (Renganayagalu et al.,2022). However, it is important to note that due to the specific nature of Marine related occupations, Seafarers cannot participate in re-education and retraining courses as easily as shore-based or land-based personnel. At this time, all kinds of communication and information technologies are being noticed by training providers, and the introduction of such facilities will create new models for learning and training environments that will be very easy and achievable both in the Marine environment and on board a ship. Because of this, blended learning methods are used to improve the realizability and effectiveness of distance training. Maritime cadets, for example, can take a hybrid course in which they learn traditional classroom theory and use AI technology to learn practical operations to gain experience. (Yu,2016)</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Norwegian universities conducted qualitative research projects among maritime undergraduates, conducted questionnaires and case studies, and focused on the students' views on the mixed model of online and operational maritime education. The interviewed students think that the flexibility of hybrid course is more appropriate, so they can have more time to arrange work and other spare life. Meanwhile, they think that the quality of courses is not affected by hybrid mode. However, almost all students think that the most effective part of hybrid course is the practical training in the mode training room, while the least effective part is the online distance course. In my opinion, Norway is not a unique case. Many maritime training departments are faced with such problems. What needs to be paid the most attention is how to teach the experience of virtual simulator training and the actual effectiveness of theoretical conversion. But for the Norwegian maritime education sector, their effectiveness in the field of maritime education and training needs to be further enhanced. Therefore, the first approach adopted by Norway is to enrich maritime education and training resources as much as possible. The easiest way to achieve this is to establish a resource sharing mechanism, mainly in the form of physical training equipment resources, campus and so on. Maritime education and training requires constant changes in curriculum, teaching and assessment methods. New opportunities created by in-person learning and distance learning have become less distant due to the emergence of more and more high-tech technologies. However, based on the teaching objectives and principles, these components need to be evaluated specifically (garrick,2013). Zhao, Raicu, and Lu (2008) defines cloud computing as "a large-scale distributed paradigm driven by economies of scale, in which an abstract, virtualized, dynamically scalable, managed collection of computing power, storage, platforms, and services are provided to external customers on demand via the Internet". Technological capabilities now allow the delivery of sophisticated network simulators and virtual reality (VR) applications for individual and team training exercises (Markopoulos, 2019). In terms of maritime education and training, downloadable network outsourcing is generated through the network. Students can conduct training with specific equipment tools and network systems (Sokolov,2017). Finally, as VR technology can provide high-quality simulation environment, and the price is lower than traditional simulation simulators in the past, more students can afford virtual VR simulation trainers. While digital information technology remains a costly educational investment for families, it is more readily available than ever for professional training. This makes it now possible to obtain a more realistic and accurate virtual simulation experience in remote training campuses (Mallam,2019). The Norwegian approach is to share a hybrid model of teaching and practical experience with virtual VR technology in the field of maritime education and training.</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Transportation is one of the important tools to revitalize a country and the foundation of a country's development. Nowadays, with the highly integrated development of Internet economy, information technology and shipping economy, and the rapid development of modern maritime service industry, it is particularly important to cultivate employees suitable for modern maritime industry. The contradiction between supply and demand of high-level maritime composite talents has become the bottleneck restricting the rapid and sustainable development of the shipping industry (Jiang,2013). The construction of maritime education and training system and platform is also an important concern of relevant industries in China. China's maritime education and training theory advocates professional and technical personnel or senior management personnel with interdisciplinary, multi-level and complex professional knowledge background or work experience. The training subjects specifically involved include shipping finance, logistics management, shipping economy, maritime law, shipping information, shipping consulting, shipping transactions and other related fields. All these should be the focus or extension scope of maritime education and training. Maritime education shows more of a development model of cross-disciplinary co-teaching (Lai,2014). Therefore, China takes Wuhan as a pilot to try to build a composite platform for maritime and shipping education and training, which is mainly aimed at realizing functions such as resource allocation, development, operation, management, service, training quality tracking and talent evaluation. It is a maritime education and training platform promoted by the government, led by the industry and cooperated by enterprises and colleges by integrating high-quality education resources related to the government, enterprises and colleges.</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Maritime education and training establish cooperative training bases among universities and enterprises</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The cooperation between universities and enterprises in maritime education and training refers to the joint cultivation of maritime professionals required by the industry by fully relying on the superior resources of colleges and shipping enterprises and linking the advantages of theoretical research and teaching resources of colleges and universities with the advantages of production and practical experience of enterprises. Generally, bilateral cooperation training mode is adopted, and relevant cooperation agreements are signed to set up bases in universities or enterprises. The main forms are excellent engineer cooperative training base, talent cooperative training base, training base, and hire partner professionals as part-time professors, part-time teachers or part-time tutors. Take Wuhan as an example. IT is rich in higher education resources, with many colleges and universities specializing in shipping, shipbuilding, traffic management, logistics, ICT, finance, trade, law and insurance. At the same time, there are numerous shipping enterprises and institutions, which provide innate advantages and convenience for the school-enterprise cooperation training of shipping composite talents. Wuhan University of Technology has taken many measures to establish joint talent training bases with Changjiang Maritime Safety Administration and Shanghai Changjiang Shipping Co., LTD., and hired many engineers and managers with rich practical experience as part-time undergraduate teachers and joint tutors to undertake professional course teaching and practical guidance tasks (Zhang et al.,2021). Furthermore, the Ministry of Education of China (ME PRC, 2017) also conveyed the highest directive on the integration of industry and teaching and cooperation between schools and enterprises in the form of ministerial document specifications five years ago. The document conveys that through the establishment of the university-enterprise joint training base, enterprises participate in the determination of professional training objectives and the formulation of training programs. In terms of curriculum system construction, according to the actual work of the enterprise, it puts forward suggestions on the knowledge structure that maritime professionals should have, participates in the formulation of the teaching content and syllabus of relevant courses, undertakes the theoretical teaching and practical guidance tasks of professional courses, and provides important guidance for the training of maritime professionals in colleges and universities. From the national level, maritime education is included in the key development strategy, and pilot cities and universities are selected to carry out the integration of teaching practices and enterprises, which provides the institutional framework for the development of maritime education in China.</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Flexible maritime education model</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The maritime authorities should take advantage of the emerging technologies such as "cloud technology", VR (Virtual Reality) AR(Augmented Reality) and MR(Mediated reality) to build a new vocational training certification system. Leading the development of open online courses based on seafarers' training programs, establishing systematic apprenticeship training programs on ships, and providing high-quality resources for students willing to engage in maritime careers are effective ways to cultivate high-quality seafarers (Pan et al.,2018). In the era of digital Internet, it will be more and more common to have access to the Internet at all times on ships in operation. Great achievements will be made in online open courses and online training courses. The learning system can realize the mixed development of online migration and offline education, and its content and form are mainly personalized and diversified. For the students who choose the navigation vocational certification module, after completing the courses of general education module and professional basic module, they can sign a contract with the shipping company and work while learning on the ship. After boarding the ship, the theoretical learning of the students is mainly open online courses. The competent authorities and school instructors can track the students' learning situation at any time and test the students' learning effect through background data analysis. Establish a basic credit system (He&amp;Ren,2018). Therefore, for the students who have completed the corresponding knowledge points and passed the examination, corresponding credits will be granted, and those who meet the credit requirements stipulated by the school will be awarded the corresponding graduation certificate. The competent maritime authority shall issue corresponding vocational qualification certificates to those who have completed the study of the corresponding knowledge points, met the requirements of the training program for the class hours, obtained the qualification to take part in the examination, and passed the examination of the competent maritime authority.</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Establish a practical teaching system of modern apprenticeship</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Modern apprenticeship mode requires enterprises to provide trainees with quasi-employee status and practical training positions, and effectively combine professional theoretical knowledge with engineering practice in the form of teacher and apprentice, and finally achieve the goal of cultivating students' job ability, team spirit and dedication. 2017) and the content mentioned in the previous paragraph are also supplemented by the fact that maritime authorities should lead the supervision of schools, enterprises and students to sign tripartite training contracts, and formally register and record them with the maritime administration. The competent maritime authority may set up an apprenticeship training service center, which is responsible for the signing of training contracts, the implementation of benefits, the assessment of mentors and other specific matters, and follow up the whole process, providing security and corresponding training programs. After the training, the name of the internship enterprise is marked on the education diploma of the students, so as to improve the enthusiasm of enterprises to participate in vocational training. After the enterprise completes the training tasks for the students on schedule, the competent maritime authority shall evaluate the students' skill mastery, theoretical learning and performance in the enterprise, and grant appropriate subsidies to the enterprise and the tutor after they are qualified (He&amp;Ren,2018). Therefore, I believe that this approach will ensure the quality of training for enterprises and the certainty for students to obtain qualification certification. After the completion of training, students can obtain corresponding vocational qualification certificates through examination.</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Establish maritime education subsidies</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At present, governments at all levels subsidize navigation education mainly for the two maritime universities, such as Dalian Maritime University and Shanghai Maritime University, to purchase experimental equipment, build internship ships, or to subsidize navigation students without distinction. But at the same time, maritime university graduates on the ship internship rate is low is an indisputable fact. It is necessary for students majoring in navigation to practice on ships, and the country can purchase internship positions from shipping companies with conditions. For example, every ship of Chinese nationality must reserve space for maritime students to practice, and encourage ships with conditions to accept interns to sell internship positions. The funds for maritime education should be focused on subsidizing students who are willing to go on ships and who really want to be seafarers. Tuition waivers for such students would greatly increase the willingness of students to become seafarers, subsidize enterprises that are willing to participate in seafarers' training, and subsidize serving seafarers who are willing to take students along with them. However, it should be noted that maritime authorities should do a good job of supervision. For maritime students who enjoy subsidies, they must work on the ship for a certain number of years. If they violate the regulations, it is better to introduce a system of paying liquidated damages.</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In conclusion, through the evaluation of maritime education and training in Norway and China, it is not difficult to see that Norway mainly focuses on the technical aspects of students' maritime skills training, such as the use of VR virtual simulator technology, remote and face-to-face practice to conduct maritime education and training. However, the practical effectiveness of the teaching experience and theoretical conversion of virtual simulator is the most important thing to be concerned about. However, for the Norwegian maritime education department, their effectiveness in the field of maritime education and training needs to be further verified. In contrast, although China has also put forward the use of Internet technology and other ways of maritime education at the technical level, this part mainly focuses on the construction at the institutional level, such as the construction of enterprise and University-level platforms, the exploration of new apprenticeship model, the implementation of maritime education subsidies and other measures. Although the institutional framework has been established, its benefits to maritime education and training still need to be critically viewed and further explored.</w:t>
      </w:r>
    </w:p>
    <w:p>
      <w:pPr>
        <w:spacing w:line="360" w:lineRule="auto"/>
        <w:ind w:firstLine="560" w:firstLineChars="200"/>
        <w:rPr>
          <w:rFonts w:hint="eastAsia" w:ascii="Times New Roman" w:hAnsi="Times New Roman" w:cs="Times New Roman"/>
          <w:sz w:val="28"/>
          <w:szCs w:val="28"/>
          <w:lang w:val="en-US" w:eastAsia="zh-CN"/>
        </w:rPr>
      </w:pPr>
    </w:p>
    <w:p>
      <w:pPr>
        <w:spacing w:line="360" w:lineRule="auto"/>
        <w:ind w:firstLine="3935" w:firstLineChars="1400"/>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Part 3</w:t>
      </w:r>
    </w:p>
    <w:p>
      <w:pPr>
        <w:spacing w:line="360" w:lineRule="auto"/>
        <w:ind w:firstLine="562" w:firstLineChars="200"/>
        <w:rPr>
          <w:rFonts w:hint="default" w:ascii="Times New Roman" w:hAnsi="Times New Roman" w:cs="Times New Roman"/>
          <w:b/>
          <w:bCs/>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Two paradigm-shifting models are becoming more and more embedded in today's corporate operations. On the one hand, sustainability has started a fundamental paradigm shift in sustainability between companies and departments and across industries. On the other hand, the paradigm shift is embodied in the company's productivity and productivity improvement to the external sustainable growth of resource conservation, social enterprise responsibility, welfare assistance, etc. People's view of business operations affecting the social economy is being fundamentally changed by sustainable growth operations. In addition, the international shipping industry integrates sustainability into global economic development and trade prosperity promotion, so the concept of sustainable development of the international shipping industry plays a vital role (Angelos&amp; Ilias,2020). Wang(2020) points out that the shipping industry is currently in a transition stage, which will put forward higher requirements for the shipping industry and also pose higher challenges to the leaders of the shipping industry. Facing the complex reality of corporate transformation, the shipping industry will gradually increase its requirements for leadership. Strong safety leadership needs to be focused on high risk industries such as sailing, a risky activity that takes place in an extremely unstable and complex environment every day. A ship sailing over the sea is like a moving kingdom, and the captain, like the king of the mobile community, has absolute authority and dominance, because the effectiveness, reliability and safety of each action in such dangerous tasks must be decided by the supreme ruler under practical conditions (Vuji? i?,et al,2018). Furthermore, the captain or actual controller must be the most knowledgeable and experienced person in the group. The absence of such leadership may lead to maritime accidents, resulting in death, injury, property damage and environmental pollution. A major part of safety leadership involves organic interaction and a sense of need among the ship's staff as a whole, as well as being an effective means of working together as a team. Effective cooperation and safety leadership should be the primary responsibility of the captain, whose responsibility should be to improve the overall safety of the voyage, encourage the morale of the voyage crew, carry out safety training regularly and protect the Marine environment during the voyage to monitor the safety performance of the crew in real time (Theotokas et al.2014). These are the specific aspects of ship safety leadership. Therefore, it is important for all stakeholders in the shipping industry to ensure that the leadership on board is clearly aware of the nature of this leadership and that it can be used effectively to ensure stability and promote the overall health of the shipping industry. This part will mainly evaluate the impact of change and transactional leadership on the safe navigation of ships.</w:t>
      </w: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Human error accounts for about 80 percent of maritime accidents, From this ratio, we can boldly assume that navigation safety is mainly affected by human perceived factors (hanzu et al.2012) Human errors and accidents result from poor leadership, insufficient task handling ability and communication effectiveness of ship leaders (Vuji? i?,et al,2018). With the development of science and technology, more and more artificial intelligence technology has been introduced into shipping, and the human-machine interaction frequency index is higher and higher, but there are two sides of everything. We also found the human factor error caused by new technology (Bieli,2017). The leadership of captains in fleet cooperation and ship management, especially in handling emergency situations, is also frequently identified as a weak link leading to safety problems. There are many incidents that can test these problems. One example is a fire on a ship. During the firefighting period, due to the unfamiliarity with the ship's construction, Safety leadership is defined by </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Wu et al.,2007</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as "the process of interaction between leaders and subordinates, Leaders can use this process to influence subordinates in the context of organizational and individual factors to achieve organizational safety goals." It can be seen from this that without the support of other subordinate members, it is impossible to become a successful leader, nor to implement leadership on the ship, let alone to show its due leadership performance.</w:t>
      </w: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Cooper (2015) points out that leaders can be high-weight or inspiring. Sailing was an extremely dangerous activity, and on the one hand positional leaders were held accountable according to the power conferred upon them by their position in the hierarchy. They tend to give orders, and those below him need to obey the orders of the leader. Commands and instructions to be followed by all people in the group form the basis of their leadership (Vujičić,et al,2021). In contrast, transactional leaders usually use special rewards or punishments to stabilize the unity within the organization. The effect of this kind of leadership depends on the psychological contract between leaders and subordinates. Transactional leadership is based on bureaucratic authority and legitimacy in relation to one's position in the organization. It emphasizes task objectives, working standards and outputs, often focuses on the completion of tasks and employees' compliance, and relies more on the organization's rewards and punishments to influence employees (Wen,2011). Contrary to transformational leadership, transactional leadership has no strict hierarchical relationship system and is on a relatively open platform. Transactional leadership also known as transactional leadership What is transactional leadership</w:t>
      </w: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Transactional Leadership was proposed by Hollander in 1978. Hollander believes that leadership behavior is a transaction process in which the leader and the led meet each other daily in a specific situation, that is, the leader guides and motivates subordinates to complete organizational goals with clear tasks and role requirements. [1] The characteristic of transactional leadership is that it emphasizes exchange. There is a contractual bargain between the leader and his subordinates. In the exchange, the leader provides his subordinates with remuneration, rewards in kind, promotion opportunities and honors to meet the needs and wishes of his subordinates; Subordinates, on the other hand, do what they're told to do, and in return, do what they're told to do. Burns argues that the effectiveness of this kind of leadership depends on the state of the psychological contract between the leader and the subordinates. Transactional leadership is based on bureaucratic authority and legitimacy in relation to one's position in the organi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ation. It emphasi</w:t>
      </w:r>
      <w:r>
        <w:rPr>
          <w:rFonts w:hint="eastAsia"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es task objectives, working standards and outputs, often focuses on the completion of tasks and the compliance of employees, and relies more on the rewards and punishments of the organization to influence employees. The outstanding characteristic of transactional leadership is that it lays great emphasis on performance. By clearly defining roles and tasks, transactional leaders can lead or mobilize subordinates to achieve established goals. The pursuit of predictable, sustainable results is the intrinsic driving force of all transactional leaders.</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Hasanspahić N, Frančić V, Vujičić S, Mandušić M.（2021）</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At present, scholars of Maritime University have shown research interest in leadership, especially safety leadership. They conducted a project to investigate the issue of captain safety leadership. From the collected data, we can gain an in-depth understanding of the characteristics of safety leadership considered by sailors, and reveal that there may be more than one type of captain leadership in the shipping industry. Scholars believe that security leadership can be regarded as a mixture of transactional and transformational leadership styles, and leaders should have enough leadership experience and knowledge to be ready for conversion in no specific environment. Of course, more than one-third of the respondents believed that the company pressure had a negative impact on other staff on the ship, and formed a system similar to the rigid hierarchy of the military. Further, the respondents believed that the captain who lacked leadership would be protected by the traditional and strong hierarchy of the ship, which was not conducive to the development of the ship and the shipping industry. According to other respondents, the leadership of a knowledgeable and experienced leader sets an example for subordinates and gives confidence to the crew. The author of this paper believes that the current research group and scope are limited, and some results may be biased. In the future, the nationality and age range of the surveyed group will be expanded.</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Maria Progoulaki, Vangelis Tsioumas &amp; Katerina Voutsina（2022）</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authors of this article believe that the leadership of the maritime and shipping industry is an urgent need to be paid attention to in the era when automated intelligent technology is widely put into practice. This is not only related to the development of the entire industry sector, but also related to the welfare of tens of thousands of people living on the sea, work safety and other issues. The authors argue that despite years of leadership research, there is still limited research on how to develop and apply leadership skills in the shipping industry, with a focus on authoritarian leadership styles. Although the author believes that there are similarities between navy and commercial ships in terms of leadership, whether these leadership can be fully transferred to merchant Marine operations needs to be further verified. In addition, the authors suggest that maritime education and training institutions can take some reflection from the findings of this study to develop the necessary leadership for future ship leaders.</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Ermal Xhelilaj, Bledar Saka (2018) </w:t>
      </w: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This article mainly assesses the leadership traits and skills required of young maritime officers in the complex and specific environment of their Marine work, as the owners of these ships are expected to shoulder their responsibilities and fulfill their obligations as maritime officers. How to effectively manage the ship to show its leadership is particularly important in the complex and demanding environment. Therefore, the author tries to analyze many viewpoints on the concept of leadership, and makes a critical analysis mainly on the controversial points of leadership. The conclusion is that each leadership style has its advantages. Of course, everything has two sides and also contains various disadvantages. The complexity and variability of shipping environment lead to different leadership styles that require specific analysis of specific problems in specific environments.</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To sum up, some scholars believe that leadership in different shipping environments will have different forms of expression, and there is no fixed model, which should be judged and understood according to specific needs. Furthermore, some scholars have proposed that transformational leadership and transactional leadership can be transformed in the shipping industry, or they can become a mixture to absorb the advantages of different types. Finally, some scholars believe that navy leadership can be transplanted to merchant shipping leadership. Although it is still in the process of verification, this is an effective method. Perhaps a very effective method is to directly train leaders who can adapt to and have modern shipping leadership from the beginning of education and training.</w:t>
      </w:r>
    </w:p>
    <w:p>
      <w:pPr>
        <w:spacing w:line="360" w:lineRule="auto"/>
        <w:ind w:firstLine="560" w:firstLineChars="200"/>
        <w:rPr>
          <w:rFonts w:hint="eastAsia" w:ascii="Times New Roman" w:hAnsi="Times New Roman" w:cs="Times New Roman"/>
          <w:sz w:val="28"/>
          <w:szCs w:val="28"/>
          <w:lang w:val="en-US" w:eastAsia="zh-CN"/>
        </w:rPr>
      </w:pPr>
    </w:p>
    <w:p>
      <w:pPr>
        <w:spacing w:line="360" w:lineRule="auto"/>
        <w:ind w:firstLine="560" w:firstLineChars="200"/>
        <w:rPr>
          <w:rFonts w:hint="default" w:ascii="Times New Roman" w:hAnsi="Times New Roman" w:cs="Times New Roman"/>
          <w:sz w:val="28"/>
          <w:szCs w:val="28"/>
          <w:lang w:val="en-US" w:eastAsia="zh-CN"/>
        </w:rPr>
      </w:pPr>
    </w:p>
    <w:p>
      <w:pPr>
        <w:spacing w:line="360" w:lineRule="auto"/>
        <w:ind w:firstLine="560" w:firstLineChars="200"/>
        <w:rPr>
          <w:rFonts w:hint="eastAsia" w:ascii="Segoe UI" w:hAnsi="Segoe UI" w:eastAsia="Segoe UI" w:cs="Segoe UI"/>
          <w:i w:val="0"/>
          <w:iCs w:val="0"/>
          <w:caps w:val="0"/>
          <w:color w:val="101214"/>
          <w:spacing w:val="0"/>
          <w:sz w:val="28"/>
          <w:szCs w:val="28"/>
          <w:shd w:val="clear" w:fill="FCFDFE"/>
        </w:rPr>
      </w:pPr>
    </w:p>
    <w:p>
      <w:pPr>
        <w:spacing w:line="360" w:lineRule="auto"/>
        <w:ind w:firstLine="560" w:firstLineChars="200"/>
        <w:rPr>
          <w:rFonts w:hint="eastAsia" w:ascii="Segoe UI" w:hAnsi="Segoe UI" w:eastAsia="Segoe UI" w:cs="Segoe UI"/>
          <w:i w:val="0"/>
          <w:iCs w:val="0"/>
          <w:caps w:val="0"/>
          <w:color w:val="101214"/>
          <w:spacing w:val="0"/>
          <w:sz w:val="28"/>
          <w:szCs w:val="28"/>
          <w:shd w:val="clear" w:fill="FCFDFE"/>
        </w:rPr>
      </w:pPr>
    </w:p>
    <w:p>
      <w:pPr>
        <w:spacing w:line="360" w:lineRule="auto"/>
        <w:ind w:firstLine="560" w:firstLineChars="200"/>
        <w:rPr>
          <w:rFonts w:hint="eastAsia" w:ascii="Segoe UI" w:hAnsi="Segoe UI" w:eastAsia="Segoe UI" w:cs="Segoe UI"/>
          <w:i w:val="0"/>
          <w:iCs w:val="0"/>
          <w:caps w:val="0"/>
          <w:color w:val="101214"/>
          <w:spacing w:val="0"/>
          <w:sz w:val="28"/>
          <w:szCs w:val="28"/>
          <w:shd w:val="clear" w:fill="FCFDFE"/>
        </w:rPr>
      </w:pPr>
    </w:p>
    <w:p>
      <w:pPr>
        <w:spacing w:line="360" w:lineRule="auto"/>
        <w:ind w:firstLine="560" w:firstLineChars="200"/>
        <w:rPr>
          <w:rFonts w:hint="eastAsia" w:ascii="Segoe UI" w:hAnsi="Segoe UI" w:eastAsia="Segoe UI" w:cs="Segoe UI"/>
          <w:i w:val="0"/>
          <w:iCs w:val="0"/>
          <w:caps w:val="0"/>
          <w:color w:val="101214"/>
          <w:spacing w:val="0"/>
          <w:sz w:val="28"/>
          <w:szCs w:val="28"/>
          <w:shd w:val="clear" w:fill="FCFDFE"/>
        </w:rPr>
      </w:pPr>
    </w:p>
    <w:p>
      <w:pPr>
        <w:rPr>
          <w:rFonts w:hint="eastAsia"/>
        </w:rPr>
      </w:pPr>
      <w:r>
        <w:rPr>
          <w:rFonts w:hint="eastAsia"/>
        </w:rPr>
        <w:t>Ytterstad, S., &amp; Olaisen, J. (2023). An Overview of Perspectives of Transformational Leadership. Learning Transformational Leadership: A Pedagogical and Practical Perspective, 13-33.</w:t>
      </w:r>
    </w:p>
    <w:p>
      <w:pPr>
        <w:rPr>
          <w:rFonts w:hint="eastAsia"/>
        </w:rPr>
      </w:pPr>
    </w:p>
    <w:p>
      <w:pPr>
        <w:rPr>
          <w:rFonts w:hint="eastAsia"/>
        </w:rPr>
      </w:pPr>
      <w:r>
        <w:rPr>
          <w:rFonts w:hint="eastAsia"/>
        </w:rPr>
        <w:t>Mirzani, Y. (2023). A STUDY ON LEADERSHIP STYLES AND ITS IMPACT ON ORGANIZATIONAL SUCCESS. EPRA International Journal of Economics, Business and Management Studies (EBMS), 10(1), 1-19.</w:t>
      </w:r>
    </w:p>
    <w:p>
      <w:pPr>
        <w:rPr>
          <w:rFonts w:hint="eastAsia"/>
        </w:rPr>
      </w:pPr>
    </w:p>
    <w:p>
      <w:pPr>
        <w:rPr>
          <w:rFonts w:hint="eastAsia"/>
        </w:rPr>
      </w:pPr>
      <w:r>
        <w:rPr>
          <w:rFonts w:hint="eastAsia"/>
        </w:rPr>
        <w:t>Cooper, D. (2015). Effective safety leadership: Understanding types &amp; styles that improve safety performance. Professional Safety, 60(02), 49-53.</w:t>
      </w:r>
    </w:p>
    <w:p>
      <w:pPr>
        <w:rPr>
          <w:rFonts w:hint="eastAsia"/>
        </w:rPr>
      </w:pPr>
    </w:p>
    <w:p>
      <w:pPr>
        <w:rPr>
          <w:rFonts w:hint="eastAsia"/>
        </w:rPr>
      </w:pPr>
      <w:r>
        <w:rPr>
          <w:rFonts w:hint="eastAsia"/>
        </w:rPr>
        <w:t>Hanzu-Pazara, R., Popescu, C., &amp; Varsami, A. (2012). The role of teamwork abilities and leadership skills for the safety of navigation. The 13th Annual General Assembly of the IAMU, Newfoundland and Labrador, 317-326.</w:t>
      </w:r>
    </w:p>
    <w:p>
      <w:pPr>
        <w:rPr>
          <w:rFonts w:hint="eastAsia"/>
        </w:rPr>
      </w:pPr>
    </w:p>
    <w:p>
      <w:pPr>
        <w:rPr>
          <w:rFonts w:hint="eastAsia"/>
        </w:rPr>
      </w:pPr>
      <w:r>
        <w:rPr>
          <w:rFonts w:hint="eastAsia"/>
        </w:rPr>
        <w:t>Hasanspahić N, Frančić V, Vujičić S, Mandušić M. Safety Leadership as a Means for Safe and Sustainable Shipping. Sustainability. 2021; 13(14):7841. https://doi.org/10.3390/su13147841</w:t>
      </w:r>
    </w:p>
    <w:p>
      <w:pPr>
        <w:rPr>
          <w:rFonts w:hint="eastAsia"/>
        </w:rPr>
      </w:pPr>
    </w:p>
    <w:p>
      <w:pPr>
        <w:rPr>
          <w:rFonts w:hint="eastAsia"/>
        </w:rPr>
      </w:pPr>
      <w:r>
        <w:rPr>
          <w:rFonts w:hint="eastAsia"/>
        </w:rPr>
        <w:t>Vujičić, S., Hasanspahić, N., &amp; Mišković, D. (2018). Importance of leadership qualities on board ships with emphasis on crisis situations. In ATINER’s Conference Paper Series, No: TRA2018–2529.</w:t>
      </w:r>
    </w:p>
    <w:p>
      <w:pPr>
        <w:rPr>
          <w:rFonts w:hint="eastAsia"/>
        </w:rPr>
      </w:pPr>
    </w:p>
    <w:p>
      <w:pPr>
        <w:rPr>
          <w:rFonts w:hint="eastAsia"/>
        </w:rPr>
      </w:pPr>
      <w:r>
        <w:rPr>
          <w:rFonts w:hint="eastAsia"/>
        </w:rPr>
        <w:t>Bielić, T., Hasanspahić, N., &amp; Čulin, J. (2017). Preventing marine accidents caused by technology-induced human error. Pomorstvo, 31(1), 33-37.</w:t>
      </w:r>
    </w:p>
    <w:p>
      <w:pPr>
        <w:rPr>
          <w:rFonts w:hint="eastAsia"/>
        </w:rPr>
      </w:pPr>
    </w:p>
    <w:p>
      <w:pPr>
        <w:rPr>
          <w:rFonts w:hint="eastAsia"/>
        </w:rPr>
      </w:pPr>
      <w:r>
        <w:rPr>
          <w:rFonts w:hint="eastAsia"/>
        </w:rPr>
        <w:t>Avio, C. G., Cardelli, L. R., Gorbi, S., Pellegrini, D., &amp; Regoli, F. (2017). Microplastics pollution after the removal of the Costa Concordia wreck: First evidences from a biomonitoring case study. Environmental Pollution, 227, 207-214.</w:t>
      </w:r>
    </w:p>
    <w:p>
      <w:pPr>
        <w:rPr>
          <w:rFonts w:hint="eastAsia"/>
        </w:rPr>
      </w:pPr>
    </w:p>
    <w:p>
      <w:pPr>
        <w:rPr>
          <w:rFonts w:hint="eastAsia"/>
        </w:rPr>
      </w:pPr>
    </w:p>
    <w:p>
      <w:pPr>
        <w:rPr>
          <w:rFonts w:hint="eastAsia"/>
        </w:rPr>
      </w:pPr>
      <w:r>
        <w:rPr>
          <w:rFonts w:hint="eastAsia"/>
        </w:rPr>
        <w:t>Wang, X., Yuen, K. F., Wong, Y. D., &amp; Li, K. X. (2020). How can the maritime industry meet Sustainable Development Goals? An analysis of sustainability reports from the social entrepreneurship perspective. Transportation Research Part D: Transport and Environment, 78.</w:t>
      </w:r>
    </w:p>
    <w:p>
      <w:pPr>
        <w:rPr>
          <w:rFonts w:hint="eastAsia"/>
        </w:rPr>
      </w:pPr>
    </w:p>
    <w:p>
      <w:pPr>
        <w:rPr>
          <w:rFonts w:hint="eastAsia"/>
        </w:rPr>
      </w:pPr>
      <w:r>
        <w:rPr>
          <w:rFonts w:hint="eastAsia"/>
        </w:rPr>
        <w:t>Wen Maowei. (2011). The Development of contemporary Anglo-American Organizational leadership: Theory and practice.</w:t>
      </w:r>
    </w:p>
    <w:p>
      <w:pPr>
        <w:rPr>
          <w:rFonts w:hint="eastAsia"/>
        </w:rPr>
      </w:pPr>
    </w:p>
    <w:p>
      <w:pPr>
        <w:rPr>
          <w:rFonts w:hint="eastAsia"/>
        </w:rPr>
      </w:pPr>
      <w:r>
        <w:rPr>
          <w:rFonts w:hint="eastAsia"/>
        </w:rPr>
        <w:t>Wu, T. C., Chen, C. H., &amp; Li, C. C. (2008). A correlation among safety leadership, safety climate and safety performance. Journal of loss prevention in the process industries, 21(3), 307-318.</w:t>
      </w:r>
    </w:p>
    <w:p>
      <w:pPr>
        <w:rPr>
          <w:rFonts w:hint="eastAsia"/>
        </w:rPr>
      </w:pPr>
    </w:p>
    <w:p>
      <w:pPr>
        <w:rPr>
          <w:rFonts w:hint="eastAsia"/>
        </w:rPr>
      </w:pPr>
      <w:r>
        <w:rPr>
          <w:rFonts w:hint="eastAsia"/>
        </w:rPr>
        <w:t>Angelos Pantouvakis, Ilias Vlachos,</w:t>
      </w:r>
      <w:r>
        <w:rPr>
          <w:rFonts w:hint="eastAsia"/>
          <w:lang w:val="en-US" w:eastAsia="zh-CN"/>
        </w:rPr>
        <w:t xml:space="preserve">(2020) </w:t>
      </w:r>
      <w:r>
        <w:rPr>
          <w:rFonts w:hint="eastAsia"/>
        </w:rPr>
        <w:t xml:space="preserve">Talent and leadership effects on sustainable performance in the maritime industry,Transportation Research Part D: </w:t>
      </w:r>
      <w:r>
        <w:rPr>
          <w:rFonts w:hint="eastAsia"/>
          <w:i/>
          <w:iCs/>
        </w:rPr>
        <w:t>Transport and Environment,Volume 86,</w:t>
      </w:r>
      <w:r>
        <w:rPr>
          <w:rFonts w:hint="eastAsia"/>
          <w:i/>
          <w:iCs/>
          <w:lang w:val="en-US" w:eastAsia="zh-CN"/>
        </w:rPr>
        <w:t xml:space="preserve"> </w:t>
      </w:r>
      <w:r>
        <w:rPr>
          <w:rFonts w:hint="eastAsia"/>
        </w:rPr>
        <w:fldChar w:fldCharType="begin"/>
      </w:r>
      <w:r>
        <w:rPr>
          <w:rFonts w:hint="eastAsia"/>
        </w:rPr>
        <w:instrText xml:space="preserve"> HYPERLINK "https://doi.org/10.1016/j.trd.2020.102440." </w:instrText>
      </w:r>
      <w:r>
        <w:rPr>
          <w:rFonts w:hint="eastAsia"/>
        </w:rPr>
        <w:fldChar w:fldCharType="separate"/>
      </w:r>
      <w:r>
        <w:rPr>
          <w:rStyle w:val="5"/>
          <w:rFonts w:hint="eastAsia"/>
        </w:rPr>
        <w:t>https://doi.org/10.1016/j.trd.2020.102440.</w:t>
      </w:r>
      <w:r>
        <w:rPr>
          <w:rFonts w:hint="eastAsia"/>
        </w:rPr>
        <w:fldChar w:fldCharType="end"/>
      </w:r>
    </w:p>
    <w:p>
      <w:pPr>
        <w:rPr>
          <w:rFonts w:hint="eastAsia"/>
        </w:rPr>
      </w:pPr>
    </w:p>
    <w:p>
      <w:pPr>
        <w:rPr>
          <w:rFonts w:hint="eastAsia"/>
        </w:rPr>
      </w:pPr>
      <w:r>
        <w:rPr>
          <w:rFonts w:hint="eastAsia"/>
        </w:rPr>
        <w:t xml:space="preserve">Progoulaki, M., Tsioumas, V. &amp; Voutsina, K. Turning followers into leaders: commercial shipping versus navy—a literature review. Marit Econ Logist 24, 466–488 (2022). </w:t>
      </w:r>
      <w:r>
        <w:rPr>
          <w:rFonts w:hint="eastAsia"/>
        </w:rPr>
        <w:fldChar w:fldCharType="begin"/>
      </w:r>
      <w:r>
        <w:rPr>
          <w:rFonts w:hint="eastAsia"/>
        </w:rPr>
        <w:instrText xml:space="preserve"> HYPERLINK "https://doi.org/10.1057/s41278-021-00210-w" </w:instrText>
      </w:r>
      <w:r>
        <w:rPr>
          <w:rFonts w:hint="eastAsia"/>
        </w:rPr>
        <w:fldChar w:fldCharType="separate"/>
      </w:r>
      <w:r>
        <w:rPr>
          <w:rStyle w:val="5"/>
          <w:rFonts w:hint="eastAsia"/>
        </w:rPr>
        <w:t>https://doi.org/10.1057/s41278-021-00210-w</w:t>
      </w:r>
      <w:r>
        <w:rPr>
          <w:rFonts w:hint="eastAsia"/>
        </w:rPr>
        <w:fldChar w:fldCharType="end"/>
      </w:r>
    </w:p>
    <w:p>
      <w:pPr>
        <w:rPr>
          <w:rFonts w:hint="eastAsia"/>
        </w:rPr>
      </w:pPr>
    </w:p>
    <w:p>
      <w:pPr>
        <w:rPr>
          <w:rFonts w:hint="eastAsia"/>
        </w:rPr>
      </w:pPr>
      <w:r>
        <w:rPr>
          <w:rFonts w:hint="eastAsia"/>
        </w:rPr>
        <w:t xml:space="preserve">Xhelilaj, E. i Sakaj, B. (2018). A Review of Leadership Behaviour of Maritime Officers in International Shipping. Pomorstvo, 32 (1), 76-79. </w:t>
      </w:r>
      <w:r>
        <w:rPr>
          <w:rFonts w:hint="eastAsia"/>
        </w:rPr>
        <w:fldChar w:fldCharType="begin"/>
      </w:r>
      <w:r>
        <w:rPr>
          <w:rFonts w:hint="eastAsia"/>
        </w:rPr>
        <w:instrText xml:space="preserve"> HYPERLINK "https://doi.org/10.31217/p.32.1.9" </w:instrText>
      </w:r>
      <w:r>
        <w:rPr>
          <w:rFonts w:hint="eastAsia"/>
        </w:rPr>
        <w:fldChar w:fldCharType="separate"/>
      </w:r>
      <w:r>
        <w:rPr>
          <w:rStyle w:val="5"/>
          <w:rFonts w:hint="eastAsia"/>
        </w:rPr>
        <w:t>https://doi.org/10.31217/p.32.1.9</w:t>
      </w:r>
      <w:r>
        <w:rPr>
          <w:rFonts w:hint="eastAsia"/>
        </w:rPr>
        <w:fldChar w:fldCharType="end"/>
      </w:r>
    </w:p>
    <w:p>
      <w:pPr>
        <w:rPr>
          <w:rFonts w:hint="eastAsia"/>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Bertram, V. (2019). Digital training solutions in the maritime context: Options and costs. Maritime Technology and Research.</w:t>
      </w:r>
    </w:p>
    <w:p>
      <w:pPr>
        <w:jc w:val="left"/>
        <w:rPr>
          <w:rFonts w:hint="default"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Renganayagalu, S.K., Mallam, S.C., &amp; Hernes, M.S. (2022). Maritime Education and Training in the COVID-19 Era and Beyond. TransNav, the International Journal on Marine Navigation and Safety of Sea Transportation.</w:t>
      </w:r>
      <w:r>
        <w:rPr>
          <w:rFonts w:hint="eastAsia" w:ascii="Times New Roman" w:hAnsi="Times New Roman" w:cs="Times New Roman"/>
          <w:sz w:val="24"/>
          <w:szCs w:val="24"/>
          <w:lang w:val="en-US" w:eastAsia="zh-CN"/>
        </w:rPr>
        <w:t xml:space="preserve"> </w:t>
      </w:r>
    </w:p>
    <w:p>
      <w:pPr>
        <w:jc w:val="left"/>
        <w:rPr>
          <w:rFonts w:hint="eastAsia"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Yu Haiyan </w:t>
      </w:r>
      <w:r>
        <w:rPr>
          <w:rFonts w:hint="eastAsia" w:ascii="Times New Roman" w:hAnsi="Times New Roman" w:cs="Times New Roman"/>
          <w:sz w:val="24"/>
          <w:szCs w:val="24"/>
          <w:lang w:val="en-US" w:eastAsia="zh-CN"/>
        </w:rPr>
        <w:t xml:space="preserve">(2016) </w:t>
      </w:r>
      <w:r>
        <w:rPr>
          <w:rFonts w:hint="default" w:ascii="Times New Roman" w:hAnsi="Times New Roman" w:cs="Times New Roman"/>
          <w:sz w:val="24"/>
          <w:szCs w:val="24"/>
          <w:lang w:val="en-US" w:eastAsia="zh-CN"/>
        </w:rPr>
        <w:t xml:space="preserve">Blended Learning Will Be Applicable in Maritime Education and Training </w:t>
      </w:r>
      <w:r>
        <w:rPr>
          <w:rFonts w:hint="eastAsia" w:ascii="Times New Roman" w:hAnsi="Times New Roman" w:cs="Times New Roman"/>
          <w:sz w:val="24"/>
          <w:szCs w:val="24"/>
          <w:lang w:val="en-US" w:eastAsia="zh-CN"/>
        </w:rPr>
        <w:t>.</w:t>
      </w:r>
      <w:r>
        <w:rPr>
          <w:rFonts w:hint="eastAsia" w:ascii="Times New Roman" w:hAnsi="Times New Roman" w:cs="Times New Roman"/>
          <w:i/>
          <w:iCs/>
          <w:sz w:val="24"/>
          <w:szCs w:val="24"/>
          <w:lang w:val="en-US" w:eastAsia="zh-CN"/>
        </w:rPr>
        <w:t>J</w:t>
      </w:r>
      <w:r>
        <w:rPr>
          <w:rFonts w:hint="default" w:ascii="Times New Roman" w:hAnsi="Times New Roman" w:cs="Times New Roman"/>
          <w:i/>
          <w:iCs/>
          <w:sz w:val="24"/>
          <w:szCs w:val="24"/>
          <w:lang w:val="en-US" w:eastAsia="zh-CN"/>
        </w:rPr>
        <w:t>ournal of Shipping and Ocean Engineering</w:t>
      </w:r>
      <w:r>
        <w:rPr>
          <w:rFonts w:hint="default" w:ascii="Times New Roman" w:hAnsi="Times New Roman" w:cs="Times New Roman"/>
          <w:sz w:val="24"/>
          <w:szCs w:val="24"/>
          <w:lang w:val="en-US" w:eastAsia="zh-CN"/>
        </w:rPr>
        <w:t xml:space="preserve"> 6 31-34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Garrick, R.D., Villasmil, L.A., Dell, E., &amp; Hart, R. (2013). Creating Technology Rich Learning Environments for the Classroom.</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Foster, Y. Zhao, I. Raicu and S. Lu</w:t>
      </w:r>
      <w:r>
        <w:rPr>
          <w:rFonts w:hint="eastAsia" w:ascii="Times New Roman" w:hAnsi="Times New Roman" w:cs="Times New Roman"/>
          <w:sz w:val="24"/>
          <w:szCs w:val="24"/>
          <w:lang w:val="en-US" w:eastAsia="zh-CN"/>
        </w:rPr>
        <w:t xml:space="preserve"> (2008)</w:t>
      </w:r>
      <w:r>
        <w:rPr>
          <w:rFonts w:hint="default" w:ascii="Times New Roman" w:hAnsi="Times New Roman" w:cs="Times New Roman"/>
          <w:sz w:val="24"/>
          <w:szCs w:val="24"/>
          <w:lang w:val="en-US" w:eastAsia="zh-CN"/>
        </w:rPr>
        <w:t xml:space="preserve"> “Cloud Computing and Grid Computing 360-Degree Compared,” Grid Computing Environments Workshop (GCE'08), Austin, pp. 1-10. doi:10.1109/GCE.2008.4738445</w:t>
      </w:r>
    </w:p>
    <w:p>
      <w:pPr>
        <w:jc w:val="left"/>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Markopoulos, E., Lauronen, J., Luimula, M., Lehto, P., &amp; Laukkanen, S. (2019). Maritime Safety Education with VR Technology (MarSEVR). 2019 10th IEEE International Conference on Cognitive Infocommunications (CogInfoCom), 283-288.</w:t>
      </w:r>
    </w:p>
    <w:p>
      <w:pPr>
        <w:jc w:val="both"/>
        <w:rPr>
          <w:rFonts w:hint="default"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Sokolov, S.S., Kovalnogova, N.M., Mitrofanova, A.V., Stepanov, V.A., &amp; Gorobtsov, A.P. (2017). Compliance with legal aspects of the applying of e-Learning in the training of seafarers. TransNav: </w:t>
      </w:r>
      <w:r>
        <w:rPr>
          <w:rFonts w:hint="default" w:ascii="Times New Roman" w:hAnsi="Times New Roman" w:cs="Times New Roman"/>
          <w:i/>
          <w:iCs/>
          <w:sz w:val="24"/>
          <w:szCs w:val="24"/>
          <w:lang w:val="en-US" w:eastAsia="zh-CN"/>
        </w:rPr>
        <w:t>International Journal on Marine Navigation and Safety of Sea Transportation,</w:t>
      </w:r>
      <w:r>
        <w:rPr>
          <w:rFonts w:hint="default" w:ascii="Times New Roman" w:hAnsi="Times New Roman" w:cs="Times New Roman"/>
          <w:sz w:val="24"/>
          <w:szCs w:val="24"/>
          <w:lang w:val="en-US" w:eastAsia="zh-CN"/>
        </w:rPr>
        <w:t xml:space="preserve"> 11, 457-460.</w:t>
      </w:r>
      <w:r>
        <w:rPr>
          <w:rFonts w:hint="eastAsia" w:ascii="Times New Roman" w:hAnsi="Times New Roman" w:cs="Times New Roman"/>
          <w:sz w:val="24"/>
          <w:szCs w:val="24"/>
          <w:lang w:val="en-US" w:eastAsia="zh-CN"/>
        </w:rPr>
        <w:t xml:space="preserve"> </w:t>
      </w:r>
    </w:p>
    <w:p>
      <w:pPr>
        <w:jc w:val="left"/>
        <w:rPr>
          <w:rFonts w:hint="eastAsia"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Mallam, S.C., Nazir, S., &amp; Renganayagalu, S.K. (2019). Rethinking Maritime Education, Training, and Operations in the Digital Era: Applications for Emerging Immersive Technologies. </w:t>
      </w:r>
      <w:r>
        <w:rPr>
          <w:rFonts w:hint="default" w:ascii="Times New Roman" w:hAnsi="Times New Roman" w:cs="Times New Roman"/>
          <w:i/>
          <w:iCs/>
          <w:sz w:val="24"/>
          <w:szCs w:val="24"/>
          <w:lang w:val="en-US" w:eastAsia="zh-CN"/>
        </w:rPr>
        <w:t>Journal of Marine Science and Engineering</w:t>
      </w:r>
      <w:r>
        <w:rPr>
          <w:rFonts w:hint="default" w:ascii="Times New Roman" w:hAnsi="Times New Roman" w:cs="Times New Roman"/>
          <w:sz w:val="24"/>
          <w:szCs w:val="24"/>
          <w:lang w:val="en-US" w:eastAsia="zh-CN"/>
        </w:rPr>
        <w:t>, 7, 428.</w:t>
      </w:r>
      <w:r>
        <w:rPr>
          <w:rFonts w:hint="eastAsia" w:ascii="Times New Roman" w:hAnsi="Times New Roman" w:cs="Times New Roman"/>
          <w:sz w:val="24"/>
          <w:szCs w:val="24"/>
          <w:lang w:val="en-US" w:eastAsia="zh-CN"/>
        </w:rPr>
        <w:t xml:space="preserve"> </w:t>
      </w:r>
    </w:p>
    <w:p>
      <w:pPr>
        <w:jc w:val="left"/>
        <w:rPr>
          <w:rFonts w:hint="eastAsia"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Jiang Jun, Tan Ming.</w:t>
      </w:r>
      <w:r>
        <w:rPr>
          <w:rFonts w:hint="eastAsia" w:ascii="Times New Roman" w:hAnsi="Times New Roman" w:cs="Times New Roman"/>
          <w:sz w:val="24"/>
          <w:szCs w:val="24"/>
          <w:lang w:val="en-US" w:eastAsia="zh-CN"/>
        </w:rPr>
        <w:t>(2013).</w:t>
      </w:r>
      <w:r>
        <w:rPr>
          <w:rFonts w:hint="default" w:ascii="Times New Roman" w:hAnsi="Times New Roman" w:cs="Times New Roman"/>
          <w:sz w:val="24"/>
          <w:szCs w:val="24"/>
          <w:lang w:val="en-US" w:eastAsia="zh-CN"/>
        </w:rPr>
        <w:t xml:space="preserve"> Analysis of S WO T of shipping talents in Chongqing and countermeasures</w:t>
      </w:r>
      <w:r>
        <w:rPr>
          <w:rFonts w:hint="eastAsia" w:ascii="Times New Roman" w:hAnsi="Times New Roman" w:cs="Times New Roman"/>
          <w:sz w:val="24"/>
          <w:szCs w:val="24"/>
          <w:lang w:val="en-US" w:eastAsia="zh-CN"/>
        </w:rPr>
        <w:t>.</w:t>
      </w:r>
      <w:r>
        <w:rPr>
          <w:rFonts w:hint="default" w:ascii="Times New Roman" w:hAnsi="Times New Roman" w:cs="Times New Roman"/>
          <w:i/>
          <w:iCs/>
          <w:sz w:val="24"/>
          <w:szCs w:val="24"/>
          <w:lang w:val="en-US" w:eastAsia="zh-CN"/>
        </w:rPr>
        <w:t>Journal of Chongqing Jiaotong University</w:t>
      </w:r>
      <w:r>
        <w:rPr>
          <w:rFonts w:hint="default" w:ascii="Times New Roman" w:hAnsi="Times New Roman" w:cs="Times New Roman"/>
          <w:sz w:val="24"/>
          <w:szCs w:val="24"/>
          <w:lang w:val="en-US" w:eastAsia="zh-CN"/>
        </w:rPr>
        <w:t xml:space="preserve"> (Social Science Edition),3(02): 25-29.</w:t>
      </w:r>
    </w:p>
    <w:p>
      <w:pPr>
        <w:jc w:val="left"/>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Lai Yongsheng. </w:t>
      </w:r>
      <w:r>
        <w:rPr>
          <w:rFonts w:hint="eastAsia" w:ascii="Times New Roman" w:hAnsi="Times New Roman" w:cs="Times New Roman"/>
          <w:sz w:val="24"/>
          <w:szCs w:val="24"/>
          <w:lang w:val="en-US" w:eastAsia="zh-CN"/>
        </w:rPr>
        <w:t xml:space="preserve">(2017) </w:t>
      </w:r>
      <w:r>
        <w:rPr>
          <w:rFonts w:hint="default" w:ascii="Times New Roman" w:hAnsi="Times New Roman" w:cs="Times New Roman"/>
          <w:sz w:val="24"/>
          <w:szCs w:val="24"/>
          <w:lang w:val="en-US" w:eastAsia="zh-CN"/>
        </w:rPr>
        <w:t>Implementation Guarantee and Evaluation of Training Mode of Interdisciplinary Cooperation Innovative Shipping Talents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Weekly Market Review (Theoretical Research), (10):1 36-1 37.</w:t>
      </w:r>
    </w:p>
    <w:p>
      <w:pPr>
        <w:jc w:val="left"/>
        <w:rPr>
          <w:rFonts w:hint="default" w:ascii="Times New Roman" w:hAnsi="Times New Roman" w:cs="Times New Roman"/>
          <w:sz w:val="24"/>
          <w:szCs w:val="24"/>
          <w:lang w:val="en-US" w:eastAsia="zh-CN"/>
        </w:rPr>
      </w:pPr>
    </w:p>
    <w:p>
      <w:pPr>
        <w:jc w:val="left"/>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Zhang, Y., Chen, X., Zhang, Q., &amp; Tao, D. (2021). Construction of Interdisciplinary Training Platform for Shipping Talents. Proceedings of the International Conference on Economics, Law and Education Research (ELER 2021).</w:t>
      </w:r>
      <w:r>
        <w:rPr>
          <w:rFonts w:hint="eastAsia" w:ascii="Times New Roman" w:hAnsi="Times New Roman" w:cs="Times New Roman"/>
          <w:sz w:val="24"/>
          <w:szCs w:val="24"/>
          <w:lang w:val="en-US" w:eastAsia="zh-CN"/>
        </w:rPr>
        <w:t xml:space="preserve"> </w:t>
      </w:r>
    </w:p>
    <w:p>
      <w:pPr>
        <w:jc w:val="left"/>
        <w:rPr>
          <w:rFonts w:hint="eastAsia" w:ascii="Times New Roman" w:hAnsi="Times New Roman" w:cs="Times New Roman"/>
          <w:sz w:val="24"/>
          <w:szCs w:val="24"/>
          <w:lang w:val="en-US" w:eastAsia="zh-CN"/>
        </w:rPr>
      </w:pPr>
    </w:p>
    <w:p>
      <w:pPr>
        <w:jc w:val="left"/>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Ministry of Education, PRC (2017) Breaking the "boundary" between Universities and Enterprises in Talent Training</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fldChar w:fldCharType="begin"/>
      </w:r>
      <w:r>
        <w:rPr>
          <w:rFonts w:hint="eastAsia" w:ascii="Times New Roman" w:hAnsi="Times New Roman" w:cs="Times New Roman"/>
          <w:sz w:val="24"/>
          <w:szCs w:val="24"/>
          <w:lang w:val="en-US" w:eastAsia="zh-CN"/>
        </w:rPr>
        <w:instrText xml:space="preserve"> HYPERLINK "http://www.moe.gov.cn/jyb_xwfb/s5147/201712/t20171221_322103.html" </w:instrText>
      </w:r>
      <w:r>
        <w:rPr>
          <w:rFonts w:hint="eastAsia" w:ascii="Times New Roman" w:hAnsi="Times New Roman" w:cs="Times New Roman"/>
          <w:sz w:val="24"/>
          <w:szCs w:val="24"/>
          <w:lang w:val="en-US" w:eastAsia="zh-CN"/>
        </w:rPr>
        <w:fldChar w:fldCharType="separate"/>
      </w:r>
      <w:r>
        <w:rPr>
          <w:rStyle w:val="5"/>
          <w:rFonts w:hint="eastAsia" w:ascii="Times New Roman" w:hAnsi="Times New Roman" w:cs="Times New Roman"/>
          <w:sz w:val="24"/>
          <w:szCs w:val="24"/>
          <w:lang w:val="en-US" w:eastAsia="zh-CN"/>
        </w:rPr>
        <w:t>http://www.moe.gov.cn/jyb_xwfb/s5147/201712/t20171221_322103.html</w:t>
      </w:r>
      <w:r>
        <w:rPr>
          <w:rFonts w:hint="eastAsia" w:ascii="Times New Roman" w:hAnsi="Times New Roman" w:cs="Times New Roman"/>
          <w:sz w:val="24"/>
          <w:szCs w:val="24"/>
          <w:lang w:val="en-US" w:eastAsia="zh-CN"/>
        </w:rPr>
        <w:fldChar w:fldCharType="end"/>
      </w:r>
    </w:p>
    <w:p>
      <w:pPr>
        <w:jc w:val="left"/>
        <w:rPr>
          <w:rFonts w:hint="default" w:ascii="Times New Roman" w:hAnsi="Times New Roman" w:cs="Times New Roman"/>
          <w:sz w:val="24"/>
          <w:szCs w:val="24"/>
          <w:lang w:val="en-US" w:eastAsia="zh-CN"/>
        </w:rPr>
      </w:pPr>
    </w:p>
    <w:p>
      <w:pPr>
        <w:jc w:val="both"/>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Pan Tianjun, Ouyang Zhongming</w:t>
      </w:r>
      <w:r>
        <w:rPr>
          <w:rFonts w:hint="eastAsia" w:ascii="Times New Roman" w:hAnsi="Times New Roman" w:cs="Times New Roman"/>
          <w:sz w:val="24"/>
          <w:szCs w:val="24"/>
          <w:lang w:val="en-US" w:eastAsia="zh-CN"/>
        </w:rPr>
        <w:t>,(2018).</w:t>
      </w:r>
      <w:r>
        <w:rPr>
          <w:rFonts w:hint="default" w:ascii="Times New Roman" w:hAnsi="Times New Roman" w:cs="Times New Roman"/>
          <w:sz w:val="24"/>
          <w:szCs w:val="24"/>
          <w:lang w:val="en-US" w:eastAsia="zh-CN"/>
        </w:rPr>
        <w:t>Job and Vocational Training in the Age of Artificial Intelligence: Development Trend and Countermeasures -- Based on the Future of Job and Vocational Training and Interpretation of "Cloud Labor Movement" Distance Education Journal,36 (1) : 18-26</w:t>
      </w:r>
      <w:r>
        <w:rPr>
          <w:rFonts w:hint="eastAsia" w:ascii="Times New Roman" w:hAnsi="Times New Roman" w:cs="Times New Roman"/>
          <w:sz w:val="24"/>
          <w:szCs w:val="24"/>
          <w:lang w:val="en-US" w:eastAsia="zh-CN"/>
        </w:rPr>
        <w:t xml:space="preserve">  </w:t>
      </w:r>
    </w:p>
    <w:p>
      <w:pPr>
        <w:jc w:val="left"/>
        <w:rPr>
          <w:rFonts w:hint="eastAsia"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Ji Ronghua</w:t>
      </w:r>
      <w:r>
        <w:rPr>
          <w:rFonts w:hint="eastAsia" w:ascii="Times New Roman" w:hAnsi="Times New Roman" w:cs="Times New Roman"/>
          <w:sz w:val="24"/>
          <w:szCs w:val="24"/>
          <w:lang w:val="en-US" w:eastAsia="zh-CN"/>
        </w:rPr>
        <w:t>(2017)</w:t>
      </w:r>
      <w:r>
        <w:rPr>
          <w:rFonts w:hint="default" w:ascii="Times New Roman" w:hAnsi="Times New Roman" w:cs="Times New Roman"/>
          <w:sz w:val="24"/>
          <w:szCs w:val="24"/>
          <w:lang w:val="en-US" w:eastAsia="zh-CN"/>
        </w:rPr>
        <w:t>. Research on Practice Teaching of school and Enterprise based on Modern apprenticeship. Experimental Technology and Management,34 (11) :149-153.</w:t>
      </w:r>
    </w:p>
    <w:p>
      <w:pPr>
        <w:jc w:val="left"/>
        <w:rPr>
          <w:rFonts w:hint="default" w:ascii="Times New Roman" w:hAnsi="Times New Roman" w:cs="Times New Roman"/>
          <w:sz w:val="24"/>
          <w:szCs w:val="24"/>
          <w:lang w:val="en-US" w:eastAsia="zh-CN"/>
        </w:rPr>
      </w:pPr>
    </w:p>
    <w:p>
      <w:pPr>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He Hongkang, Ren</w:t>
      </w:r>
      <w:r>
        <w:rPr>
          <w:rFonts w:hint="eastAsia" w:ascii="Times New Roman" w:hAnsi="Times New Roman" w:cs="Times New Roman"/>
          <w:sz w:val="24"/>
          <w:szCs w:val="24"/>
          <w:lang w:val="en-US" w:eastAsia="zh-CN"/>
        </w:rPr>
        <w:t>.(2018)</w:t>
      </w:r>
      <w:r>
        <w:rPr>
          <w:rFonts w:hint="default" w:ascii="Times New Roman" w:hAnsi="Times New Roman" w:cs="Times New Roman"/>
          <w:sz w:val="24"/>
          <w:szCs w:val="24"/>
          <w:lang w:val="en-US" w:eastAsia="zh-CN"/>
        </w:rPr>
        <w:t xml:space="preserve"> Research on Navigation Education,2018,35(4):31-35. (in Chinese</w:t>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0"/>
        </w:num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UNCTAD. 2019. Review of maritime transport. New York, NY: United Nations Publications.</w:t>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0"/>
        </w:num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Oksavik, A, H.P. Hildre, Y. Pan, I. Jenkinson, B. Kelly, D. Paraskevadakis, and R. Pyne. 2020. SKILLSEA: Future skill and competence needs. </w:t>
      </w:r>
      <w:r>
        <w:rPr>
          <w:rFonts w:hint="eastAsia" w:ascii="Times New Roman" w:hAnsi="Times New Roman" w:cs="Times New Roman"/>
          <w:sz w:val="28"/>
          <w:szCs w:val="28"/>
          <w:lang w:val="en-US" w:eastAsia="zh-CN"/>
        </w:rPr>
        <w:fldChar w:fldCharType="begin"/>
      </w:r>
      <w:r>
        <w:rPr>
          <w:rFonts w:hint="eastAsia" w:ascii="Times New Roman" w:hAnsi="Times New Roman" w:cs="Times New Roman"/>
          <w:sz w:val="28"/>
          <w:szCs w:val="28"/>
          <w:lang w:val="en-US" w:eastAsia="zh-CN"/>
        </w:rPr>
        <w:instrText xml:space="preserve"> HYPERLINK "https://ntnuopen.ntnu.no/ntnu-xmlui/handle/11250/2648963." </w:instrText>
      </w:r>
      <w:r>
        <w:rPr>
          <w:rFonts w:hint="eastAsia" w:ascii="Times New Roman" w:hAnsi="Times New Roman" w:cs="Times New Roman"/>
          <w:sz w:val="28"/>
          <w:szCs w:val="28"/>
          <w:lang w:val="en-US" w:eastAsia="zh-CN"/>
        </w:rPr>
        <w:fldChar w:fldCharType="separate"/>
      </w:r>
      <w:r>
        <w:rPr>
          <w:rStyle w:val="5"/>
          <w:rFonts w:hint="eastAsia" w:ascii="Times New Roman" w:hAnsi="Times New Roman" w:cs="Times New Roman"/>
          <w:sz w:val="28"/>
          <w:szCs w:val="28"/>
          <w:lang w:val="en-US" w:eastAsia="zh-CN"/>
        </w:rPr>
        <w:t>https://ntnuopen.ntnu.no/ntnu-xmlui/handle/11250/2648963.</w:t>
      </w:r>
      <w:r>
        <w:rPr>
          <w:rFonts w:hint="eastAsia" w:ascii="Times New Roman" w:hAnsi="Times New Roman" w:cs="Times New Roman"/>
          <w:sz w:val="28"/>
          <w:szCs w:val="28"/>
          <w:lang w:val="en-US" w:eastAsia="zh-CN"/>
        </w:rPr>
        <w:fldChar w:fldCharType="end"/>
      </w:r>
      <w:r>
        <w:rPr>
          <w:rFonts w:hint="eastAsia" w:ascii="Times New Roman" w:hAnsi="Times New Roman" w:cs="Times New Roman"/>
          <w:sz w:val="28"/>
          <w:szCs w:val="28"/>
          <w:lang w:val="en-US" w:eastAsia="zh-CN"/>
        </w:rPr>
        <w:t xml:space="preserve"> </w:t>
      </w:r>
    </w:p>
    <w:p>
      <w:pPr>
        <w:numPr>
          <w:ilvl w:val="0"/>
          <w:numId w:val="0"/>
        </w:numPr>
        <w:spacing w:line="360" w:lineRule="auto"/>
        <w:rPr>
          <w:rFonts w:hint="default"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Hoem, Å.S., K. Fjørtoft, and Ø.J. Rødseth. 2019. Addressing the accidental risks of maritime transportation: could autonomous shipping technology improve the statistics? TransNav, The International Journal on Marine Navigation and Safety of Sea Transportation 13 (3): 487–94.</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Pazouki, K., N. Forbes, R. A. Norman, and M. D. Woodward. 2018. “Investigation on the Impact of Human-Automation Interaction in Maritime Operations.” Ocean Engineering 153: 297–304. </w:t>
      </w:r>
    </w:p>
    <w:p>
      <w:pPr>
        <w:spacing w:line="360" w:lineRule="auto"/>
        <w:rPr>
          <w:rFonts w:hint="eastAsia"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J. Albus, P. Antsaklis, A. Meystel, K. Passino, T. Samad</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Setting the stage: some autonomous thoughts on autonomy</w:t>
      </w: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IEEE ISIC/CIRA/ISAS Joint Conference (1998), pp. 520-521</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Liu, Z., Y. Zhang, X. Yu, and C. Yuan. 2016. “Unmanned Surface Vehicles: An Overview of Developments and Challenges.” Annual Reviews in Control 41: 71–93.</w:t>
      </w:r>
    </w:p>
    <w:p>
      <w:pPr>
        <w:spacing w:line="360" w:lineRule="auto"/>
        <w:rPr>
          <w:rFonts w:hint="default"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Rødseth, ØJ. 2019. “Defining Ship Autonomy by Characteristic Factors.” In Proceedings of the 1st International Conference on Maritime Autonomous Surface Ships. Busan: SINTEF Academic Press.</w:t>
      </w:r>
      <w:r>
        <w:rPr>
          <w:rFonts w:hint="eastAsia" w:ascii="Times New Roman" w:hAnsi="Times New Roman" w:cs="Times New Roman"/>
          <w:sz w:val="28"/>
          <w:szCs w:val="28"/>
          <w:lang w:val="en-US" w:eastAsia="zh-CN"/>
        </w:rPr>
        <w:t xml:space="preserve"> </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Rødseth, ØJ, H. Nordahl, and Å Hoem. 2018. “Characterization of Autonomy in Merchant Ships.” In 2018 OCEANS-MTS/IEEE Kobe Techno-Oceans (OTO), Kobe, Japan, 1–7.</w:t>
      </w:r>
      <w:r>
        <w:rPr>
          <w:rFonts w:hint="eastAsia" w:ascii="Times New Roman" w:hAnsi="Times New Roman" w:cs="Times New Roman"/>
          <w:sz w:val="28"/>
          <w:szCs w:val="28"/>
          <w:lang w:val="en-US" w:eastAsia="zh-CN"/>
        </w:rPr>
        <w:t xml:space="preserve"> </w:t>
      </w:r>
    </w:p>
    <w:p>
      <w:pPr>
        <w:spacing w:line="360" w:lineRule="auto"/>
        <w:rPr>
          <w:rFonts w:hint="default"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Komianos, Aristotelis. 2018. The autonomous shipping era. Operational, regulatory, and quality challenges. TransNav, the International Journal on Marine Navigation and Safety of Sea Transportation 12 (2): 335–48.</w:t>
      </w:r>
      <w:r>
        <w:rPr>
          <w:rFonts w:hint="eastAsia" w:ascii="Times New Roman" w:hAnsi="Times New Roman" w:cs="Times New Roman"/>
          <w:sz w:val="28"/>
          <w:szCs w:val="28"/>
          <w:lang w:val="en-US" w:eastAsia="zh-CN"/>
        </w:rPr>
        <w:t xml:space="preserve"> </w:t>
      </w:r>
    </w:p>
    <w:p>
      <w:pPr>
        <w:spacing w:line="360" w:lineRule="auto"/>
        <w:rPr>
          <w:rFonts w:hint="default"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Kobyliński, Lech. 2018. Smart ships—Autonomous or remote controlled? Scientific Journals of the Maritime University of Szczecin 53 (125): 28–34.</w:t>
      </w:r>
      <w:r>
        <w:rPr>
          <w:rFonts w:hint="eastAsia" w:ascii="Times New Roman" w:hAnsi="Times New Roman" w:cs="Times New Roman"/>
          <w:sz w:val="28"/>
          <w:szCs w:val="28"/>
          <w:lang w:val="en-US" w:eastAsia="zh-CN"/>
        </w:rPr>
        <w:t xml:space="preserve"> </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Fan, Cunlong, Krzysztof Wróbel, Jakub Montewka, Mateusz Gil, Chengpeng Wan, and Di. Zhang. 2020. A framework to identify factors influencing navigational risk for maritime autonomous surface ships. Ocean Engineering.</w:t>
      </w:r>
      <w:r>
        <w:rPr>
          <w:rFonts w:hint="eastAsia" w:ascii="Times New Roman" w:hAnsi="Times New Roman" w:cs="Times New Roman"/>
          <w:sz w:val="28"/>
          <w:szCs w:val="28"/>
          <w:lang w:val="en-US" w:eastAsia="zh-CN"/>
        </w:rPr>
        <w:t xml:space="preserve"> </w:t>
      </w:r>
    </w:p>
    <w:p>
      <w:pPr>
        <w:spacing w:line="360" w:lineRule="auto"/>
        <w:rPr>
          <w:rFonts w:hint="default"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International Transport Workers Federation. 2010. STCW: a Guide for Seafarers. London: Author [online cit.: 2019-06-25]. Available from: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"https://www.mptusa.com/pdf/STCW_guide_english.pdf." </w:instrText>
      </w:r>
      <w:r>
        <w:rPr>
          <w:rFonts w:hint="default" w:ascii="Times New Roman" w:hAnsi="Times New Roman" w:cs="Times New Roman"/>
          <w:sz w:val="28"/>
          <w:szCs w:val="28"/>
          <w:lang w:val="en-US" w:eastAsia="zh-CN"/>
        </w:rPr>
        <w:fldChar w:fldCharType="separate"/>
      </w:r>
      <w:r>
        <w:rPr>
          <w:rStyle w:val="5"/>
          <w:rFonts w:hint="default" w:ascii="Times New Roman" w:hAnsi="Times New Roman" w:cs="Times New Roman"/>
          <w:sz w:val="28"/>
          <w:szCs w:val="28"/>
          <w:lang w:val="en-US" w:eastAsia="zh-CN"/>
        </w:rPr>
        <w:t>https://www.mptusa.com/pdf/STCW_guide_english.pdf</w:t>
      </w:r>
      <w:r>
        <w:rPr>
          <w:rStyle w:val="5"/>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fldChar w:fldCharType="end"/>
      </w:r>
    </w:p>
    <w:p>
      <w:pPr>
        <w:spacing w:line="360" w:lineRule="auto"/>
        <w:rPr>
          <w:rFonts w:hint="default"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Manuel, M.E. Vocational and academic approaches to maritime education and training (MET): Trends, challenges and opportunities. WMU J Marit Affairs 16, 473–483 (2017).</w:t>
      </w:r>
      <w:r>
        <w:rPr>
          <w:rFonts w:hint="eastAsia" w:ascii="Times New Roman" w:hAnsi="Times New Roman" w:cs="Times New Roman"/>
          <w:sz w:val="28"/>
          <w:szCs w:val="28"/>
          <w:lang w:val="en-US" w:eastAsia="zh-CN"/>
        </w:rPr>
        <w:t xml:space="preserve"> </w:t>
      </w:r>
    </w:p>
    <w:p>
      <w:pPr>
        <w:spacing w:line="360" w:lineRule="auto"/>
        <w:rPr>
          <w:rFonts w:hint="eastAsia"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Rolls-Royce. 2016. Remote and Autonomous Ships - The Next Steps, AAWA Position Paper. London: Rolls-Royce plc.</w:t>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World Maritime University. 2019. Transport 2040: Automation, Technology and Employment – The Future of Work. Reports. 58 [online cit.: 2019-06-25]. Available from: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"https://commons.wmu.se/lib_reports/58" </w:instrText>
      </w:r>
      <w:r>
        <w:rPr>
          <w:rFonts w:hint="default" w:ascii="Times New Roman" w:hAnsi="Times New Roman" w:cs="Times New Roman"/>
          <w:sz w:val="28"/>
          <w:szCs w:val="28"/>
          <w:lang w:val="en-US" w:eastAsia="zh-CN"/>
        </w:rPr>
        <w:fldChar w:fldCharType="separate"/>
      </w:r>
      <w:r>
        <w:rPr>
          <w:rStyle w:val="5"/>
          <w:rFonts w:hint="default" w:ascii="Times New Roman" w:hAnsi="Times New Roman" w:cs="Times New Roman"/>
          <w:sz w:val="28"/>
          <w:szCs w:val="28"/>
          <w:lang w:val="en-US" w:eastAsia="zh-CN"/>
        </w:rPr>
        <w:t>https://commons.wmu.se/lib_reports/58</w:t>
      </w:r>
      <w:r>
        <w:rPr>
          <w:rFonts w:hint="default" w:ascii="Times New Roman" w:hAnsi="Times New Roman" w:cs="Times New Roman"/>
          <w:sz w:val="28"/>
          <w:szCs w:val="28"/>
          <w:lang w:val="en-US" w:eastAsia="zh-CN"/>
        </w:rPr>
        <w:fldChar w:fldCharType="end"/>
      </w:r>
    </w:p>
    <w:p>
      <w:pPr>
        <w:spacing w:line="360" w:lineRule="auto"/>
        <w:rPr>
          <w:rFonts w:hint="default"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International Maritime Organization. 2018. MSC 99/WP.9., Regulatory Scoping Exercise for the Use of Maritime Autonomous Surface Ships (MAS), Report of the Working Group. London: IMO</w:t>
      </w:r>
      <w:r>
        <w:rPr>
          <w:rFonts w:hint="eastAsia" w:ascii="Times New Roman" w:hAnsi="Times New Roman" w:cs="Times New Roman"/>
          <w:sz w:val="28"/>
          <w:szCs w:val="28"/>
          <w:lang w:val="en-US" w:eastAsia="zh-CN"/>
        </w:rPr>
        <w:t xml:space="preserve"> </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Lloyds Register. 2016. Cyber-enabled Ships: Deploying Information and Communications Technology in Shipping – Lloyds Register's Approach to Assurance. London: Lloyds Register.</w:t>
      </w:r>
      <w:r>
        <w:rPr>
          <w:rFonts w:hint="eastAsia" w:ascii="Times New Roman" w:hAnsi="Times New Roman" w:cs="Times New Roman"/>
          <w:sz w:val="28"/>
          <w:szCs w:val="28"/>
          <w:lang w:val="en-US" w:eastAsia="zh-CN"/>
        </w:rPr>
        <w:t xml:space="preserve"> </w:t>
      </w:r>
    </w:p>
    <w:p>
      <w:pPr>
        <w:spacing w:line="360" w:lineRule="auto"/>
        <w:rPr>
          <w:rFonts w:hint="eastAsia"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Gu, Y.; Goez, J.C.; Guajardo, M.; Wallace, S.W. Autonomous Vessels: State of the Art and Potential Opportunities in Logistics; Centre for Applied Research at NHH: Bergen, Norway, 2019; p. 44</w:t>
      </w:r>
    </w:p>
    <w:p>
      <w:pPr>
        <w:spacing w:line="360" w:lineRule="auto"/>
        <w:rPr>
          <w:rFonts w:hint="default" w:ascii="Times New Roman" w:hAnsi="Times New Roman" w:cs="Times New Roman"/>
          <w:sz w:val="28"/>
          <w:szCs w:val="28"/>
          <w:lang w:val="en-US" w:eastAsia="zh-CN"/>
        </w:rPr>
      </w:pPr>
    </w:p>
    <w:p>
      <w:pPr>
        <w:numPr>
          <w:ilvl w:val="0"/>
          <w:numId w:val="1"/>
        </w:num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 Thanopoulou, D.-K. Ryoo, T.-W. Lee</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Korean liner shipping in the era of global alliances</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Marit. Pol. Manag., 26 (3) (1999), pp. 209-229</w:t>
      </w:r>
      <w:r>
        <w:rPr>
          <w:rFonts w:hint="eastAsia" w:ascii="Times New Roman" w:hAnsi="Times New Roman" w:cs="Times New Roman"/>
          <w:sz w:val="28"/>
          <w:szCs w:val="28"/>
          <w:lang w:val="en-US" w:eastAsia="zh-CN"/>
        </w:rPr>
        <w:t>.</w:t>
      </w:r>
    </w:p>
    <w:p>
      <w:pPr>
        <w:numPr>
          <w:ilvl w:val="0"/>
          <w:numId w:val="0"/>
        </w:numPr>
        <w:spacing w:line="360" w:lineRule="auto"/>
        <w:rPr>
          <w:rFonts w:hint="default" w:ascii="Times New Roman" w:hAnsi="Times New Roman" w:cs="Times New Roman"/>
          <w:sz w:val="28"/>
          <w:szCs w:val="28"/>
          <w:lang w:val="en-US" w:eastAsia="zh-CN"/>
        </w:rPr>
      </w:pPr>
    </w:p>
    <w:p>
      <w:pPr>
        <w:numPr>
          <w:ilvl w:val="0"/>
          <w:numId w:val="0"/>
        </w:num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UNCTAD</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Review of Maritime Transport 2016. United Nations: New York</w:t>
      </w:r>
      <w:r>
        <w:rPr>
          <w:rFonts w:hint="eastAsia"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(2017)</w:t>
      </w:r>
      <w:r>
        <w:rPr>
          <w:rFonts w:hint="eastAsia" w:ascii="Times New Roman" w:hAnsi="Times New Roman" w:cs="Times New Roman"/>
          <w:sz w:val="28"/>
          <w:szCs w:val="28"/>
          <w:lang w:val="en-US" w:eastAsia="zh-CN"/>
        </w:rPr>
        <w:t xml:space="preserve"> </w:t>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2"/>
        </w:num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Hill</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International Directory of Company Histories, vol. 150, Gale, Miami (2014)</w:t>
      </w:r>
      <w:r>
        <w:rPr>
          <w:rFonts w:hint="eastAsia" w:ascii="Times New Roman" w:hAnsi="Times New Roman" w:cs="Times New Roman"/>
          <w:sz w:val="28"/>
          <w:szCs w:val="28"/>
          <w:lang w:val="en-US" w:eastAsia="zh-CN"/>
        </w:rPr>
        <w:t xml:space="preserve"> </w:t>
      </w:r>
    </w:p>
    <w:p>
      <w:pPr>
        <w:numPr>
          <w:ilvl w:val="0"/>
          <w:numId w:val="0"/>
        </w:numPr>
        <w:spacing w:line="360" w:lineRule="auto"/>
        <w:rPr>
          <w:rFonts w:hint="default" w:ascii="Times New Roman" w:hAnsi="Times New Roman" w:cs="Times New Roman"/>
          <w:sz w:val="28"/>
          <w:szCs w:val="28"/>
          <w:lang w:val="en-US" w:eastAsia="zh-CN"/>
        </w:rPr>
      </w:pPr>
    </w:p>
    <w:p>
      <w:pPr>
        <w:numPr>
          <w:ilvl w:val="0"/>
          <w:numId w:val="0"/>
        </w:numPr>
        <w:spacing w:line="360" w:lineRule="auto"/>
        <w:jc w:val="left"/>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H.R. Morley Container Shipping Overcapacity Forecast to Worsen</w:t>
      </w:r>
    </w:p>
    <w:p>
      <w:pPr>
        <w:numPr>
          <w:ilvl w:val="0"/>
          <w:numId w:val="0"/>
        </w:numPr>
        <w:spacing w:line="360" w:lineRule="auto"/>
        <w:jc w:val="left"/>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(2016).https://www.joc.com/maritime-news/container-lines/container-shipping-overcapacity-forecast-worsen_20161102.html</w:t>
      </w:r>
    </w:p>
    <w:p>
      <w:pPr>
        <w:numPr>
          <w:ilvl w:val="0"/>
          <w:numId w:val="0"/>
        </w:numPr>
        <w:spacing w:line="360" w:lineRule="auto"/>
        <w:jc w:val="left"/>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  </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before="0" w:beforeAutospacing="0" w:after="0" w:afterAutospacing="0"/>
        <w:ind w:left="0" w:right="0" w:firstLine="0"/>
        <w:jc w:val="left"/>
        <w:rPr>
          <w:rStyle w:val="5"/>
          <w:rFonts w:hint="default"/>
          <w:lang w:val="en-US"/>
        </w:rPr>
      </w:pPr>
    </w:p>
    <w:p>
      <w:pPr>
        <w:numPr>
          <w:ilvl w:val="0"/>
          <w:numId w:val="0"/>
        </w:num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Monios, J. (2022). When smooth space becomes turbulent: The collapse of Hanjin Shipping and the immobilisation of ships, containers, goods and people. Environment and Planning A: Economy and Space, 0(0). </w:t>
      </w:r>
      <w:r>
        <w:rPr>
          <w:rFonts w:hint="eastAsia" w:ascii="Times New Roman" w:hAnsi="Times New Roman" w:cs="Times New Roman"/>
          <w:sz w:val="28"/>
          <w:szCs w:val="28"/>
          <w:lang w:val="en-US" w:eastAsia="zh-CN"/>
        </w:rPr>
        <w:fldChar w:fldCharType="begin"/>
      </w:r>
      <w:r>
        <w:rPr>
          <w:rFonts w:hint="eastAsia" w:ascii="Times New Roman" w:hAnsi="Times New Roman" w:cs="Times New Roman"/>
          <w:sz w:val="28"/>
          <w:szCs w:val="28"/>
          <w:lang w:val="en-US" w:eastAsia="zh-CN"/>
        </w:rPr>
        <w:instrText xml:space="preserve"> HYPERLINK "https://doi.org/10.1177/0308518X221126527" </w:instrText>
      </w:r>
      <w:r>
        <w:rPr>
          <w:rFonts w:hint="eastAsia" w:ascii="Times New Roman" w:hAnsi="Times New Roman" w:cs="Times New Roman"/>
          <w:sz w:val="28"/>
          <w:szCs w:val="28"/>
          <w:lang w:val="en-US" w:eastAsia="zh-CN"/>
        </w:rPr>
        <w:fldChar w:fldCharType="separate"/>
      </w:r>
      <w:r>
        <w:rPr>
          <w:rStyle w:val="5"/>
          <w:rFonts w:hint="eastAsia" w:ascii="Times New Roman" w:hAnsi="Times New Roman" w:cs="Times New Roman"/>
          <w:sz w:val="28"/>
          <w:szCs w:val="28"/>
          <w:lang w:val="en-US" w:eastAsia="zh-CN"/>
        </w:rPr>
        <w:t>https://doi.org/10.1177/0308518X221126527</w:t>
      </w:r>
      <w:r>
        <w:rPr>
          <w:rFonts w:hint="eastAsia" w:ascii="Times New Roman" w:hAnsi="Times New Roman" w:cs="Times New Roman"/>
          <w:sz w:val="28"/>
          <w:szCs w:val="28"/>
          <w:lang w:val="en-US" w:eastAsia="zh-CN"/>
        </w:rPr>
        <w:fldChar w:fldCharType="end"/>
      </w:r>
      <w:r>
        <w:rPr>
          <w:rFonts w:hint="eastAsia" w:ascii="Times New Roman" w:hAnsi="Times New Roman" w:cs="Times New Roman"/>
          <w:sz w:val="28"/>
          <w:szCs w:val="28"/>
          <w:lang w:val="en-US" w:eastAsia="zh-CN"/>
        </w:rPr>
        <w:t xml:space="preserve">  </w:t>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0"/>
        </w:num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Song D-W, Seo Y-J, Kwak D-W (2019) Learning from Hanjin Shipping’s failure: A holistic interpretation on its causes and reasons. Transport Policy 82: 77–87.</w:t>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3"/>
        </w:num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-W. Lee (1999) Restructuring of the economy and its impacts on the Korean maritime industry Marit. Pol. Manag., 26 (4) pp. 311-325 </w:t>
      </w:r>
    </w:p>
    <w:p>
      <w:pPr>
        <w:numPr>
          <w:ilvl w:val="0"/>
          <w:numId w:val="0"/>
        </w:numPr>
        <w:spacing w:line="360" w:lineRule="auto"/>
        <w:rPr>
          <w:rFonts w:hint="default" w:ascii="Times New Roman" w:hAnsi="Times New Roman" w:cs="Times New Roman"/>
          <w:sz w:val="28"/>
          <w:szCs w:val="28"/>
          <w:lang w:val="en-US" w:eastAsia="zh-CN"/>
        </w:rPr>
      </w:pPr>
    </w:p>
    <w:p>
      <w:pPr>
        <w:numPr>
          <w:ilvl w:val="0"/>
          <w:numId w:val="0"/>
        </w:num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C.Shen</w:t>
      </w:r>
      <w:r>
        <w:rPr>
          <w:rFonts w:hint="default" w:ascii="Times New Roman" w:hAnsi="Times New Roman" w:cs="Times New Roman"/>
          <w:sz w:val="28"/>
          <w:szCs w:val="28"/>
          <w:lang w:val="en-GB" w:eastAsia="zh-CN"/>
        </w:rPr>
        <w:t xml:space="preserve">(2016) </w:t>
      </w:r>
      <w:r>
        <w:rPr>
          <w:rFonts w:hint="eastAsia" w:ascii="Times New Roman" w:hAnsi="Times New Roman" w:cs="Times New Roman"/>
          <w:sz w:val="28"/>
          <w:szCs w:val="28"/>
          <w:lang w:val="en-US" w:eastAsia="zh-CN"/>
        </w:rPr>
        <w:t>Insufficient working capital: the cause of Hanjin</w:t>
      </w:r>
      <w:r>
        <w:rPr>
          <w:rFonts w:hint="default" w:ascii="Times New Roman" w:hAnsi="Times New Roman" w:cs="Times New Roman"/>
          <w:sz w:val="28"/>
          <w:szCs w:val="28"/>
          <w:lang w:val="en-GB" w:eastAsia="zh-CN"/>
        </w:rPr>
        <w:t xml:space="preserve"> </w:t>
      </w:r>
      <w:r>
        <w:rPr>
          <w:rFonts w:hint="eastAsia" w:ascii="Times New Roman" w:hAnsi="Times New Roman" w:cs="Times New Roman"/>
          <w:sz w:val="28"/>
          <w:szCs w:val="28"/>
          <w:lang w:val="en-US" w:eastAsia="zh-CN"/>
        </w:rPr>
        <w:t xml:space="preserve">Shipping's </w:t>
      </w:r>
      <w:r>
        <w:rPr>
          <w:rFonts w:hint="default" w:ascii="Times New Roman" w:hAnsi="Times New Roman" w:cs="Times New Roman"/>
          <w:sz w:val="28"/>
          <w:szCs w:val="28"/>
          <w:lang w:val="en-GB" w:eastAsia="zh-CN"/>
        </w:rPr>
        <w:t xml:space="preserve"> </w:t>
      </w:r>
      <w:r>
        <w:rPr>
          <w:rFonts w:hint="eastAsia" w:ascii="Times New Roman" w:hAnsi="Times New Roman" w:cs="Times New Roman"/>
          <w:sz w:val="28"/>
          <w:szCs w:val="28"/>
          <w:lang w:val="en-US" w:eastAsia="zh-CN"/>
        </w:rPr>
        <w:t>crisis.</w:t>
      </w:r>
      <w:r>
        <w:rPr>
          <w:rFonts w:hint="eastAsia" w:ascii="Times New Roman" w:hAnsi="Times New Roman" w:cs="Times New Roman"/>
          <w:sz w:val="28"/>
          <w:szCs w:val="28"/>
          <w:lang w:val="en-US" w:eastAsia="zh-CN"/>
        </w:rPr>
        <w:fldChar w:fldCharType="begin"/>
      </w:r>
      <w:r>
        <w:rPr>
          <w:rFonts w:hint="eastAsia" w:ascii="Times New Roman" w:hAnsi="Times New Roman" w:cs="Times New Roman"/>
          <w:sz w:val="28"/>
          <w:szCs w:val="28"/>
          <w:lang w:val="en-US" w:eastAsia="zh-CN"/>
        </w:rPr>
        <w:instrText xml:space="preserve"> HYPERLINK "https://lloydslist.maritimeintelligence.informa.com/LL023776/Insufficient-working-capital-the-cause-of-Hanjin-Shippings-crisis" </w:instrText>
      </w:r>
      <w:r>
        <w:rPr>
          <w:rFonts w:hint="eastAsia" w:ascii="Times New Roman" w:hAnsi="Times New Roman" w:cs="Times New Roman"/>
          <w:sz w:val="28"/>
          <w:szCs w:val="28"/>
          <w:lang w:val="en-US" w:eastAsia="zh-CN"/>
        </w:rPr>
        <w:fldChar w:fldCharType="separate"/>
      </w:r>
      <w:r>
        <w:rPr>
          <w:rStyle w:val="5"/>
          <w:rFonts w:hint="eastAsia" w:ascii="Times New Roman" w:hAnsi="Times New Roman" w:cs="Times New Roman"/>
          <w:sz w:val="28"/>
          <w:szCs w:val="28"/>
          <w:lang w:val="en-US" w:eastAsia="zh-CN"/>
        </w:rPr>
        <w:t>https://lloydslist.maritimeintelligence.informa.com/LL023776/Insufficient-working-capital-the-cause-of-Hanjin-Shippings-crisis</w:t>
      </w:r>
      <w:r>
        <w:rPr>
          <w:rFonts w:hint="eastAsia" w:ascii="Times New Roman" w:hAnsi="Times New Roman" w:cs="Times New Roman"/>
          <w:sz w:val="28"/>
          <w:szCs w:val="28"/>
          <w:lang w:val="en-US" w:eastAsia="zh-CN"/>
        </w:rPr>
        <w:fldChar w:fldCharType="end"/>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0"/>
        </w:num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Nice (2015).Analysis on Hanjin Group and Main Credit Issues. </w:t>
      </w:r>
      <w:r>
        <w:rPr>
          <w:rFonts w:hint="eastAsia" w:ascii="Times New Roman" w:hAnsi="Times New Roman" w:cs="Times New Roman"/>
          <w:sz w:val="28"/>
          <w:szCs w:val="28"/>
          <w:lang w:val="en-US" w:eastAsia="zh-CN"/>
        </w:rPr>
        <w:fldChar w:fldCharType="begin"/>
      </w:r>
      <w:r>
        <w:rPr>
          <w:rFonts w:hint="eastAsia" w:ascii="Times New Roman" w:hAnsi="Times New Roman" w:cs="Times New Roman"/>
          <w:sz w:val="28"/>
          <w:szCs w:val="28"/>
          <w:lang w:val="en-US" w:eastAsia="zh-CN"/>
        </w:rPr>
        <w:instrText xml:space="preserve"> HYPERLINK "https://www.nicerating.com/common/fileDown.do?docId=1LOmbiLBYkv" </w:instrText>
      </w:r>
      <w:r>
        <w:rPr>
          <w:rFonts w:hint="eastAsia" w:ascii="Times New Roman" w:hAnsi="Times New Roman" w:cs="Times New Roman"/>
          <w:sz w:val="28"/>
          <w:szCs w:val="28"/>
          <w:lang w:val="en-US" w:eastAsia="zh-CN"/>
        </w:rPr>
        <w:fldChar w:fldCharType="separate"/>
      </w:r>
      <w:r>
        <w:rPr>
          <w:rStyle w:val="5"/>
          <w:rFonts w:hint="eastAsia" w:ascii="Times New Roman" w:hAnsi="Times New Roman" w:cs="Times New Roman"/>
          <w:sz w:val="28"/>
          <w:szCs w:val="28"/>
          <w:lang w:val="en-US" w:eastAsia="zh-CN"/>
        </w:rPr>
        <w:t>https://www.nicerating.com/common/fileDown.do?docId=1LOmbiLBYkv</w:t>
      </w:r>
      <w:r>
        <w:rPr>
          <w:rFonts w:hint="eastAsia" w:ascii="Times New Roman" w:hAnsi="Times New Roman" w:cs="Times New Roman"/>
          <w:sz w:val="28"/>
          <w:szCs w:val="28"/>
          <w:lang w:val="en-US" w:eastAsia="zh-CN"/>
        </w:rPr>
        <w:fldChar w:fldCharType="end"/>
      </w:r>
    </w:p>
    <w:p>
      <w:pPr>
        <w:numPr>
          <w:ilvl w:val="0"/>
          <w:numId w:val="0"/>
        </w:numPr>
        <w:spacing w:line="360" w:lineRule="auto"/>
        <w:rPr>
          <w:rFonts w:hint="default" w:ascii="Times New Roman" w:hAnsi="Times New Roman" w:cs="Times New Roman"/>
          <w:sz w:val="28"/>
          <w:szCs w:val="28"/>
          <w:lang w:val="en-US" w:eastAsia="zh-CN"/>
        </w:rPr>
      </w:pPr>
    </w:p>
    <w:p>
      <w:pPr>
        <w:numPr>
          <w:ilvl w:val="0"/>
          <w:numId w:val="0"/>
        </w:num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Hannaford, Elspeth, and Edwin Van Hassel. 2021. "Risks and Benefits of Crew Reduction and/or Removal with Increased Automation on the Ship Operator: A Licensed Deck Officer’s Perspective" </w:t>
      </w:r>
      <w:r>
        <w:rPr>
          <w:rFonts w:hint="default" w:ascii="Times New Roman" w:hAnsi="Times New Roman" w:cs="Times New Roman"/>
          <w:i/>
          <w:iCs/>
          <w:sz w:val="28"/>
          <w:szCs w:val="28"/>
          <w:lang w:val="en-US" w:eastAsia="zh-CN"/>
        </w:rPr>
        <w:t xml:space="preserve">Applied Sciences </w:t>
      </w:r>
      <w:r>
        <w:rPr>
          <w:rFonts w:hint="eastAsia" w:ascii="Times New Roman" w:hAnsi="Times New Roman" w:cs="Times New Roman"/>
          <w:i w:val="0"/>
          <w:iCs w:val="0"/>
          <w:sz w:val="28"/>
          <w:szCs w:val="28"/>
          <w:lang w:val="en-US" w:eastAsia="zh-CN"/>
        </w:rPr>
        <w:t>11</w:t>
      </w:r>
      <w:r>
        <w:rPr>
          <w:rFonts w:hint="default" w:ascii="Times New Roman" w:hAnsi="Times New Roman" w:cs="Times New Roman"/>
          <w:sz w:val="28"/>
          <w:szCs w:val="28"/>
          <w:lang w:val="en-US" w:eastAsia="zh-CN"/>
        </w:rPr>
        <w:t xml:space="preserve">, no. 8: 3569. </w:t>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"https://doi.org/10.3390/app11083569" </w:instrText>
      </w:r>
      <w:r>
        <w:rPr>
          <w:rFonts w:hint="default" w:ascii="Times New Roman" w:hAnsi="Times New Roman" w:cs="Times New Roman"/>
          <w:sz w:val="28"/>
          <w:szCs w:val="28"/>
          <w:lang w:val="en-US" w:eastAsia="zh-CN"/>
        </w:rPr>
        <w:fldChar w:fldCharType="separate"/>
      </w:r>
      <w:r>
        <w:rPr>
          <w:rStyle w:val="5"/>
          <w:rFonts w:hint="default" w:ascii="Times New Roman" w:hAnsi="Times New Roman" w:cs="Times New Roman"/>
          <w:sz w:val="28"/>
          <w:szCs w:val="28"/>
          <w:lang w:val="en-US" w:eastAsia="zh-CN"/>
        </w:rPr>
        <w:t>https://doi.org/10.3390/app11083569</w:t>
      </w:r>
      <w:r>
        <w:rPr>
          <w:rFonts w:hint="default" w:ascii="Times New Roman" w:hAnsi="Times New Roman" w:cs="Times New Roman"/>
          <w:sz w:val="28"/>
          <w:szCs w:val="28"/>
          <w:lang w:val="en-US" w:eastAsia="zh-CN"/>
        </w:rPr>
        <w:fldChar w:fldCharType="end"/>
      </w:r>
      <w:r>
        <w:rPr>
          <w:rFonts w:hint="eastAsia" w:ascii="Times New Roman" w:hAnsi="Times New Roman" w:cs="Times New Roman"/>
          <w:sz w:val="28"/>
          <w:szCs w:val="28"/>
          <w:lang w:val="en-US" w:eastAsia="zh-CN"/>
        </w:rPr>
        <w:t xml:space="preserve">  </w:t>
      </w:r>
    </w:p>
    <w:p>
      <w:pPr>
        <w:numPr>
          <w:ilvl w:val="0"/>
          <w:numId w:val="0"/>
        </w:num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 </w:t>
      </w:r>
    </w:p>
    <w:p>
      <w:pPr>
        <w:numPr>
          <w:ilvl w:val="0"/>
          <w:numId w:val="0"/>
        </w:num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Rødseth, Ø.; Burmeister, H. Risk assessment for an unmanned merchant ship. TransNav Int. J. Mar. Navig. Saf. Sea Transp. 2015, 9, 357–364.</w:t>
      </w:r>
      <w:r>
        <w:rPr>
          <w:rFonts w:hint="eastAsia" w:ascii="Times New Roman" w:hAnsi="Times New Roman" w:cs="Times New Roman"/>
          <w:sz w:val="28"/>
          <w:szCs w:val="28"/>
          <w:lang w:val="en-US" w:eastAsia="zh-CN"/>
        </w:rPr>
        <w:t xml:space="preserve"> </w:t>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0"/>
        </w:numPr>
        <w:spacing w:line="360" w:lineRule="auto"/>
        <w:rPr>
          <w:rFonts w:hint="eastAsia"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Alawadhi, M. Review and analysis of the importance of autonomous vehicles liability: A systematic literature review. Int. J. Syst. Assur. Eng. Manag. 2020, 11, 1227–1249.</w:t>
      </w:r>
      <w:r>
        <w:rPr>
          <w:rFonts w:hint="eastAsia" w:ascii="Times New Roman" w:hAnsi="Times New Roman" w:cs="Times New Roman"/>
          <w:sz w:val="28"/>
          <w:szCs w:val="28"/>
          <w:lang w:val="en-US" w:eastAsia="zh-CN"/>
        </w:rPr>
        <w:t xml:space="preserve"> </w:t>
      </w:r>
    </w:p>
    <w:p>
      <w:pPr>
        <w:numPr>
          <w:ilvl w:val="0"/>
          <w:numId w:val="0"/>
        </w:numPr>
        <w:spacing w:line="360" w:lineRule="auto"/>
        <w:rPr>
          <w:rFonts w:hint="eastAsia" w:ascii="Times New Roman" w:hAnsi="Times New Roman" w:cs="Times New Roman"/>
          <w:sz w:val="28"/>
          <w:szCs w:val="28"/>
          <w:lang w:val="en-US" w:eastAsia="zh-CN"/>
        </w:rPr>
      </w:pPr>
    </w:p>
    <w:p>
      <w:pPr>
        <w:numPr>
          <w:ilvl w:val="0"/>
          <w:numId w:val="0"/>
        </w:numPr>
        <w:spacing w:line="360" w:lineRule="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Taeihagh, A.; Lim, H.S.M. Governing autonomous vehicles: Emerging responses for safety, liability, privacy, cybersecurity, and industry risks. Transp. Rev. 2019, 39, 103–128.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1275CE"/>
    <w:multiLevelType w:val="singleLevel"/>
    <w:tmpl w:val="451275CE"/>
    <w:lvl w:ilvl="0" w:tentative="0">
      <w:start w:val="20"/>
      <w:numFmt w:val="upperLetter"/>
      <w:lvlText w:val="%1."/>
      <w:lvlJc w:val="left"/>
      <w:pPr>
        <w:tabs>
          <w:tab w:val="left" w:pos="312"/>
        </w:tabs>
      </w:pPr>
    </w:lvl>
  </w:abstractNum>
  <w:abstractNum w:abstractNumId="1">
    <w:nsid w:val="692E1F38"/>
    <w:multiLevelType w:val="singleLevel"/>
    <w:tmpl w:val="692E1F38"/>
    <w:lvl w:ilvl="0" w:tentative="0">
      <w:start w:val="11"/>
      <w:numFmt w:val="upperLetter"/>
      <w:suff w:val="space"/>
      <w:lvlText w:val="%1."/>
      <w:lvlJc w:val="left"/>
    </w:lvl>
  </w:abstractNum>
  <w:abstractNum w:abstractNumId="2">
    <w:nsid w:val="73399994"/>
    <w:multiLevelType w:val="singleLevel"/>
    <w:tmpl w:val="73399994"/>
    <w:lvl w:ilvl="0" w:tentative="0">
      <w:start w:val="8"/>
      <w:numFmt w:val="upperLetter"/>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kZjFlYmM2NzdiZGJkMWI3NDcxZjNmNzNiZmYwOTIifQ=="/>
  </w:docVars>
  <w:rsids>
    <w:rsidRoot w:val="00000000"/>
    <w:rsid w:val="15573223"/>
    <w:rsid w:val="18773091"/>
    <w:rsid w:val="28D2414D"/>
    <w:rsid w:val="41101EAB"/>
    <w:rsid w:val="42190D2B"/>
    <w:rsid w:val="65115602"/>
    <w:rsid w:val="6BC544DF"/>
    <w:rsid w:val="6E7878AA"/>
    <w:rsid w:val="74BC59A8"/>
    <w:rsid w:val="7CC91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qFormat/>
    <w:uiPriority w:val="0"/>
    <w:rPr>
      <w:color w:val="0000FF"/>
      <w:u w:val="single"/>
    </w:rPr>
  </w:style>
  <w:style w:type="character" w:customStyle="1" w:styleId="6">
    <w:name w:val="10"/>
    <w:basedOn w:val="3"/>
    <w:qFormat/>
    <w:uiPriority w:val="0"/>
    <w:rPr>
      <w:rFonts w:hint="default" w:ascii="Calibri" w:hAnsi="Calibri" w:cs="Calibri"/>
    </w:rPr>
  </w:style>
  <w:style w:type="character" w:customStyle="1" w:styleId="7">
    <w:name w:val="15"/>
    <w:basedOn w:val="3"/>
    <w:qFormat/>
    <w:uiPriority w:val="0"/>
    <w:rPr>
      <w:rFonts w:hint="default" w:ascii="Calibri" w:hAnsi="Calibri" w:cs="Calibri"/>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5925</Words>
  <Characters>23493</Characters>
  <Lines>1</Lines>
  <Paragraphs>1</Paragraphs>
  <TotalTime>0</TotalTime>
  <ScaleCrop>false</ScaleCrop>
  <LinksUpToDate>false</LinksUpToDate>
  <CharactersWithSpaces>27053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2022-12-29T20:21:00Z</dcterms:created>
  <dc:creator>40479</dc:creator>
  <cp:lastModifiedBy>陈不沉</cp:lastModifiedBy>
  <dcterms:modified xsi:type="dcterms:W3CDTF">2023-01-25T10:36:14Z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85CD4B05884546ABB8C49C9EF53FE5AA</vt:lpwstr>
  </property>
</Properties>
</file>