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B0665" w14:textId="77777777" w:rsidR="00603869" w:rsidRDefault="0000238D">
      <w:pPr>
        <w:rPr>
          <w:b/>
          <w:bCs/>
          <w:sz w:val="36"/>
          <w:szCs w:val="36"/>
        </w:rPr>
      </w:pPr>
      <w:r>
        <w:rPr>
          <w:b/>
          <w:bCs/>
          <w:noProof/>
          <w:sz w:val="36"/>
          <w:szCs w:val="36"/>
        </w:rPr>
        <w:drawing>
          <wp:inline distT="114300" distB="114300" distL="114300" distR="114300" wp14:anchorId="5AE86499" wp14:editId="20682816">
            <wp:extent cx="3019425" cy="12477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19425" cy="1247775"/>
                    </a:xfrm>
                    <a:prstGeom prst="rect">
                      <a:avLst/>
                    </a:prstGeom>
                    <a:ln w="25400">
                      <a:solidFill>
                        <a:srgbClr val="000000"/>
                      </a:solidFill>
                      <a:prstDash val="solid"/>
                    </a:ln>
                  </pic:spPr>
                </pic:pic>
              </a:graphicData>
            </a:graphic>
          </wp:inline>
        </w:drawing>
      </w:r>
    </w:p>
    <w:p w14:paraId="1AB143B5" w14:textId="77777777" w:rsidR="00603869" w:rsidRDefault="00603869">
      <w:pPr>
        <w:rPr>
          <w:b/>
          <w:bCs/>
          <w:sz w:val="36"/>
          <w:szCs w:val="36"/>
        </w:rPr>
      </w:pPr>
    </w:p>
    <w:p w14:paraId="1D7F49A1" w14:textId="77777777" w:rsidR="00603869" w:rsidRDefault="00603869">
      <w:pPr>
        <w:rPr>
          <w:b/>
          <w:bCs/>
          <w:sz w:val="36"/>
          <w:szCs w:val="36"/>
        </w:rPr>
      </w:pPr>
    </w:p>
    <w:p w14:paraId="373854EB" w14:textId="77777777" w:rsidR="0056368E" w:rsidRDefault="0056368E">
      <w:pPr>
        <w:rPr>
          <w:b/>
          <w:bCs/>
          <w:sz w:val="36"/>
          <w:szCs w:val="36"/>
        </w:rPr>
      </w:pPr>
    </w:p>
    <w:p w14:paraId="071E9464" w14:textId="77777777" w:rsidR="0056368E" w:rsidRDefault="0056368E">
      <w:pPr>
        <w:rPr>
          <w:b/>
          <w:bCs/>
          <w:sz w:val="36"/>
          <w:szCs w:val="36"/>
        </w:rPr>
      </w:pPr>
    </w:p>
    <w:p w14:paraId="3B2F6BB6" w14:textId="2AF09CB7" w:rsidR="00603869" w:rsidRDefault="0000238D">
      <w:pPr>
        <w:rPr>
          <w:b/>
          <w:bCs/>
          <w:sz w:val="36"/>
          <w:szCs w:val="36"/>
        </w:rPr>
      </w:pPr>
      <w:r>
        <w:rPr>
          <w:b/>
          <w:bCs/>
          <w:sz w:val="36"/>
          <w:szCs w:val="36"/>
        </w:rPr>
        <w:t>Student name:</w:t>
      </w:r>
      <w:r w:rsidR="00032A67" w:rsidRPr="00032A67">
        <w:t xml:space="preserve"> </w:t>
      </w:r>
      <w:r w:rsidR="00032A67" w:rsidRPr="00032A67">
        <w:rPr>
          <w:b/>
          <w:bCs/>
          <w:sz w:val="36"/>
          <w:szCs w:val="36"/>
        </w:rPr>
        <w:t>Meshach Asher Tomlin Francis</w:t>
      </w:r>
    </w:p>
    <w:p w14:paraId="2544057A" w14:textId="19907233" w:rsidR="00603869" w:rsidRDefault="0000238D">
      <w:pPr>
        <w:rPr>
          <w:b/>
          <w:bCs/>
          <w:sz w:val="36"/>
          <w:szCs w:val="36"/>
        </w:rPr>
      </w:pPr>
      <w:r>
        <w:rPr>
          <w:b/>
          <w:bCs/>
          <w:sz w:val="36"/>
          <w:szCs w:val="36"/>
        </w:rPr>
        <w:t>Student ID:</w:t>
      </w:r>
      <w:r w:rsidR="00032A67" w:rsidRPr="00032A67">
        <w:rPr>
          <w:b/>
          <w:bCs/>
          <w:sz w:val="36"/>
          <w:szCs w:val="36"/>
        </w:rPr>
        <w:t xml:space="preserve"> 2439402</w:t>
      </w:r>
    </w:p>
    <w:p w14:paraId="3D92E36D" w14:textId="77777777" w:rsidR="00603869" w:rsidRDefault="00603869">
      <w:pPr>
        <w:rPr>
          <w:b/>
          <w:bCs/>
          <w:sz w:val="36"/>
          <w:szCs w:val="36"/>
        </w:rPr>
      </w:pPr>
    </w:p>
    <w:p w14:paraId="472B98BA" w14:textId="77777777" w:rsidR="00603869" w:rsidRDefault="0000238D">
      <w:pPr>
        <w:rPr>
          <w:b/>
          <w:bCs/>
          <w:sz w:val="36"/>
          <w:szCs w:val="36"/>
        </w:rPr>
      </w:pPr>
      <w:r>
        <w:rPr>
          <w:b/>
          <w:bCs/>
          <w:sz w:val="36"/>
          <w:szCs w:val="36"/>
        </w:rPr>
        <w:t>Module name: Principles of Health and Social Care Practice</w:t>
      </w:r>
    </w:p>
    <w:p w14:paraId="6E8EE006" w14:textId="77777777" w:rsidR="00603869" w:rsidRDefault="0000238D">
      <w:pPr>
        <w:rPr>
          <w:b/>
          <w:bCs/>
          <w:sz w:val="36"/>
          <w:szCs w:val="36"/>
        </w:rPr>
      </w:pPr>
      <w:r>
        <w:rPr>
          <w:b/>
          <w:bCs/>
          <w:sz w:val="36"/>
          <w:szCs w:val="36"/>
        </w:rPr>
        <w:t>Module code: BMHP5016</w:t>
      </w:r>
    </w:p>
    <w:p w14:paraId="7A3538D1" w14:textId="7B9F9E43" w:rsidR="00603869" w:rsidRDefault="0000238D">
      <w:pPr>
        <w:rPr>
          <w:b/>
          <w:bCs/>
          <w:sz w:val="36"/>
          <w:szCs w:val="36"/>
        </w:rPr>
      </w:pPr>
      <w:r>
        <w:rPr>
          <w:b/>
          <w:bCs/>
          <w:sz w:val="36"/>
          <w:szCs w:val="36"/>
        </w:rPr>
        <w:t>Lecturer name:</w:t>
      </w:r>
      <w:r w:rsidR="00032A67" w:rsidRPr="00032A67">
        <w:t xml:space="preserve"> </w:t>
      </w:r>
      <w:r w:rsidR="00032A67">
        <w:rPr>
          <w:b/>
          <w:bCs/>
          <w:sz w:val="36"/>
          <w:szCs w:val="36"/>
        </w:rPr>
        <w:t>S</w:t>
      </w:r>
      <w:r w:rsidR="00032A67" w:rsidRPr="00032A67">
        <w:rPr>
          <w:b/>
          <w:bCs/>
          <w:sz w:val="36"/>
          <w:szCs w:val="36"/>
        </w:rPr>
        <w:t xml:space="preserve">am </w:t>
      </w:r>
      <w:r w:rsidR="00032A67">
        <w:rPr>
          <w:b/>
          <w:bCs/>
          <w:sz w:val="36"/>
          <w:szCs w:val="36"/>
        </w:rPr>
        <w:t>P</w:t>
      </w:r>
      <w:r w:rsidR="00032A67" w:rsidRPr="00032A67">
        <w:rPr>
          <w:b/>
          <w:bCs/>
          <w:sz w:val="36"/>
          <w:szCs w:val="36"/>
        </w:rPr>
        <w:t>arker</w:t>
      </w:r>
    </w:p>
    <w:p w14:paraId="66D1A6D4" w14:textId="77777777" w:rsidR="00603869" w:rsidRDefault="0000238D">
      <w:pPr>
        <w:pStyle w:val="Heading1"/>
        <w:keepNext w:val="0"/>
        <w:keepLines w:val="0"/>
      </w:pPr>
      <w:bookmarkStart w:id="0" w:name="_heading=h.1wy29yhkb85k" w:colFirst="0" w:colLast="0"/>
      <w:bookmarkEnd w:id="0"/>
      <w:r>
        <w:br w:type="page"/>
      </w:r>
    </w:p>
    <w:bookmarkStart w:id="1" w:name="_heading=h.5k8tesl6zu9p" w:colFirst="0" w:colLast="0" w:displacedByCustomXml="next"/>
    <w:bookmarkEnd w:id="1" w:displacedByCustomXml="next"/>
    <w:sdt>
      <w:sdtPr>
        <w:rPr>
          <w:rFonts w:ascii="Times New Roman" w:eastAsia="Times New Roman" w:hAnsi="Times New Roman" w:cs="Times New Roman"/>
          <w:b w:val="0"/>
          <w:bCs w:val="0"/>
          <w:color w:val="auto"/>
          <w:sz w:val="24"/>
          <w:szCs w:val="24"/>
          <w:lang w:val="en-IN" w:eastAsia="en-IN"/>
        </w:rPr>
        <w:id w:val="1061209167"/>
        <w:docPartObj>
          <w:docPartGallery w:val="Table of Contents"/>
          <w:docPartUnique/>
        </w:docPartObj>
      </w:sdtPr>
      <w:sdtEndPr>
        <w:rPr>
          <w:noProof/>
        </w:rPr>
      </w:sdtEndPr>
      <w:sdtContent>
        <w:p w14:paraId="13FA0B6E" w14:textId="77777777" w:rsidR="0056368E" w:rsidRPr="0056368E" w:rsidRDefault="0056368E" w:rsidP="0056368E">
          <w:pPr>
            <w:pStyle w:val="TOCHeading"/>
            <w:jc w:val="center"/>
            <w:rPr>
              <w:rFonts w:ascii="Times New Roman" w:hAnsi="Times New Roman" w:cs="Times New Roman"/>
              <w:color w:val="000000" w:themeColor="text1"/>
            </w:rPr>
          </w:pPr>
          <w:r w:rsidRPr="0056368E">
            <w:rPr>
              <w:rFonts w:ascii="Times New Roman" w:hAnsi="Times New Roman" w:cs="Times New Roman"/>
              <w:color w:val="000000" w:themeColor="text1"/>
            </w:rPr>
            <w:t>Table of Contents</w:t>
          </w:r>
        </w:p>
        <w:p w14:paraId="7A952A76" w14:textId="77777777" w:rsidR="0056368E" w:rsidRDefault="0056368E">
          <w:pPr>
            <w:pStyle w:val="TOC1"/>
            <w:tabs>
              <w:tab w:val="right" w:leader="dot" w:pos="890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5469734" w:history="1">
            <w:r w:rsidRPr="00EE0E0B">
              <w:rPr>
                <w:rStyle w:val="Hyperlink"/>
                <w:noProof/>
              </w:rPr>
              <w:t>Introduction</w:t>
            </w:r>
            <w:r>
              <w:rPr>
                <w:noProof/>
                <w:webHidden/>
              </w:rPr>
              <w:tab/>
            </w:r>
            <w:r>
              <w:rPr>
                <w:noProof/>
                <w:webHidden/>
              </w:rPr>
              <w:fldChar w:fldCharType="begin"/>
            </w:r>
            <w:r>
              <w:rPr>
                <w:noProof/>
                <w:webHidden/>
              </w:rPr>
              <w:instrText xml:space="preserve"> PAGEREF _Toc235469734 \h </w:instrText>
            </w:r>
            <w:r>
              <w:rPr>
                <w:noProof/>
                <w:webHidden/>
              </w:rPr>
            </w:r>
            <w:r>
              <w:rPr>
                <w:noProof/>
                <w:webHidden/>
              </w:rPr>
              <w:fldChar w:fldCharType="separate"/>
            </w:r>
            <w:r>
              <w:rPr>
                <w:noProof/>
                <w:webHidden/>
              </w:rPr>
              <w:t>3</w:t>
            </w:r>
            <w:r>
              <w:rPr>
                <w:noProof/>
                <w:webHidden/>
              </w:rPr>
              <w:fldChar w:fldCharType="end"/>
            </w:r>
          </w:hyperlink>
        </w:p>
        <w:p w14:paraId="478AF737" w14:textId="77777777" w:rsidR="0056368E" w:rsidRDefault="0056368E">
          <w:pPr>
            <w:pStyle w:val="TOC1"/>
            <w:tabs>
              <w:tab w:val="right" w:leader="dot" w:pos="8900"/>
            </w:tabs>
            <w:rPr>
              <w:rFonts w:asciiTheme="minorHAnsi" w:eastAsiaTheme="minorEastAsia" w:hAnsiTheme="minorHAnsi" w:cstheme="minorBidi"/>
              <w:noProof/>
              <w:sz w:val="22"/>
              <w:szCs w:val="22"/>
            </w:rPr>
          </w:pPr>
          <w:hyperlink w:anchor="_Toc235469735" w:history="1">
            <w:r w:rsidRPr="00EE0E0B">
              <w:rPr>
                <w:rStyle w:val="Hyperlink"/>
                <w:noProof/>
              </w:rPr>
              <w:t>Development of the Social Model of Disability</w:t>
            </w:r>
            <w:r>
              <w:rPr>
                <w:noProof/>
                <w:webHidden/>
              </w:rPr>
              <w:tab/>
            </w:r>
            <w:r>
              <w:rPr>
                <w:noProof/>
                <w:webHidden/>
              </w:rPr>
              <w:fldChar w:fldCharType="begin"/>
            </w:r>
            <w:r>
              <w:rPr>
                <w:noProof/>
                <w:webHidden/>
              </w:rPr>
              <w:instrText xml:space="preserve"> PAGEREF _Toc235469735 \h </w:instrText>
            </w:r>
            <w:r>
              <w:rPr>
                <w:noProof/>
                <w:webHidden/>
              </w:rPr>
            </w:r>
            <w:r>
              <w:rPr>
                <w:noProof/>
                <w:webHidden/>
              </w:rPr>
              <w:fldChar w:fldCharType="separate"/>
            </w:r>
            <w:r>
              <w:rPr>
                <w:noProof/>
                <w:webHidden/>
              </w:rPr>
              <w:t>3</w:t>
            </w:r>
            <w:r>
              <w:rPr>
                <w:noProof/>
                <w:webHidden/>
              </w:rPr>
              <w:fldChar w:fldCharType="end"/>
            </w:r>
          </w:hyperlink>
        </w:p>
        <w:p w14:paraId="393AC6AF" w14:textId="77777777" w:rsidR="0056368E" w:rsidRDefault="0056368E">
          <w:pPr>
            <w:pStyle w:val="TOC1"/>
            <w:tabs>
              <w:tab w:val="right" w:leader="dot" w:pos="8900"/>
            </w:tabs>
            <w:rPr>
              <w:rFonts w:asciiTheme="minorHAnsi" w:eastAsiaTheme="minorEastAsia" w:hAnsiTheme="minorHAnsi" w:cstheme="minorBidi"/>
              <w:noProof/>
              <w:sz w:val="22"/>
              <w:szCs w:val="22"/>
            </w:rPr>
          </w:pPr>
          <w:hyperlink w:anchor="_Toc235469736" w:history="1">
            <w:r w:rsidRPr="00EE0E0B">
              <w:rPr>
                <w:rStyle w:val="Hyperlink"/>
                <w:noProof/>
              </w:rPr>
              <w:t>Application of the Social Model of Disability in Health and Social Care Policy and Practice</w:t>
            </w:r>
            <w:r>
              <w:rPr>
                <w:noProof/>
                <w:webHidden/>
              </w:rPr>
              <w:tab/>
            </w:r>
            <w:r>
              <w:rPr>
                <w:noProof/>
                <w:webHidden/>
              </w:rPr>
              <w:fldChar w:fldCharType="begin"/>
            </w:r>
            <w:r>
              <w:rPr>
                <w:noProof/>
                <w:webHidden/>
              </w:rPr>
              <w:instrText xml:space="preserve"> PAGEREF _Toc235469736 \h </w:instrText>
            </w:r>
            <w:r>
              <w:rPr>
                <w:noProof/>
                <w:webHidden/>
              </w:rPr>
            </w:r>
            <w:r>
              <w:rPr>
                <w:noProof/>
                <w:webHidden/>
              </w:rPr>
              <w:fldChar w:fldCharType="separate"/>
            </w:r>
            <w:r>
              <w:rPr>
                <w:noProof/>
                <w:webHidden/>
              </w:rPr>
              <w:t>5</w:t>
            </w:r>
            <w:r>
              <w:rPr>
                <w:noProof/>
                <w:webHidden/>
              </w:rPr>
              <w:fldChar w:fldCharType="end"/>
            </w:r>
          </w:hyperlink>
        </w:p>
        <w:p w14:paraId="1EE4E8EA" w14:textId="77777777" w:rsidR="0056368E" w:rsidRDefault="0056368E">
          <w:pPr>
            <w:pStyle w:val="TOC1"/>
            <w:tabs>
              <w:tab w:val="right" w:leader="dot" w:pos="8900"/>
            </w:tabs>
            <w:rPr>
              <w:rFonts w:asciiTheme="minorHAnsi" w:eastAsiaTheme="minorEastAsia" w:hAnsiTheme="minorHAnsi" w:cstheme="minorBidi"/>
              <w:noProof/>
              <w:sz w:val="22"/>
              <w:szCs w:val="22"/>
            </w:rPr>
          </w:pPr>
          <w:hyperlink w:anchor="_Toc235469737" w:history="1">
            <w:r w:rsidRPr="00EE0E0B">
              <w:rPr>
                <w:rStyle w:val="Hyperlink"/>
                <w:noProof/>
              </w:rPr>
              <w:t>Recommendations for Health and Social Care Policy and Practice</w:t>
            </w:r>
            <w:r>
              <w:rPr>
                <w:noProof/>
                <w:webHidden/>
              </w:rPr>
              <w:tab/>
            </w:r>
            <w:r>
              <w:rPr>
                <w:noProof/>
                <w:webHidden/>
              </w:rPr>
              <w:fldChar w:fldCharType="begin"/>
            </w:r>
            <w:r>
              <w:rPr>
                <w:noProof/>
                <w:webHidden/>
              </w:rPr>
              <w:instrText xml:space="preserve"> PAGEREF _Toc235469737 \h </w:instrText>
            </w:r>
            <w:r>
              <w:rPr>
                <w:noProof/>
                <w:webHidden/>
              </w:rPr>
            </w:r>
            <w:r>
              <w:rPr>
                <w:noProof/>
                <w:webHidden/>
              </w:rPr>
              <w:fldChar w:fldCharType="separate"/>
            </w:r>
            <w:r>
              <w:rPr>
                <w:noProof/>
                <w:webHidden/>
              </w:rPr>
              <w:t>6</w:t>
            </w:r>
            <w:r>
              <w:rPr>
                <w:noProof/>
                <w:webHidden/>
              </w:rPr>
              <w:fldChar w:fldCharType="end"/>
            </w:r>
          </w:hyperlink>
        </w:p>
        <w:p w14:paraId="4EC81B78" w14:textId="77777777" w:rsidR="0056368E" w:rsidRDefault="0056368E">
          <w:pPr>
            <w:pStyle w:val="TOC1"/>
            <w:tabs>
              <w:tab w:val="right" w:leader="dot" w:pos="8900"/>
            </w:tabs>
            <w:rPr>
              <w:rFonts w:asciiTheme="minorHAnsi" w:eastAsiaTheme="minorEastAsia" w:hAnsiTheme="minorHAnsi" w:cstheme="minorBidi"/>
              <w:noProof/>
              <w:sz w:val="22"/>
              <w:szCs w:val="22"/>
            </w:rPr>
          </w:pPr>
          <w:hyperlink w:anchor="_Toc235469738" w:history="1">
            <w:r w:rsidRPr="00EE0E0B">
              <w:rPr>
                <w:rStyle w:val="Hyperlink"/>
                <w:noProof/>
              </w:rPr>
              <w:t>Conlcusion</w:t>
            </w:r>
            <w:r>
              <w:rPr>
                <w:noProof/>
                <w:webHidden/>
              </w:rPr>
              <w:tab/>
            </w:r>
            <w:r>
              <w:rPr>
                <w:noProof/>
                <w:webHidden/>
              </w:rPr>
              <w:fldChar w:fldCharType="begin"/>
            </w:r>
            <w:r>
              <w:rPr>
                <w:noProof/>
                <w:webHidden/>
              </w:rPr>
              <w:instrText xml:space="preserve"> PAGEREF _Toc235469738 \h </w:instrText>
            </w:r>
            <w:r>
              <w:rPr>
                <w:noProof/>
                <w:webHidden/>
              </w:rPr>
            </w:r>
            <w:r>
              <w:rPr>
                <w:noProof/>
                <w:webHidden/>
              </w:rPr>
              <w:fldChar w:fldCharType="separate"/>
            </w:r>
            <w:r>
              <w:rPr>
                <w:noProof/>
                <w:webHidden/>
              </w:rPr>
              <w:t>7</w:t>
            </w:r>
            <w:r>
              <w:rPr>
                <w:noProof/>
                <w:webHidden/>
              </w:rPr>
              <w:fldChar w:fldCharType="end"/>
            </w:r>
          </w:hyperlink>
        </w:p>
        <w:p w14:paraId="6DD2A8DA" w14:textId="77777777" w:rsidR="0056368E" w:rsidRDefault="0056368E">
          <w:pPr>
            <w:pStyle w:val="TOC1"/>
            <w:tabs>
              <w:tab w:val="right" w:leader="dot" w:pos="8900"/>
            </w:tabs>
            <w:rPr>
              <w:rFonts w:asciiTheme="minorHAnsi" w:eastAsiaTheme="minorEastAsia" w:hAnsiTheme="minorHAnsi" w:cstheme="minorBidi"/>
              <w:noProof/>
              <w:sz w:val="22"/>
              <w:szCs w:val="22"/>
            </w:rPr>
          </w:pPr>
          <w:hyperlink w:anchor="_Toc235469739" w:history="1">
            <w:r w:rsidRPr="00EE0E0B">
              <w:rPr>
                <w:rStyle w:val="Hyperlink"/>
                <w:noProof/>
              </w:rPr>
              <w:t>Reference List</w:t>
            </w:r>
            <w:r>
              <w:rPr>
                <w:noProof/>
                <w:webHidden/>
              </w:rPr>
              <w:tab/>
            </w:r>
            <w:r>
              <w:rPr>
                <w:noProof/>
                <w:webHidden/>
              </w:rPr>
              <w:fldChar w:fldCharType="begin"/>
            </w:r>
            <w:r>
              <w:rPr>
                <w:noProof/>
                <w:webHidden/>
              </w:rPr>
              <w:instrText xml:space="preserve"> PAGEREF _Toc235469739 \h </w:instrText>
            </w:r>
            <w:r>
              <w:rPr>
                <w:noProof/>
                <w:webHidden/>
              </w:rPr>
            </w:r>
            <w:r>
              <w:rPr>
                <w:noProof/>
                <w:webHidden/>
              </w:rPr>
              <w:fldChar w:fldCharType="separate"/>
            </w:r>
            <w:r>
              <w:rPr>
                <w:noProof/>
                <w:webHidden/>
              </w:rPr>
              <w:t>9</w:t>
            </w:r>
            <w:r>
              <w:rPr>
                <w:noProof/>
                <w:webHidden/>
              </w:rPr>
              <w:fldChar w:fldCharType="end"/>
            </w:r>
          </w:hyperlink>
        </w:p>
        <w:p w14:paraId="45A4A05E" w14:textId="77777777" w:rsidR="0056368E" w:rsidRDefault="0056368E">
          <w:r>
            <w:rPr>
              <w:b/>
              <w:bCs/>
              <w:noProof/>
            </w:rPr>
            <w:fldChar w:fldCharType="end"/>
          </w:r>
        </w:p>
      </w:sdtContent>
    </w:sdt>
    <w:p w14:paraId="57A902A6" w14:textId="77777777" w:rsidR="0056368E" w:rsidRDefault="0056368E">
      <w:pPr>
        <w:rPr>
          <w:b/>
          <w:bCs/>
          <w:sz w:val="28"/>
          <w:szCs w:val="28"/>
        </w:rPr>
      </w:pPr>
      <w:r>
        <w:br w:type="page"/>
      </w:r>
    </w:p>
    <w:p w14:paraId="09D7859B" w14:textId="77777777" w:rsidR="00603869" w:rsidRDefault="0000238D">
      <w:pPr>
        <w:pStyle w:val="Heading1"/>
        <w:keepNext w:val="0"/>
        <w:keepLines w:val="0"/>
      </w:pPr>
      <w:bookmarkStart w:id="2" w:name="_Toc235469734"/>
      <w:r>
        <w:lastRenderedPageBreak/>
        <w:t>Introduction</w:t>
      </w:r>
      <w:bookmarkEnd w:id="2"/>
    </w:p>
    <w:p w14:paraId="2C2D42FB" w14:textId="77777777" w:rsidR="00603869" w:rsidRDefault="0000238D">
      <w:pPr>
        <w:spacing w:before="240" w:after="240"/>
        <w:rPr>
          <w:sz w:val="23"/>
          <w:szCs w:val="23"/>
        </w:rPr>
      </w:pPr>
      <w:r>
        <w:rPr>
          <w:sz w:val="23"/>
          <w:szCs w:val="23"/>
        </w:rPr>
        <w:t>The principle of person-centred care has become an integral part of health and social care as it advocates for the dignity, autonomy and equality of individuals and their active involvement in decisions that impact their lives. Person-centred care sees the individual as a whole rather than just a person with a health condition or a person with a disability and takes into account their preferences, strengths and social issues to support better health outcomes and quality of life (</w:t>
      </w:r>
      <w:r>
        <w:rPr>
          <w:color w:val="222222"/>
          <w:highlight w:val="white"/>
        </w:rPr>
        <w:t xml:space="preserve">Adam and </w:t>
      </w:r>
      <w:proofErr w:type="spellStart"/>
      <w:r>
        <w:rPr>
          <w:color w:val="222222"/>
          <w:highlight w:val="white"/>
        </w:rPr>
        <w:t>Koutsoklenis</w:t>
      </w:r>
      <w:proofErr w:type="spellEnd"/>
      <w:r>
        <w:rPr>
          <w:color w:val="222222"/>
          <w:highlight w:val="white"/>
        </w:rPr>
        <w:t>, 2023)</w:t>
      </w:r>
      <w:r>
        <w:rPr>
          <w:sz w:val="23"/>
          <w:szCs w:val="23"/>
        </w:rPr>
        <w:t>. The Social Model of Disability is one of the most important factors that underpins person-centred care. The idea is that the problems that people encounter are the major barrier to people with disability and do not stem from their physical, sensory or intellectual impairment (</w:t>
      </w:r>
      <w:proofErr w:type="spellStart"/>
      <w:r>
        <w:rPr>
          <w:color w:val="222222"/>
          <w:highlight w:val="white"/>
        </w:rPr>
        <w:t>Arzroomchilar</w:t>
      </w:r>
      <w:proofErr w:type="spellEnd"/>
      <w:r>
        <w:rPr>
          <w:color w:val="222222"/>
          <w:highlight w:val="white"/>
        </w:rPr>
        <w:t>, 2024)</w:t>
      </w:r>
      <w:r>
        <w:rPr>
          <w:sz w:val="23"/>
          <w:szCs w:val="23"/>
        </w:rPr>
        <w:t>. The model has had a significant impact on and shaped health and social care policies and has inspired organisations to actively seek to eliminate environmental, institutional and attitudinal barriers to the equal participation of disabled people in society.</w:t>
      </w:r>
    </w:p>
    <w:p w14:paraId="5F6F6F73" w14:textId="77777777" w:rsidR="00603869" w:rsidRDefault="0000238D">
      <w:pPr>
        <w:spacing w:before="240" w:after="240"/>
      </w:pPr>
      <w:r>
        <w:rPr>
          <w:sz w:val="23"/>
          <w:szCs w:val="23"/>
        </w:rPr>
        <w:t>From the increasing numbers of disabled people in the world, the importance of the Social Model of Disability is clearly seen. The World Health Organisation estimates that there are about 1.3 billion people (or about 16% of the world population) with a substantial disability. In the United Kingdom, the Office for National Statistics estimated that there were an estimated 16.1 million people who were disabled in 2022–2023, which represents about 24% of the population of the United Kingdom (</w:t>
      </w:r>
      <w:r>
        <w:rPr>
          <w:color w:val="222222"/>
          <w:highlight w:val="white"/>
        </w:rPr>
        <w:t>Robertson and Jaswal, 2024)</w:t>
      </w:r>
      <w:r>
        <w:rPr>
          <w:sz w:val="23"/>
          <w:szCs w:val="23"/>
        </w:rPr>
        <w:t>. Disabled adults also continue to have worse health outcomes, lower employment rates, lower levels of income and social exclusion than non-disabled adults. NHS England has also identified learning disabilities and autistic people as living with avoidable health inequalities, and that many avoidable deaths are related to the challenges they face in accessing health services, not to their learning disability or autism specifically. The statistics highlight the importance of working in a way that is based on the Social Model of Disability to provide equitable and person-centred health and social care.</w:t>
      </w:r>
    </w:p>
    <w:p w14:paraId="51136791" w14:textId="77777777" w:rsidR="00603869" w:rsidRDefault="0000238D">
      <w:pPr>
        <w:pStyle w:val="Heading1"/>
        <w:keepNext w:val="0"/>
        <w:keepLines w:val="0"/>
      </w:pPr>
      <w:bookmarkStart w:id="3" w:name="_heading=h.1w18yfi3ztca" w:colFirst="0" w:colLast="0"/>
      <w:bookmarkStart w:id="4" w:name="_Toc235469735"/>
      <w:bookmarkEnd w:id="3"/>
      <w:r>
        <w:t>Development of the Social Model of Disability</w:t>
      </w:r>
      <w:bookmarkEnd w:id="4"/>
    </w:p>
    <w:p w14:paraId="707908E1" w14:textId="77777777" w:rsidR="00603869" w:rsidRDefault="0000238D">
      <w:pPr>
        <w:spacing w:before="240" w:after="240"/>
        <w:rPr>
          <w:sz w:val="23"/>
          <w:szCs w:val="23"/>
        </w:rPr>
      </w:pPr>
      <w:r>
        <w:rPr>
          <w:sz w:val="23"/>
          <w:szCs w:val="23"/>
        </w:rPr>
        <w:t>The Social Model of Disability was developed during the early 1970s in the UK in the era of disability rights. Before its development, disability was mainly understood in the medical model, which posited that disability was seen as a problem in the individual. In line with the medical model, health practitioners tended to concentrate on diagnosis, treatment or cure of impairments, whilst disabled individuals were sometimes viewed as needing medical help or being dependent on medical care and institutionalisation (</w:t>
      </w:r>
      <w:proofErr w:type="spellStart"/>
      <w:r>
        <w:rPr>
          <w:color w:val="222222"/>
          <w:highlight w:val="white"/>
        </w:rPr>
        <w:t>Petasis</w:t>
      </w:r>
      <w:proofErr w:type="spellEnd"/>
      <w:r>
        <w:rPr>
          <w:color w:val="222222"/>
          <w:highlight w:val="white"/>
        </w:rPr>
        <w:t>, 2023)</w:t>
      </w:r>
      <w:r>
        <w:rPr>
          <w:sz w:val="23"/>
          <w:szCs w:val="23"/>
        </w:rPr>
        <w:t xml:space="preserve">. This often ignored the </w:t>
      </w:r>
      <w:r>
        <w:rPr>
          <w:sz w:val="23"/>
          <w:szCs w:val="23"/>
        </w:rPr>
        <w:lastRenderedPageBreak/>
        <w:t xml:space="preserve">inaccessible environments and discrimination/social exclusion as a cause of disadvantage. The Social Model was first formulated by the Union of the Physically Impaired Against Segregation (UPIAS) in 1976. UPIAS contended that the term disability should not be confused with the term impairment. They perceived impairment as a person's physical, sensory or intellectual state, whereas disability was seen as the barriers that society placed on the </w:t>
      </w:r>
      <w:proofErr w:type="gramStart"/>
      <w:r>
        <w:rPr>
          <w:sz w:val="23"/>
          <w:szCs w:val="23"/>
        </w:rPr>
        <w:t>person  (</w:t>
      </w:r>
      <w:proofErr w:type="gramEnd"/>
      <w:r>
        <w:rPr>
          <w:color w:val="222222"/>
          <w:highlight w:val="white"/>
        </w:rPr>
        <w:t>Newman-Griffis et al. 2022)</w:t>
      </w:r>
      <w:r>
        <w:rPr>
          <w:sz w:val="23"/>
          <w:szCs w:val="23"/>
        </w:rPr>
        <w:t>. This was expanded on by Mike Oliver, a sociologist, in the 1980s, and he introduced a new term – the Social Model of Disability – and its advocacy as an alternative way of thinking about disability. Oliver stated that it is "disability" that is caused by inaccessible buildings, discriminatory attitudes, poor public transport, inflexible employment practices and exclusionary policies, and not the actual disability itself. This was a significant change in attitude from the disabled as the recipients of care to the disabled as citizens who have equal rights.</w:t>
      </w:r>
    </w:p>
    <w:p w14:paraId="6E568C75" w14:textId="77777777" w:rsidR="00603869" w:rsidRDefault="0000238D">
      <w:pPr>
        <w:spacing w:before="240" w:after="240"/>
        <w:rPr>
          <w:sz w:val="23"/>
          <w:szCs w:val="23"/>
        </w:rPr>
      </w:pPr>
      <w:r>
        <w:rPr>
          <w:sz w:val="23"/>
          <w:szCs w:val="23"/>
        </w:rPr>
        <w:t>The Social Model emerged at the same time as other human rights campaigns for equality and anti-discrimination. It has also had an impact on the development of much legislation around the world, such as the 2006 United Nations Convention on the Rights of Persons with Disabilities, which defines disability as a dynamic phenomenon arising from the interplay between impairment and barriers in the environment (</w:t>
      </w:r>
      <w:r>
        <w:rPr>
          <w:color w:val="222222"/>
          <w:highlight w:val="white"/>
        </w:rPr>
        <w:t xml:space="preserve">Pereira </w:t>
      </w:r>
      <w:r>
        <w:rPr>
          <w:i/>
          <w:iCs/>
          <w:color w:val="222222"/>
          <w:highlight w:val="white"/>
        </w:rPr>
        <w:t>et al.</w:t>
      </w:r>
      <w:r>
        <w:rPr>
          <w:color w:val="222222"/>
          <w:highlight w:val="white"/>
        </w:rPr>
        <w:t xml:space="preserve"> 2021)</w:t>
      </w:r>
      <w:r>
        <w:rPr>
          <w:sz w:val="23"/>
          <w:szCs w:val="23"/>
        </w:rPr>
        <w:t>. The model had a significant influence on the UK disability discrimination legislation, which culminated in the Equality Act 2010, mandating reasonable adjustments for organisations to ensure disabled people have access to services, education and employment on an equal footing. The Social Model has developed from the physical aspects of accessibility to digital, communication and inclusive education and person-centred service design over the years (</w:t>
      </w:r>
      <w:r>
        <w:rPr>
          <w:color w:val="222222"/>
          <w:highlight w:val="white"/>
        </w:rPr>
        <w:t>Patra, 2021)</w:t>
      </w:r>
      <w:r>
        <w:rPr>
          <w:sz w:val="23"/>
          <w:szCs w:val="23"/>
        </w:rPr>
        <w:t>. With the rapid expansion of digital health that was seen after the onset of the Covid-19 pandemic, it is now critical to ensure that access to health consultations online, as well as health information and electronic health records, is accessible to individuals with visual, hearing, cognitive and communication disabilities. As a result, a broader perspective on disability is emerging in the context of discussions of inclusion, diversity and health equity.</w:t>
      </w:r>
    </w:p>
    <w:p w14:paraId="095753ED" w14:textId="77777777" w:rsidR="00603869" w:rsidRDefault="0000238D">
      <w:pPr>
        <w:spacing w:before="240" w:after="240"/>
      </w:pPr>
      <w:r>
        <w:rPr>
          <w:sz w:val="23"/>
          <w:szCs w:val="23"/>
        </w:rPr>
        <w:t xml:space="preserve">The Social Model has had significant criticism from both the academic and practitioner communities, but not a lot. There is one big criticism that it focuses heavily on social barriers and doesn't pay enough attention to the experience of impairment. Some critics say that many people with a disability still suffer from chronic pain, fatigue or even a worsening of their health condition that can't be resolved by removing environmental obstacles. </w:t>
      </w:r>
      <w:r>
        <w:rPr>
          <w:color w:val="222222"/>
          <w:highlight w:val="white"/>
        </w:rPr>
        <w:t xml:space="preserve">Adam (2023) </w:t>
      </w:r>
      <w:r>
        <w:rPr>
          <w:sz w:val="23"/>
          <w:szCs w:val="23"/>
        </w:rPr>
        <w:t xml:space="preserve">believes that the Social Model reduces the complexity of what is a disability simply by dividing up the concept of disability and impairment, and that disability is caused by the interaction between </w:t>
      </w:r>
      <w:r>
        <w:rPr>
          <w:sz w:val="23"/>
          <w:szCs w:val="23"/>
        </w:rPr>
        <w:lastRenderedPageBreak/>
        <w:t>both. Another critique is on the diversity of disabled experiences. People with profound cognitive limitations, with learning disabilities and/or with advanced neurological disorders or with more than one long-term condition might also need continuous medical treatment and personal care alongside affordable environments (</w:t>
      </w:r>
      <w:r>
        <w:rPr>
          <w:color w:val="222222"/>
          <w:highlight w:val="white"/>
        </w:rPr>
        <w:t>Elsevier, 2024)</w:t>
      </w:r>
      <w:r>
        <w:rPr>
          <w:sz w:val="23"/>
          <w:szCs w:val="23"/>
        </w:rPr>
        <w:t>. Therefore, critics state that the use of the Social Model alone may discount the role of healthcare interventions, rehabilitation and clinical support. Other scholars argue that the model is insufficient to take into account intersectionality, as disabled people's experiences are shaped by factors more than just their disability, such as gender, ethnicity, age, socioeconomic status, and cultural background.</w:t>
      </w:r>
    </w:p>
    <w:p w14:paraId="763B6277" w14:textId="77777777" w:rsidR="00603869" w:rsidRDefault="0000238D">
      <w:pPr>
        <w:pStyle w:val="Heading1"/>
        <w:keepNext w:val="0"/>
        <w:keepLines w:val="0"/>
      </w:pPr>
      <w:bookmarkStart w:id="5" w:name="_heading=h.dym4344dyarm" w:colFirst="0" w:colLast="0"/>
      <w:bookmarkStart w:id="6" w:name="_Toc235469736"/>
      <w:bookmarkEnd w:id="5"/>
      <w:r>
        <w:t>Application of the Social Model of Disability in Health and Social Care Policy and Practice</w:t>
      </w:r>
      <w:bookmarkEnd w:id="6"/>
    </w:p>
    <w:p w14:paraId="5F3D7859" w14:textId="77777777" w:rsidR="00603869" w:rsidRDefault="0000238D">
      <w:pPr>
        <w:spacing w:before="240" w:after="240"/>
        <w:rPr>
          <w:sz w:val="23"/>
          <w:szCs w:val="23"/>
        </w:rPr>
      </w:pPr>
      <w:r>
        <w:rPr>
          <w:sz w:val="23"/>
          <w:szCs w:val="23"/>
        </w:rPr>
        <w:t>The Social Model of Disability has had a significant impact on current health/social care policy, as it moves away from the emphasis on addressing impairment and focuses more on addressing barriers to participation within society (</w:t>
      </w:r>
      <w:proofErr w:type="spellStart"/>
      <w:r>
        <w:rPr>
          <w:color w:val="222222"/>
          <w:highlight w:val="white"/>
        </w:rPr>
        <w:t>Grafiati</w:t>
      </w:r>
      <w:proofErr w:type="spellEnd"/>
      <w:r>
        <w:rPr>
          <w:color w:val="222222"/>
          <w:highlight w:val="white"/>
        </w:rPr>
        <w:t>, 2021)</w:t>
      </w:r>
      <w:r>
        <w:rPr>
          <w:sz w:val="23"/>
          <w:szCs w:val="23"/>
        </w:rPr>
        <w:t>. This approach is adopted in the UK as a foundation of person-centred care, based on independence, equality, choice and inclusion. The Social Model does not involve disabled people making changes to the health-care system, but instead, the system needs to change to meet the needs of individuals. Disability policy has thus become more focused on the need to make services accessible, make reasonable adjustments and involve disabled people in the design and evaluation of services, rather than to focus on the individual's disability.</w:t>
      </w:r>
    </w:p>
    <w:p w14:paraId="543ED7C1" w14:textId="77777777" w:rsidR="00603869" w:rsidRDefault="0000238D">
      <w:pPr>
        <w:spacing w:before="240" w:after="240"/>
        <w:rPr>
          <w:sz w:val="23"/>
          <w:szCs w:val="23"/>
        </w:rPr>
      </w:pPr>
      <w:r>
        <w:rPr>
          <w:sz w:val="23"/>
          <w:szCs w:val="23"/>
        </w:rPr>
        <w:t>The Equality Act 2010 is one of the most obvious examples of the Social Model in action, in that it states that the public sector, employers and healthcare providers make reasonable adjustments for disabled individuals. These changes are related to easily accessible buildings, communication support, assistive technology and flexible service delivery. About 16.1 million disabled people in the UK (roughly one in four of the population) are covered by the legislation (</w:t>
      </w:r>
      <w:proofErr w:type="spellStart"/>
      <w:r>
        <w:rPr>
          <w:color w:val="222222"/>
          <w:highlight w:val="white"/>
        </w:rPr>
        <w:t>Arzroomchilar</w:t>
      </w:r>
      <w:proofErr w:type="spellEnd"/>
      <w:r>
        <w:rPr>
          <w:color w:val="222222"/>
          <w:highlight w:val="white"/>
        </w:rPr>
        <w:t>, 2024</w:t>
      </w:r>
      <w:r>
        <w:rPr>
          <w:sz w:val="23"/>
          <w:szCs w:val="23"/>
        </w:rPr>
        <w:t>). The Act aims to tackle discrimination, not disability, which is the core of the Social Model. The Care Act 2014 also reinforced person-centred working by making the wellbeing of the individual the focus of adult social care. The Act must take into account people's strengths, preferences and desired outcomes, not just their medical conditions, when assessing them. This strengths-based approach is very similar to the Social Model as it promotes people's independence through their involvement within the community, affordable housing and tailored support (</w:t>
      </w:r>
      <w:r>
        <w:rPr>
          <w:color w:val="222222"/>
          <w:highlight w:val="white"/>
        </w:rPr>
        <w:t>Robertson and Jaswal, 2024)</w:t>
      </w:r>
      <w:r>
        <w:rPr>
          <w:sz w:val="23"/>
          <w:szCs w:val="23"/>
        </w:rPr>
        <w:t xml:space="preserve">. The need for person-centred assessment and support planning in social care has increased in England, with local authorities receiving an </w:t>
      </w:r>
      <w:r>
        <w:rPr>
          <w:sz w:val="23"/>
          <w:szCs w:val="23"/>
        </w:rPr>
        <w:lastRenderedPageBreak/>
        <w:t>estimated 2.1 million requests for adult social care support in 2023-2024, leading to the provision of over 596,000 long-term care packages.</w:t>
      </w:r>
    </w:p>
    <w:p w14:paraId="09E7F6C3" w14:textId="77777777" w:rsidR="00603869" w:rsidRDefault="0000238D">
      <w:pPr>
        <w:spacing w:before="240" w:after="240"/>
      </w:pPr>
      <w:r>
        <w:rPr>
          <w:sz w:val="23"/>
          <w:szCs w:val="23"/>
        </w:rPr>
        <w:t xml:space="preserve">In the health sector, NHS England's Core20PLUS5 aims to tackle health inequalities for the most disadvantaged groups – such as disabled people – by increasing the uptake of screening, early diagnosis and personalised treatment. NHS England has also launched the Reasonable Adjustments Digital Flag, which is a new initiative for NHS providers to document people's needs for accessibility and ensure reasonable adjustments are provided throughout their health services. These are examples of how the Social Model is put into practice, in </w:t>
      </w:r>
      <w:proofErr w:type="gramStart"/>
      <w:r>
        <w:rPr>
          <w:sz w:val="23"/>
          <w:szCs w:val="23"/>
        </w:rPr>
        <w:t>that barriers</w:t>
      </w:r>
      <w:proofErr w:type="gramEnd"/>
      <w:r>
        <w:rPr>
          <w:sz w:val="23"/>
          <w:szCs w:val="23"/>
        </w:rPr>
        <w:t xml:space="preserve">, in and of themselves, in the healthcare system are responsible for poorer health outcomes, as well as impairments. Despite these policy changes, there are still a lot of inequalities. </w:t>
      </w:r>
      <w:proofErr w:type="spellStart"/>
      <w:r>
        <w:rPr>
          <w:color w:val="222222"/>
          <w:highlight w:val="white"/>
        </w:rPr>
        <w:t>Petasis</w:t>
      </w:r>
      <w:proofErr w:type="spellEnd"/>
      <w:r>
        <w:rPr>
          <w:color w:val="222222"/>
          <w:highlight w:val="white"/>
        </w:rPr>
        <w:t xml:space="preserve"> (2023) </w:t>
      </w:r>
      <w:r>
        <w:rPr>
          <w:sz w:val="23"/>
          <w:szCs w:val="23"/>
        </w:rPr>
        <w:t>found that individuals with disabilities are twice as likely to say that health workers are not competent in their skills, three times as likely to say they were not able to access health services, four times as likely to say they were treated poorly by health workers and up to 50 percent more likely to say that health costs are catastrophic for them than for people without disability. These differences show that structural barriers in health services still exist and haven't been abolished by legislative changes. It is an equally troubling situation in the United Kingdom (</w:t>
      </w:r>
      <w:r>
        <w:rPr>
          <w:color w:val="222222"/>
          <w:highlight w:val="white"/>
        </w:rPr>
        <w:t xml:space="preserve">Fridberg, Wallin, and </w:t>
      </w:r>
      <w:proofErr w:type="spellStart"/>
      <w:r>
        <w:rPr>
          <w:color w:val="222222"/>
          <w:highlight w:val="white"/>
        </w:rPr>
        <w:t>Tistad</w:t>
      </w:r>
      <w:proofErr w:type="spellEnd"/>
      <w:r>
        <w:rPr>
          <w:color w:val="222222"/>
          <w:highlight w:val="white"/>
        </w:rPr>
        <w:t>, 2021)</w:t>
      </w:r>
      <w:r>
        <w:rPr>
          <w:sz w:val="23"/>
          <w:szCs w:val="23"/>
        </w:rPr>
        <w:t xml:space="preserve">. NHS England claims that there are significant inequalities in health for people with learning </w:t>
      </w:r>
      <w:proofErr w:type="spellStart"/>
      <w:r>
        <w:rPr>
          <w:sz w:val="23"/>
          <w:szCs w:val="23"/>
        </w:rPr>
        <w:t>disabilitiesand</w:t>
      </w:r>
      <w:proofErr w:type="spellEnd"/>
      <w:r>
        <w:rPr>
          <w:sz w:val="23"/>
          <w:szCs w:val="23"/>
        </w:rPr>
        <w:t xml:space="preserve"> that avoidable deaths are still much higher than the average. The Learning Disabilities Mortality Review (</w:t>
      </w:r>
      <w:proofErr w:type="spellStart"/>
      <w:r>
        <w:rPr>
          <w:sz w:val="23"/>
          <w:szCs w:val="23"/>
        </w:rPr>
        <w:t>LeDeR</w:t>
      </w:r>
      <w:proofErr w:type="spellEnd"/>
      <w:r>
        <w:rPr>
          <w:sz w:val="23"/>
          <w:szCs w:val="23"/>
        </w:rPr>
        <w:t>) programme identified many cases of deaths where there was a delay in diagnosis, poor co-ordination of care and failure to make reasonable adjustments (</w:t>
      </w:r>
      <w:proofErr w:type="spellStart"/>
      <w:r>
        <w:rPr>
          <w:color w:val="222222"/>
          <w:highlight w:val="white"/>
        </w:rPr>
        <w:t>Pakkonen</w:t>
      </w:r>
      <w:proofErr w:type="spellEnd"/>
      <w:r>
        <w:rPr>
          <w:color w:val="222222"/>
          <w:highlight w:val="white"/>
        </w:rPr>
        <w:t xml:space="preserve">, </w:t>
      </w:r>
      <w:r>
        <w:rPr>
          <w:i/>
          <w:iCs/>
          <w:color w:val="222222"/>
          <w:highlight w:val="white"/>
        </w:rPr>
        <w:t>et al.</w:t>
      </w:r>
      <w:r>
        <w:rPr>
          <w:color w:val="222222"/>
          <w:highlight w:val="white"/>
        </w:rPr>
        <w:t xml:space="preserve"> 2021)</w:t>
      </w:r>
      <w:r>
        <w:rPr>
          <w:sz w:val="23"/>
          <w:szCs w:val="23"/>
        </w:rPr>
        <w:t xml:space="preserve">. Despite the legal obligations for person-centred care, the barriers to communication and access to appointment systems and lack of staff knowledge remain a challenge to effective person-centred care. Another limitation in the effective implementation of the Social Model is the lack of workforce capacity. Skills for Care (2024) estimated that there were 131,000 unfilled vacancies (around 8%) within the adult social care workforce in England, which totalled about 1.84 million. The high staff turnover, growing demand for services, and financial constraints limit staff from offering disabled people personalised support and engagement. </w:t>
      </w:r>
    </w:p>
    <w:p w14:paraId="22F23CAE" w14:textId="77777777" w:rsidR="00603869" w:rsidRDefault="0000238D">
      <w:pPr>
        <w:pStyle w:val="Heading1"/>
        <w:keepNext w:val="0"/>
        <w:keepLines w:val="0"/>
      </w:pPr>
      <w:bookmarkStart w:id="7" w:name="_heading=h.88ogyydeaxgl" w:colFirst="0" w:colLast="0"/>
      <w:bookmarkStart w:id="8" w:name="_Toc235469737"/>
      <w:bookmarkEnd w:id="7"/>
      <w:r>
        <w:t>Recommendations for Health and Social Care Policy and Practice</w:t>
      </w:r>
      <w:bookmarkEnd w:id="8"/>
    </w:p>
    <w:p w14:paraId="420EAEA3" w14:textId="77777777" w:rsidR="00603869" w:rsidRDefault="0000238D">
      <w:pPr>
        <w:rPr>
          <w:sz w:val="23"/>
          <w:szCs w:val="23"/>
        </w:rPr>
      </w:pPr>
      <w:r>
        <w:rPr>
          <w:sz w:val="23"/>
          <w:szCs w:val="23"/>
        </w:rPr>
        <w:t xml:space="preserve">The Social Model of Disability has had an impact on person-centred care, but there is a need for more changes to make the policy into consistent practice in health and social care. It is clear from the evidence presented here that legal instruments are not enough to eradicate inequalities, </w:t>
      </w:r>
      <w:r>
        <w:rPr>
          <w:sz w:val="23"/>
          <w:szCs w:val="23"/>
        </w:rPr>
        <w:lastRenderedPageBreak/>
        <w:t>and that there is a need for greater implementation of the law, increased funding and cross-sector collaboration.</w:t>
      </w:r>
    </w:p>
    <w:p w14:paraId="484E6B5F" w14:textId="77777777" w:rsidR="00603869" w:rsidRDefault="0000238D">
      <w:pPr>
        <w:rPr>
          <w:sz w:val="23"/>
          <w:szCs w:val="23"/>
        </w:rPr>
      </w:pPr>
      <w:r>
        <w:rPr>
          <w:sz w:val="23"/>
          <w:szCs w:val="23"/>
        </w:rPr>
        <w:t>It is recommended that there should be improved training and development of disability awareness and person-centred care for all health and social care practitioners (</w:t>
      </w:r>
      <w:r>
        <w:rPr>
          <w:color w:val="222222"/>
          <w:highlight w:val="white"/>
        </w:rPr>
        <w:t xml:space="preserve">de Jong </w:t>
      </w:r>
      <w:r>
        <w:rPr>
          <w:i/>
          <w:iCs/>
          <w:color w:val="222222"/>
          <w:highlight w:val="white"/>
        </w:rPr>
        <w:t xml:space="preserve">et al. </w:t>
      </w:r>
      <w:r>
        <w:rPr>
          <w:color w:val="222222"/>
          <w:highlight w:val="white"/>
        </w:rPr>
        <w:t>2021)</w:t>
      </w:r>
      <w:r>
        <w:rPr>
          <w:sz w:val="23"/>
          <w:szCs w:val="23"/>
        </w:rPr>
        <w:t>. Many obstacles for disabled people stem from the lack of awareness of communication needs, unconscious bias and lack of knowledge of reasonable adjustments. Mandatory education should therefore be integrated into the undergraduate professional education programmes and into the continuous professional development. Training should also be co-designed and co-delivered with disabled people to provide hands-on experience of lived experience and awareness of environmental barriers impacting health outcomes for professionals (</w:t>
      </w:r>
      <w:r>
        <w:rPr>
          <w:color w:val="222222"/>
          <w:highlight w:val="white"/>
        </w:rPr>
        <w:t xml:space="preserve">Ellis-Smith </w:t>
      </w:r>
      <w:r>
        <w:rPr>
          <w:i/>
          <w:iCs/>
          <w:color w:val="222222"/>
          <w:highlight w:val="white"/>
        </w:rPr>
        <w:t>et al.</w:t>
      </w:r>
      <w:r>
        <w:rPr>
          <w:color w:val="222222"/>
          <w:highlight w:val="white"/>
        </w:rPr>
        <w:t xml:space="preserve"> 2022)</w:t>
      </w:r>
      <w:r>
        <w:rPr>
          <w:sz w:val="23"/>
          <w:szCs w:val="23"/>
        </w:rPr>
        <w:t>. Staff competence would help to improve service delivery, in terms of being more inclusive, respectful and effective.</w:t>
      </w:r>
    </w:p>
    <w:p w14:paraId="0379F248" w14:textId="77777777" w:rsidR="00603869" w:rsidRDefault="0000238D">
      <w:pPr>
        <w:rPr>
          <w:sz w:val="23"/>
          <w:szCs w:val="23"/>
        </w:rPr>
      </w:pPr>
      <w:r>
        <w:rPr>
          <w:sz w:val="23"/>
          <w:szCs w:val="23"/>
        </w:rPr>
        <w:t>Secondly, there should be greater government spending on accessible health and social care facilities. Accessibility is a core element of equality of treatment in the NHS in England, with more than 1.4 million hospital admissions each month and millions of outpatient appointments provided each year. Investment should be made in enhancing physical accessibility, digital inclusion, AT, accessible transport links and communication support (</w:t>
      </w:r>
      <w:r>
        <w:rPr>
          <w:color w:val="222222"/>
          <w:highlight w:val="white"/>
        </w:rPr>
        <w:t>Centre for Person-Centred Care Research, 2021</w:t>
      </w:r>
      <w:r>
        <w:rPr>
          <w:sz w:val="23"/>
          <w:szCs w:val="23"/>
        </w:rPr>
        <w:t>). With the growing use of digital technology in health care, having online booking systems, virtual consultations and patient portals that are fully accessible will help close the gap on inequalities, not increase inequalities.</w:t>
      </w:r>
    </w:p>
    <w:p w14:paraId="785074AB" w14:textId="77777777" w:rsidR="00603869" w:rsidRDefault="0000238D">
      <w:pPr>
        <w:rPr>
          <w:sz w:val="23"/>
          <w:szCs w:val="23"/>
        </w:rPr>
      </w:pPr>
      <w:r>
        <w:rPr>
          <w:sz w:val="23"/>
          <w:szCs w:val="23"/>
        </w:rPr>
        <w:t>The need for better support services for early intervention and community-based support services is another important recommendation. Preventative care helps disabled people to stay independent, avoiding unnecessary hospitalisations or institutionalisation. More than half a million people already receive adult social care services through long-term care packages in England, but the demand for services and the shortage of staff continue to put a strain on services (</w:t>
      </w:r>
      <w:r>
        <w:rPr>
          <w:color w:val="222222"/>
          <w:highlight w:val="white"/>
        </w:rPr>
        <w:t xml:space="preserve">Burgers </w:t>
      </w:r>
      <w:r>
        <w:rPr>
          <w:i/>
          <w:iCs/>
          <w:color w:val="222222"/>
          <w:highlight w:val="white"/>
        </w:rPr>
        <w:t>et al</w:t>
      </w:r>
      <w:r>
        <w:rPr>
          <w:color w:val="222222"/>
          <w:highlight w:val="white"/>
        </w:rPr>
        <w:t>. 2021)</w:t>
      </w:r>
      <w:r>
        <w:rPr>
          <w:sz w:val="23"/>
          <w:szCs w:val="23"/>
        </w:rPr>
        <w:t>. Greater investment in community rehabilitation, home adaptations, occupational therapy and independent living programmes would enhance quality of life and lower the cost of long-term health care. There could also be more joined-up working between the NHS, local authorities, voluntary organisations and social care, which would help to deliver more co-ordinated and person-centred services.</w:t>
      </w:r>
    </w:p>
    <w:p w14:paraId="4198AD05" w14:textId="77777777" w:rsidR="00603869" w:rsidRDefault="0000238D">
      <w:pPr>
        <w:pStyle w:val="Heading1"/>
      </w:pPr>
      <w:bookmarkStart w:id="9" w:name="_heading=h.i79cy4vycxpd" w:colFirst="0" w:colLast="0"/>
      <w:bookmarkStart w:id="10" w:name="_Toc235469738"/>
      <w:bookmarkEnd w:id="9"/>
      <w:proofErr w:type="spellStart"/>
      <w:r>
        <w:t>Conlcusion</w:t>
      </w:r>
      <w:bookmarkEnd w:id="10"/>
      <w:proofErr w:type="spellEnd"/>
    </w:p>
    <w:p w14:paraId="19327E0C" w14:textId="77777777" w:rsidR="00603869" w:rsidRDefault="0000238D">
      <w:r>
        <w:rPr>
          <w:sz w:val="23"/>
          <w:szCs w:val="23"/>
        </w:rPr>
        <w:t xml:space="preserve">The Social Model of Disability is still one of the most influential models of disability that is used to promote person-centred health and social care. It has changed the paradigm from focusing on the person with impairment to a focus on barriers in society. It has changed, </w:t>
      </w:r>
      <w:r>
        <w:rPr>
          <w:sz w:val="23"/>
          <w:szCs w:val="23"/>
        </w:rPr>
        <w:lastRenderedPageBreak/>
        <w:t>transformed legislation, policy and practice. Yet, significant and unequal access to health care, to jobs, to social activities, and to health outcomes indicates that implementation is still incomplete. Improving workforce training, growing investment in accessible services, building community-based support and a focus on co-production in decision-making will help to bring the principles of the Social Model to full fruition. Such reforms would encourage equality, dignity and independence and allow disabled people to be full members of society with a person-centred health and social care.</w:t>
      </w:r>
      <w:r>
        <w:t xml:space="preserve"> </w:t>
      </w:r>
    </w:p>
    <w:p w14:paraId="411A550C" w14:textId="77777777" w:rsidR="0056368E" w:rsidRDefault="0056368E"/>
    <w:p w14:paraId="2A3D7A2A" w14:textId="77777777" w:rsidR="0056368E" w:rsidRDefault="0056368E">
      <w:pPr>
        <w:rPr>
          <w:b/>
          <w:bCs/>
          <w:sz w:val="28"/>
          <w:szCs w:val="28"/>
        </w:rPr>
      </w:pPr>
      <w:r>
        <w:br w:type="page"/>
      </w:r>
    </w:p>
    <w:p w14:paraId="138457B4" w14:textId="77777777" w:rsidR="0056368E" w:rsidRDefault="0056368E" w:rsidP="0056368E">
      <w:pPr>
        <w:pStyle w:val="Heading1"/>
      </w:pPr>
      <w:bookmarkStart w:id="11" w:name="_Toc235469739"/>
      <w:r>
        <w:lastRenderedPageBreak/>
        <w:t>Reference List</w:t>
      </w:r>
      <w:bookmarkEnd w:id="11"/>
    </w:p>
    <w:p w14:paraId="572561F1"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Adam, S. (2023) </w:t>
      </w:r>
      <w:r>
        <w:rPr>
          <w:i/>
          <w:iCs/>
          <w:color w:val="222222"/>
          <w:shd w:val="clear" w:color="auto" w:fill="FFFFFF"/>
        </w:rPr>
        <w:t>Who needs the social model of disability?</w:t>
      </w:r>
      <w:r>
        <w:rPr>
          <w:color w:val="222222"/>
          <w:shd w:val="clear" w:color="auto" w:fill="FFFFFF"/>
        </w:rPr>
        <w:t xml:space="preserve"> PubMed record. Available at:</w:t>
      </w:r>
      <w:hyperlink r:id="rId9" w:history="1">
        <w:r>
          <w:rPr>
            <w:rStyle w:val="Hyperlink"/>
            <w:color w:val="222222"/>
            <w:shd w:val="clear" w:color="auto" w:fill="FFFFFF"/>
          </w:rPr>
          <w:t xml:space="preserve"> </w:t>
        </w:r>
        <w:r>
          <w:rPr>
            <w:rStyle w:val="Hyperlink"/>
            <w:color w:val="1155CC"/>
            <w:shd w:val="clear" w:color="auto" w:fill="FFFFFF"/>
          </w:rPr>
          <w:t>https://pubmed.ncbi.nlm.nih.gov/38131061/</w:t>
        </w:r>
      </w:hyperlink>
      <w:r>
        <w:rPr>
          <w:color w:val="222222"/>
          <w:shd w:val="clear" w:color="auto" w:fill="FFFFFF"/>
        </w:rPr>
        <w:t xml:space="preserve"> (Accessed: 20 July 2026).</w:t>
      </w:r>
    </w:p>
    <w:p w14:paraId="502B3450"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Adam, S. and </w:t>
      </w:r>
      <w:proofErr w:type="spellStart"/>
      <w:r>
        <w:rPr>
          <w:color w:val="222222"/>
          <w:shd w:val="clear" w:color="auto" w:fill="FFFFFF"/>
        </w:rPr>
        <w:t>Koutsoklenis</w:t>
      </w:r>
      <w:proofErr w:type="spellEnd"/>
      <w:r>
        <w:rPr>
          <w:color w:val="222222"/>
          <w:shd w:val="clear" w:color="auto" w:fill="FFFFFF"/>
        </w:rPr>
        <w:t xml:space="preserve">, A. (2023) </w:t>
      </w:r>
      <w:r>
        <w:rPr>
          <w:i/>
          <w:iCs/>
          <w:color w:val="222222"/>
          <w:shd w:val="clear" w:color="auto" w:fill="FFFFFF"/>
        </w:rPr>
        <w:t>Who needs the social model of disability?</w:t>
      </w:r>
      <w:r>
        <w:rPr>
          <w:color w:val="222222"/>
          <w:shd w:val="clear" w:color="auto" w:fill="FFFFFF"/>
        </w:rPr>
        <w:t xml:space="preserve"> Frontiers in Sociology, 8, 1305301. Available at: </w:t>
      </w:r>
      <w:hyperlink r:id="rId10" w:history="1">
        <w:r>
          <w:rPr>
            <w:rStyle w:val="Hyperlink"/>
            <w:color w:val="1155CC"/>
            <w:shd w:val="clear" w:color="auto" w:fill="FFFFFF"/>
          </w:rPr>
          <w:t>https://doi.org/10.3389/fsoc.2023.1305301</w:t>
        </w:r>
      </w:hyperlink>
      <w:r>
        <w:rPr>
          <w:color w:val="222222"/>
          <w:shd w:val="clear" w:color="auto" w:fill="FFFFFF"/>
        </w:rPr>
        <w:t>  (Accessed: 20 July 2026).</w:t>
      </w:r>
    </w:p>
    <w:p w14:paraId="2482D222" w14:textId="77777777" w:rsidR="0056368E" w:rsidRDefault="0056368E" w:rsidP="0056368E">
      <w:pPr>
        <w:pStyle w:val="NormalWeb"/>
        <w:spacing w:before="0" w:beforeAutospacing="0" w:after="0" w:afterAutospacing="0" w:line="360" w:lineRule="auto"/>
        <w:jc w:val="both"/>
      </w:pPr>
      <w:proofErr w:type="spellStart"/>
      <w:r>
        <w:rPr>
          <w:color w:val="222222"/>
          <w:shd w:val="clear" w:color="auto" w:fill="FFFFFF"/>
        </w:rPr>
        <w:t>Arzroomchilar</w:t>
      </w:r>
      <w:proofErr w:type="spellEnd"/>
      <w:r>
        <w:rPr>
          <w:color w:val="222222"/>
          <w:shd w:val="clear" w:color="auto" w:fill="FFFFFF"/>
        </w:rPr>
        <w:t xml:space="preserve">, E. (2024) </w:t>
      </w:r>
      <w:r>
        <w:rPr>
          <w:i/>
          <w:iCs/>
          <w:color w:val="222222"/>
          <w:shd w:val="clear" w:color="auto" w:fill="FFFFFF"/>
        </w:rPr>
        <w:t>Why Disability Is Technologically Mediated?</w:t>
      </w:r>
      <w:r>
        <w:rPr>
          <w:color w:val="222222"/>
          <w:shd w:val="clear" w:color="auto" w:fill="FFFFFF"/>
        </w:rPr>
        <w:t xml:space="preserve"> Human Studies, 47, pp. 713–726. Available at: </w:t>
      </w:r>
      <w:hyperlink r:id="rId11" w:history="1">
        <w:r>
          <w:rPr>
            <w:rStyle w:val="Hyperlink"/>
            <w:color w:val="1155CC"/>
            <w:shd w:val="clear" w:color="auto" w:fill="FFFFFF"/>
          </w:rPr>
          <w:t>https://doi.org/10.1007/s10746-024-09722-9</w:t>
        </w:r>
      </w:hyperlink>
      <w:r>
        <w:rPr>
          <w:color w:val="222222"/>
          <w:shd w:val="clear" w:color="auto" w:fill="FFFFFF"/>
        </w:rPr>
        <w:t>  (Accessed: 20 July 2026).</w:t>
      </w:r>
    </w:p>
    <w:p w14:paraId="49C41980" w14:textId="77777777" w:rsidR="0056368E" w:rsidRDefault="0056368E" w:rsidP="0056368E">
      <w:pPr>
        <w:pStyle w:val="NormalWeb"/>
        <w:spacing w:before="0" w:beforeAutospacing="0" w:after="0" w:afterAutospacing="0" w:line="360" w:lineRule="auto"/>
        <w:jc w:val="both"/>
      </w:pPr>
      <w:proofErr w:type="spellStart"/>
      <w:r>
        <w:rPr>
          <w:color w:val="222222"/>
          <w:shd w:val="clear" w:color="auto" w:fill="FFFFFF"/>
        </w:rPr>
        <w:t>Arzroomchilar</w:t>
      </w:r>
      <w:proofErr w:type="spellEnd"/>
      <w:r>
        <w:rPr>
          <w:color w:val="222222"/>
          <w:shd w:val="clear" w:color="auto" w:fill="FFFFFF"/>
        </w:rPr>
        <w:t xml:space="preserve">, E. (2024) </w:t>
      </w:r>
      <w:r>
        <w:rPr>
          <w:i/>
          <w:iCs/>
          <w:color w:val="222222"/>
          <w:shd w:val="clear" w:color="auto" w:fill="FFFFFF"/>
        </w:rPr>
        <w:t>Why Disability Is Technologically Mediated.</w:t>
      </w:r>
      <w:r>
        <w:rPr>
          <w:color w:val="222222"/>
          <w:shd w:val="clear" w:color="auto" w:fill="FFFFFF"/>
        </w:rPr>
        <w:t xml:space="preserve"> Human Studies. Available at:</w:t>
      </w:r>
      <w:hyperlink r:id="rId12" w:history="1">
        <w:r>
          <w:rPr>
            <w:rStyle w:val="Hyperlink"/>
            <w:color w:val="222222"/>
            <w:shd w:val="clear" w:color="auto" w:fill="FFFFFF"/>
          </w:rPr>
          <w:t xml:space="preserve"> </w:t>
        </w:r>
        <w:r>
          <w:rPr>
            <w:rStyle w:val="Hyperlink"/>
            <w:color w:val="1155CC"/>
            <w:shd w:val="clear" w:color="auto" w:fill="FFFFFF"/>
          </w:rPr>
          <w:t>https://link.springer.com/article/10.1007/s10746-024-09722-9</w:t>
        </w:r>
      </w:hyperlink>
      <w:r>
        <w:rPr>
          <w:color w:val="222222"/>
          <w:shd w:val="clear" w:color="auto" w:fill="FFFFFF"/>
        </w:rPr>
        <w:t xml:space="preserve"> (Accessed: 20 July 2026).</w:t>
      </w:r>
    </w:p>
    <w:p w14:paraId="0313115B" w14:textId="77777777" w:rsidR="0056368E" w:rsidRDefault="0056368E" w:rsidP="0056368E">
      <w:pPr>
        <w:pStyle w:val="NormalWeb"/>
        <w:spacing w:before="0" w:beforeAutospacing="0" w:after="0" w:afterAutospacing="0" w:line="360" w:lineRule="auto"/>
        <w:jc w:val="both"/>
      </w:pPr>
      <w:r>
        <w:rPr>
          <w:color w:val="222222"/>
          <w:shd w:val="clear" w:color="auto" w:fill="FFFFFF"/>
        </w:rPr>
        <w:t>Burgers, J.S., van der Weijden, T. and Bischoff, E.W.M.A. (2021) ‘Challenges of research on person-</w:t>
      </w:r>
      <w:proofErr w:type="spellStart"/>
      <w:r>
        <w:rPr>
          <w:color w:val="222222"/>
          <w:shd w:val="clear" w:color="auto" w:fill="FFFFFF"/>
        </w:rPr>
        <w:t>centered</w:t>
      </w:r>
      <w:proofErr w:type="spellEnd"/>
      <w:r>
        <w:rPr>
          <w:color w:val="222222"/>
          <w:shd w:val="clear" w:color="auto" w:fill="FFFFFF"/>
        </w:rPr>
        <w:t xml:space="preserve"> care in general practice: a scoping review’, </w:t>
      </w:r>
      <w:r>
        <w:rPr>
          <w:i/>
          <w:iCs/>
          <w:color w:val="222222"/>
          <w:shd w:val="clear" w:color="auto" w:fill="FFFFFF"/>
        </w:rPr>
        <w:t>Frontiers in Medicine</w:t>
      </w:r>
      <w:r>
        <w:rPr>
          <w:color w:val="222222"/>
          <w:shd w:val="clear" w:color="auto" w:fill="FFFFFF"/>
        </w:rPr>
        <w:t>, 8, 669491. Available at:</w:t>
      </w:r>
      <w:hyperlink r:id="rId13" w:history="1">
        <w:r>
          <w:rPr>
            <w:rStyle w:val="Hyperlink"/>
            <w:color w:val="222222"/>
            <w:shd w:val="clear" w:color="auto" w:fill="FFFFFF"/>
          </w:rPr>
          <w:t xml:space="preserve"> </w:t>
        </w:r>
        <w:r>
          <w:rPr>
            <w:rStyle w:val="Hyperlink"/>
            <w:color w:val="1155CC"/>
            <w:shd w:val="clear" w:color="auto" w:fill="FFFFFF"/>
          </w:rPr>
          <w:t>https://doi.org/10.3389/fmed.2021.669491</w:t>
        </w:r>
      </w:hyperlink>
    </w:p>
    <w:p w14:paraId="0D8D78F9"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Centre for Person-Centred Care Research (2021) ‘Person-centred care: looking back, looking forward’, </w:t>
      </w:r>
      <w:r>
        <w:rPr>
          <w:i/>
          <w:iCs/>
          <w:color w:val="222222"/>
          <w:shd w:val="clear" w:color="auto" w:fill="FFFFFF"/>
        </w:rPr>
        <w:t>European Journal of Cardiovascular Nursing</w:t>
      </w:r>
      <w:r>
        <w:rPr>
          <w:color w:val="222222"/>
          <w:shd w:val="clear" w:color="auto" w:fill="FFFFFF"/>
        </w:rPr>
        <w:t>, 20(2), pp. 93–95. Available at:</w:t>
      </w:r>
      <w:hyperlink r:id="rId14" w:history="1">
        <w:r>
          <w:rPr>
            <w:rStyle w:val="Hyperlink"/>
            <w:color w:val="222222"/>
            <w:shd w:val="clear" w:color="auto" w:fill="FFFFFF"/>
          </w:rPr>
          <w:t xml:space="preserve"> </w:t>
        </w:r>
        <w:r>
          <w:rPr>
            <w:rStyle w:val="Hyperlink"/>
            <w:color w:val="1155CC"/>
            <w:shd w:val="clear" w:color="auto" w:fill="FFFFFF"/>
          </w:rPr>
          <w:t>https://doi.org/10.1093/eurjcn/zvaa025</w:t>
        </w:r>
      </w:hyperlink>
    </w:p>
    <w:p w14:paraId="0766A2AF"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de Jong, Y., van der Willik, E.M., </w:t>
      </w:r>
      <w:proofErr w:type="spellStart"/>
      <w:r>
        <w:rPr>
          <w:color w:val="222222"/>
          <w:shd w:val="clear" w:color="auto" w:fill="FFFFFF"/>
        </w:rPr>
        <w:t>Milders</w:t>
      </w:r>
      <w:proofErr w:type="spellEnd"/>
      <w:r>
        <w:rPr>
          <w:color w:val="222222"/>
          <w:shd w:val="clear" w:color="auto" w:fill="FFFFFF"/>
        </w:rPr>
        <w:t xml:space="preserve">, J., Meuleman, Y., van Gils, P.F., Bos, W.J.W. and Dekker, F.W. (2021) ‘Person centred care provision and care planning in chronic kidney disease: which outcomes matter? A systematic review and thematic synthesis of qualitative studies’, </w:t>
      </w:r>
      <w:r>
        <w:rPr>
          <w:i/>
          <w:iCs/>
          <w:color w:val="222222"/>
          <w:shd w:val="clear" w:color="auto" w:fill="FFFFFF"/>
        </w:rPr>
        <w:t>BMC Nephrology</w:t>
      </w:r>
      <w:r>
        <w:rPr>
          <w:color w:val="222222"/>
          <w:shd w:val="clear" w:color="auto" w:fill="FFFFFF"/>
        </w:rPr>
        <w:t xml:space="preserve">, 22, 309. Available at: </w:t>
      </w:r>
      <w:hyperlink r:id="rId15" w:history="1">
        <w:r>
          <w:rPr>
            <w:rStyle w:val="Hyperlink"/>
            <w:color w:val="1155CC"/>
            <w:shd w:val="clear" w:color="auto" w:fill="FFFFFF"/>
          </w:rPr>
          <w:t>https://doi.org/10.1186/s12882-021-02489-6</w:t>
        </w:r>
      </w:hyperlink>
      <w:r>
        <w:rPr>
          <w:color w:val="222222"/>
          <w:shd w:val="clear" w:color="auto" w:fill="FFFFFF"/>
        </w:rPr>
        <w:t> </w:t>
      </w:r>
    </w:p>
    <w:p w14:paraId="077BBCDD"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Ellis-Smith, C., Tunnard, I., Dawkins, M., Gao, W., Higginson, I.J. and Evans, C.J. (2021) ‘Managing clinical uncertainty in older people towards the end of life: a systematic review of person-centred tools’, </w:t>
      </w:r>
      <w:r>
        <w:rPr>
          <w:i/>
          <w:iCs/>
          <w:color w:val="222222"/>
          <w:shd w:val="clear" w:color="auto" w:fill="FFFFFF"/>
        </w:rPr>
        <w:t>BMC Palliative Care</w:t>
      </w:r>
      <w:r>
        <w:rPr>
          <w:color w:val="222222"/>
          <w:shd w:val="clear" w:color="auto" w:fill="FFFFFF"/>
        </w:rPr>
        <w:t xml:space="preserve">, 20, 168. Available at: </w:t>
      </w:r>
      <w:hyperlink r:id="rId16" w:history="1">
        <w:r>
          <w:rPr>
            <w:rStyle w:val="Hyperlink"/>
            <w:color w:val="1155CC"/>
            <w:shd w:val="clear" w:color="auto" w:fill="FFFFFF"/>
          </w:rPr>
          <w:t>https://doi.org/10.1186/s12904-021-00845-9</w:t>
        </w:r>
      </w:hyperlink>
      <w:r>
        <w:rPr>
          <w:color w:val="222222"/>
          <w:shd w:val="clear" w:color="auto" w:fill="FFFFFF"/>
        </w:rPr>
        <w:t> </w:t>
      </w:r>
    </w:p>
    <w:p w14:paraId="310920FC"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Elsevier (2024) </w:t>
      </w:r>
      <w:r>
        <w:rPr>
          <w:i/>
          <w:iCs/>
          <w:color w:val="222222"/>
          <w:shd w:val="clear" w:color="auto" w:fill="FFFFFF"/>
        </w:rPr>
        <w:t>Barriers to inclusion: Incorporating the social model in the study of children’s understanding of disability.</w:t>
      </w:r>
      <w:r>
        <w:rPr>
          <w:color w:val="222222"/>
          <w:shd w:val="clear" w:color="auto" w:fill="FFFFFF"/>
        </w:rPr>
        <w:t xml:space="preserve"> Available at:</w:t>
      </w:r>
      <w:hyperlink r:id="rId17" w:history="1">
        <w:r>
          <w:rPr>
            <w:rStyle w:val="Hyperlink"/>
            <w:color w:val="222222"/>
            <w:shd w:val="clear" w:color="auto" w:fill="FFFFFF"/>
          </w:rPr>
          <w:t xml:space="preserve"> </w:t>
        </w:r>
        <w:r>
          <w:rPr>
            <w:rStyle w:val="Hyperlink"/>
            <w:color w:val="1155CC"/>
            <w:shd w:val="clear" w:color="auto" w:fill="FFFFFF"/>
          </w:rPr>
          <w:t>https://www.sciencedirect.com/science/article/pii/S0885201424000200</w:t>
        </w:r>
      </w:hyperlink>
      <w:r>
        <w:rPr>
          <w:color w:val="222222"/>
          <w:shd w:val="clear" w:color="auto" w:fill="FFFFFF"/>
        </w:rPr>
        <w:t xml:space="preserve"> (Accessed: 20 July 2026).</w:t>
      </w:r>
    </w:p>
    <w:p w14:paraId="46432DF3"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Fridberg, H., Wallin, L. and </w:t>
      </w:r>
      <w:proofErr w:type="spellStart"/>
      <w:r>
        <w:rPr>
          <w:color w:val="222222"/>
          <w:shd w:val="clear" w:color="auto" w:fill="FFFFFF"/>
        </w:rPr>
        <w:t>Tistad</w:t>
      </w:r>
      <w:proofErr w:type="spellEnd"/>
      <w:r>
        <w:rPr>
          <w:color w:val="222222"/>
          <w:shd w:val="clear" w:color="auto" w:fill="FFFFFF"/>
        </w:rPr>
        <w:t xml:space="preserve">, M. (2021) ‘The innovation characteristics of person-centred care as perceived by healthcare professionals: an interview study employing a </w:t>
      </w:r>
      <w:r>
        <w:rPr>
          <w:color w:val="222222"/>
          <w:shd w:val="clear" w:color="auto" w:fill="FFFFFF"/>
        </w:rPr>
        <w:lastRenderedPageBreak/>
        <w:t xml:space="preserve">deductive-inductive content analysis guided by the consolidated framework for implementation research’, </w:t>
      </w:r>
      <w:r>
        <w:rPr>
          <w:i/>
          <w:iCs/>
          <w:color w:val="222222"/>
          <w:shd w:val="clear" w:color="auto" w:fill="FFFFFF"/>
        </w:rPr>
        <w:t>BMC Health Services Research</w:t>
      </w:r>
      <w:r>
        <w:rPr>
          <w:color w:val="222222"/>
          <w:shd w:val="clear" w:color="auto" w:fill="FFFFFF"/>
        </w:rPr>
        <w:t>, 21, 904. Available at:</w:t>
      </w:r>
      <w:hyperlink r:id="rId18" w:history="1">
        <w:r>
          <w:rPr>
            <w:rStyle w:val="Hyperlink"/>
            <w:color w:val="222222"/>
            <w:shd w:val="clear" w:color="auto" w:fill="FFFFFF"/>
          </w:rPr>
          <w:t xml:space="preserve"> </w:t>
        </w:r>
        <w:r>
          <w:rPr>
            <w:rStyle w:val="Hyperlink"/>
            <w:color w:val="1155CC"/>
            <w:shd w:val="clear" w:color="auto" w:fill="FFFFFF"/>
          </w:rPr>
          <w:t>https://doi.org/10.1186/s12913-021-06942-y</w:t>
        </w:r>
      </w:hyperlink>
    </w:p>
    <w:p w14:paraId="1A46AB48" w14:textId="77777777" w:rsidR="0056368E" w:rsidRDefault="0056368E" w:rsidP="0056368E">
      <w:pPr>
        <w:pStyle w:val="NormalWeb"/>
        <w:spacing w:before="0" w:beforeAutospacing="0" w:after="0" w:afterAutospacing="0" w:line="360" w:lineRule="auto"/>
        <w:jc w:val="both"/>
      </w:pPr>
      <w:proofErr w:type="spellStart"/>
      <w:r>
        <w:rPr>
          <w:color w:val="222222"/>
          <w:shd w:val="clear" w:color="auto" w:fill="FFFFFF"/>
        </w:rPr>
        <w:t>Grafiati</w:t>
      </w:r>
      <w:proofErr w:type="spellEnd"/>
      <w:r>
        <w:rPr>
          <w:color w:val="222222"/>
          <w:shd w:val="clear" w:color="auto" w:fill="FFFFFF"/>
        </w:rPr>
        <w:t xml:space="preserve"> (2021) </w:t>
      </w:r>
      <w:r>
        <w:rPr>
          <w:i/>
          <w:iCs/>
          <w:color w:val="222222"/>
          <w:shd w:val="clear" w:color="auto" w:fill="FFFFFF"/>
        </w:rPr>
        <w:t>Academic literature on the topic "Social model of disability".</w:t>
      </w:r>
      <w:r>
        <w:rPr>
          <w:color w:val="222222"/>
          <w:shd w:val="clear" w:color="auto" w:fill="FFFFFF"/>
        </w:rPr>
        <w:t xml:space="preserve"> Available at:</w:t>
      </w:r>
      <w:hyperlink r:id="rId19" w:history="1">
        <w:r>
          <w:rPr>
            <w:rStyle w:val="Hyperlink"/>
            <w:color w:val="222222"/>
            <w:shd w:val="clear" w:color="auto" w:fill="FFFFFF"/>
          </w:rPr>
          <w:t xml:space="preserve"> </w:t>
        </w:r>
        <w:r>
          <w:rPr>
            <w:rStyle w:val="Hyperlink"/>
            <w:color w:val="1155CC"/>
            <w:shd w:val="clear" w:color="auto" w:fill="FFFFFF"/>
          </w:rPr>
          <w:t>https://www.grafiati.com/en/literature-selections/social-model-of-disability/</w:t>
        </w:r>
      </w:hyperlink>
      <w:r>
        <w:rPr>
          <w:color w:val="222222"/>
          <w:shd w:val="clear" w:color="auto" w:fill="FFFFFF"/>
        </w:rPr>
        <w:t xml:space="preserve"> (Accessed: 20 July 2026).</w:t>
      </w:r>
    </w:p>
    <w:p w14:paraId="2425A121"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Newman-Griffis, D., </w:t>
      </w:r>
      <w:proofErr w:type="spellStart"/>
      <w:r>
        <w:rPr>
          <w:color w:val="222222"/>
          <w:shd w:val="clear" w:color="auto" w:fill="FFFFFF"/>
        </w:rPr>
        <w:t>Rauchberg</w:t>
      </w:r>
      <w:proofErr w:type="spellEnd"/>
      <w:r>
        <w:rPr>
          <w:color w:val="222222"/>
          <w:shd w:val="clear" w:color="auto" w:fill="FFFFFF"/>
        </w:rPr>
        <w:t xml:space="preserve">, J.S., Alharbi, R., Hickman, L. and Hochheiser, H. (2022) </w:t>
      </w:r>
      <w:r>
        <w:rPr>
          <w:i/>
          <w:iCs/>
          <w:color w:val="222222"/>
          <w:shd w:val="clear" w:color="auto" w:fill="FFFFFF"/>
        </w:rPr>
        <w:t>Definition drives design: Disability models and mechanisms of bias in AI technologies.</w:t>
      </w:r>
      <w:r>
        <w:rPr>
          <w:color w:val="222222"/>
          <w:shd w:val="clear" w:color="auto" w:fill="FFFFFF"/>
        </w:rPr>
        <w:t xml:space="preserve"> Available at:</w:t>
      </w:r>
      <w:hyperlink r:id="rId20" w:history="1">
        <w:r>
          <w:rPr>
            <w:rStyle w:val="Hyperlink"/>
            <w:color w:val="222222"/>
            <w:shd w:val="clear" w:color="auto" w:fill="FFFFFF"/>
          </w:rPr>
          <w:t xml:space="preserve"> </w:t>
        </w:r>
        <w:r>
          <w:rPr>
            <w:rStyle w:val="Hyperlink"/>
            <w:color w:val="1155CC"/>
            <w:shd w:val="clear" w:color="auto" w:fill="FFFFFF"/>
          </w:rPr>
          <w:t>https://arxiv.org/abs/2206.08287</w:t>
        </w:r>
      </w:hyperlink>
      <w:r>
        <w:rPr>
          <w:color w:val="222222"/>
          <w:shd w:val="clear" w:color="auto" w:fill="FFFFFF"/>
        </w:rPr>
        <w:t xml:space="preserve"> (Accessed: 20 July 2026).</w:t>
      </w:r>
    </w:p>
    <w:p w14:paraId="52A33CC3" w14:textId="77777777" w:rsidR="0056368E" w:rsidRDefault="0056368E" w:rsidP="0056368E">
      <w:pPr>
        <w:pStyle w:val="NormalWeb"/>
        <w:spacing w:before="0" w:beforeAutospacing="0" w:after="0" w:afterAutospacing="0" w:line="360" w:lineRule="auto"/>
        <w:jc w:val="both"/>
      </w:pPr>
      <w:proofErr w:type="spellStart"/>
      <w:r>
        <w:rPr>
          <w:color w:val="222222"/>
          <w:shd w:val="clear" w:color="auto" w:fill="FFFFFF"/>
        </w:rPr>
        <w:t>Pakkonen</w:t>
      </w:r>
      <w:proofErr w:type="spellEnd"/>
      <w:r>
        <w:rPr>
          <w:color w:val="222222"/>
          <w:shd w:val="clear" w:color="auto" w:fill="FFFFFF"/>
        </w:rPr>
        <w:t>, M., Stolt, M., Charalambous, A. and Suhonen, R. (2021) ‘Continuing education interventions about person-</w:t>
      </w:r>
      <w:proofErr w:type="spellStart"/>
      <w:r>
        <w:rPr>
          <w:color w:val="222222"/>
          <w:shd w:val="clear" w:color="auto" w:fill="FFFFFF"/>
        </w:rPr>
        <w:t>centered</w:t>
      </w:r>
      <w:proofErr w:type="spellEnd"/>
      <w:r>
        <w:rPr>
          <w:color w:val="222222"/>
          <w:shd w:val="clear" w:color="auto" w:fill="FFFFFF"/>
        </w:rPr>
        <w:t xml:space="preserve"> care targeted for nurses in older people long-term care: a systematic review’, </w:t>
      </w:r>
      <w:r>
        <w:rPr>
          <w:i/>
          <w:iCs/>
          <w:color w:val="222222"/>
          <w:shd w:val="clear" w:color="auto" w:fill="FFFFFF"/>
        </w:rPr>
        <w:t>BMC Nursing</w:t>
      </w:r>
      <w:r>
        <w:rPr>
          <w:color w:val="222222"/>
          <w:shd w:val="clear" w:color="auto" w:fill="FFFFFF"/>
        </w:rPr>
        <w:t xml:space="preserve">, 20, 67. Available at: </w:t>
      </w:r>
      <w:hyperlink r:id="rId21" w:history="1">
        <w:r>
          <w:rPr>
            <w:rStyle w:val="Hyperlink"/>
            <w:color w:val="1155CC"/>
            <w:shd w:val="clear" w:color="auto" w:fill="FFFFFF"/>
          </w:rPr>
          <w:t>https://doi.org/10.1186/s12912-021-00585-4</w:t>
        </w:r>
      </w:hyperlink>
      <w:r>
        <w:rPr>
          <w:color w:val="222222"/>
          <w:shd w:val="clear" w:color="auto" w:fill="FFFFFF"/>
        </w:rPr>
        <w:t> </w:t>
      </w:r>
    </w:p>
    <w:p w14:paraId="5B5EF382"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Patra, S.K. (2021) </w:t>
      </w:r>
      <w:r>
        <w:rPr>
          <w:i/>
          <w:iCs/>
          <w:color w:val="222222"/>
          <w:shd w:val="clear" w:color="auto" w:fill="FFFFFF"/>
        </w:rPr>
        <w:t>Disability and Library Services: Global Research Trend.</w:t>
      </w:r>
      <w:r>
        <w:rPr>
          <w:color w:val="222222"/>
          <w:shd w:val="clear" w:color="auto" w:fill="FFFFFF"/>
        </w:rPr>
        <w:t xml:space="preserve"> Available at:</w:t>
      </w:r>
      <w:hyperlink r:id="rId22" w:history="1">
        <w:r>
          <w:rPr>
            <w:rStyle w:val="Hyperlink"/>
            <w:color w:val="222222"/>
            <w:shd w:val="clear" w:color="auto" w:fill="FFFFFF"/>
          </w:rPr>
          <w:t xml:space="preserve"> </w:t>
        </w:r>
        <w:r>
          <w:rPr>
            <w:rStyle w:val="Hyperlink"/>
            <w:color w:val="1155CC"/>
            <w:shd w:val="clear" w:color="auto" w:fill="FFFFFF"/>
          </w:rPr>
          <w:t>https://arxiv.org/abs/2112.03580</w:t>
        </w:r>
      </w:hyperlink>
      <w:r>
        <w:rPr>
          <w:color w:val="222222"/>
          <w:shd w:val="clear" w:color="auto" w:fill="FFFFFF"/>
        </w:rPr>
        <w:t xml:space="preserve"> (Accessed: 20 July 2026).</w:t>
      </w:r>
    </w:p>
    <w:p w14:paraId="64B0A6EE"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Pereira, L.S., Coelho, J., Rodrigues, A., Guerreiro, J., Guerreiro, T. and Duarte, C. (2021) </w:t>
      </w:r>
      <w:r>
        <w:rPr>
          <w:i/>
          <w:iCs/>
          <w:color w:val="222222"/>
          <w:shd w:val="clear" w:color="auto" w:fill="FFFFFF"/>
        </w:rPr>
        <w:t>Barriers and Opportunities to Accessible Social Media Content Authoring.</w:t>
      </w:r>
      <w:r>
        <w:rPr>
          <w:color w:val="222222"/>
          <w:shd w:val="clear" w:color="auto" w:fill="FFFFFF"/>
        </w:rPr>
        <w:t xml:space="preserve"> Available at:</w:t>
      </w:r>
      <w:hyperlink r:id="rId23" w:history="1">
        <w:r>
          <w:rPr>
            <w:rStyle w:val="Hyperlink"/>
            <w:color w:val="222222"/>
            <w:shd w:val="clear" w:color="auto" w:fill="FFFFFF"/>
          </w:rPr>
          <w:t xml:space="preserve"> </w:t>
        </w:r>
        <w:r>
          <w:rPr>
            <w:rStyle w:val="Hyperlink"/>
            <w:color w:val="1155CC"/>
            <w:shd w:val="clear" w:color="auto" w:fill="FFFFFF"/>
          </w:rPr>
          <w:t>https://arxiv.org/abs/2104.10968</w:t>
        </w:r>
      </w:hyperlink>
      <w:r>
        <w:rPr>
          <w:color w:val="222222"/>
          <w:shd w:val="clear" w:color="auto" w:fill="FFFFFF"/>
        </w:rPr>
        <w:t xml:space="preserve"> (Accessed: 20 July 2026).</w:t>
      </w:r>
    </w:p>
    <w:p w14:paraId="6800D718" w14:textId="77777777" w:rsidR="0056368E" w:rsidRDefault="0056368E" w:rsidP="0056368E">
      <w:pPr>
        <w:pStyle w:val="NormalWeb"/>
        <w:spacing w:before="0" w:beforeAutospacing="0" w:after="0" w:afterAutospacing="0" w:line="360" w:lineRule="auto"/>
        <w:jc w:val="both"/>
      </w:pPr>
      <w:proofErr w:type="spellStart"/>
      <w:r>
        <w:rPr>
          <w:color w:val="222222"/>
          <w:shd w:val="clear" w:color="auto" w:fill="FFFFFF"/>
        </w:rPr>
        <w:t>Petasis</w:t>
      </w:r>
      <w:proofErr w:type="spellEnd"/>
      <w:r>
        <w:rPr>
          <w:color w:val="222222"/>
          <w:shd w:val="clear" w:color="auto" w:fill="FFFFFF"/>
        </w:rPr>
        <w:t xml:space="preserve">, A. (2023) </w:t>
      </w:r>
      <w:r>
        <w:rPr>
          <w:i/>
          <w:iCs/>
          <w:color w:val="222222"/>
          <w:shd w:val="clear" w:color="auto" w:fill="FFFFFF"/>
        </w:rPr>
        <w:t>Discrepancies of the Medical, Social and Biopsychosocial Models of Disability: A Comprehensive Theoretical Framework.</w:t>
      </w:r>
      <w:r>
        <w:rPr>
          <w:color w:val="222222"/>
          <w:shd w:val="clear" w:color="auto" w:fill="FFFFFF"/>
        </w:rPr>
        <w:t xml:space="preserve"> International Journal of Business Management and Technology, 3(4), pp. 42–54. Available at: </w:t>
      </w:r>
      <w:hyperlink r:id="rId24" w:history="1">
        <w:r>
          <w:rPr>
            <w:rStyle w:val="Hyperlink"/>
            <w:color w:val="1155CC"/>
            <w:shd w:val="clear" w:color="auto" w:fill="FFFFFF"/>
          </w:rPr>
          <w:t>https://doi.org/10.5281/zenodo.7655940</w:t>
        </w:r>
      </w:hyperlink>
      <w:r>
        <w:rPr>
          <w:color w:val="222222"/>
          <w:shd w:val="clear" w:color="auto" w:fill="FFFFFF"/>
        </w:rPr>
        <w:t>  (Accessed: 20 July 2026).</w:t>
      </w:r>
    </w:p>
    <w:p w14:paraId="03489D5F" w14:textId="77777777" w:rsidR="0056368E" w:rsidRDefault="0056368E" w:rsidP="0056368E">
      <w:pPr>
        <w:pStyle w:val="NormalWeb"/>
        <w:spacing w:before="0" w:beforeAutospacing="0" w:after="0" w:afterAutospacing="0" w:line="360" w:lineRule="auto"/>
        <w:jc w:val="both"/>
      </w:pPr>
      <w:proofErr w:type="spellStart"/>
      <w:r>
        <w:rPr>
          <w:color w:val="222222"/>
          <w:shd w:val="clear" w:color="auto" w:fill="FFFFFF"/>
        </w:rPr>
        <w:t>Petasis</w:t>
      </w:r>
      <w:proofErr w:type="spellEnd"/>
      <w:r>
        <w:rPr>
          <w:color w:val="222222"/>
          <w:shd w:val="clear" w:color="auto" w:fill="FFFFFF"/>
        </w:rPr>
        <w:t xml:space="preserve">, A. (2023) </w:t>
      </w:r>
      <w:r>
        <w:rPr>
          <w:i/>
          <w:iCs/>
          <w:color w:val="222222"/>
          <w:shd w:val="clear" w:color="auto" w:fill="FFFFFF"/>
        </w:rPr>
        <w:t>Discrepancies of the Medical, Social and Biopsychosocial Models of Disability.</w:t>
      </w:r>
      <w:r>
        <w:rPr>
          <w:color w:val="222222"/>
          <w:shd w:val="clear" w:color="auto" w:fill="FFFFFF"/>
        </w:rPr>
        <w:t xml:space="preserve"> Available at:</w:t>
      </w:r>
      <w:hyperlink r:id="rId25" w:history="1">
        <w:r>
          <w:rPr>
            <w:rStyle w:val="Hyperlink"/>
            <w:color w:val="222222"/>
            <w:shd w:val="clear" w:color="auto" w:fill="FFFFFF"/>
          </w:rPr>
          <w:t xml:space="preserve"> </w:t>
        </w:r>
        <w:r>
          <w:rPr>
            <w:rStyle w:val="Hyperlink"/>
            <w:color w:val="1155CC"/>
            <w:shd w:val="clear" w:color="auto" w:fill="FFFFFF"/>
          </w:rPr>
          <w:t>https://zenodo.org/records/7655940</w:t>
        </w:r>
      </w:hyperlink>
      <w:r>
        <w:rPr>
          <w:color w:val="222222"/>
          <w:shd w:val="clear" w:color="auto" w:fill="FFFFFF"/>
        </w:rPr>
        <w:t xml:space="preserve"> (Accessed: 20 July 2026).</w:t>
      </w:r>
    </w:p>
    <w:p w14:paraId="13C9FD56"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Robertson, Z.S. and Jaswal, V.K. (2024) </w:t>
      </w:r>
      <w:r>
        <w:rPr>
          <w:i/>
          <w:iCs/>
          <w:color w:val="222222"/>
          <w:shd w:val="clear" w:color="auto" w:fill="FFFFFF"/>
        </w:rPr>
        <w:t>Barriers to inclusion: Incorporating the social model in the study of children’s understanding of disability.</w:t>
      </w:r>
      <w:r>
        <w:rPr>
          <w:color w:val="222222"/>
          <w:shd w:val="clear" w:color="auto" w:fill="FFFFFF"/>
        </w:rPr>
        <w:t xml:space="preserve"> Cognitive Development, 70, 101435. Available at: </w:t>
      </w:r>
      <w:hyperlink r:id="rId26" w:history="1">
        <w:r>
          <w:rPr>
            <w:rStyle w:val="Hyperlink"/>
            <w:color w:val="1155CC"/>
            <w:shd w:val="clear" w:color="auto" w:fill="FFFFFF"/>
          </w:rPr>
          <w:t>https://doi.org/10.1016/j.cogdev.2024.101435</w:t>
        </w:r>
      </w:hyperlink>
      <w:r>
        <w:rPr>
          <w:color w:val="222222"/>
          <w:shd w:val="clear" w:color="auto" w:fill="FFFFFF"/>
        </w:rPr>
        <w:t>  (Accessed: 20 July 2026).</w:t>
      </w:r>
    </w:p>
    <w:p w14:paraId="47088C15" w14:textId="77777777" w:rsidR="0056368E" w:rsidRDefault="0056368E" w:rsidP="0056368E">
      <w:pPr>
        <w:pStyle w:val="NormalWeb"/>
        <w:spacing w:before="0" w:beforeAutospacing="0" w:after="0" w:afterAutospacing="0" w:line="360" w:lineRule="auto"/>
        <w:jc w:val="both"/>
      </w:pPr>
      <w:r>
        <w:rPr>
          <w:color w:val="222222"/>
          <w:shd w:val="clear" w:color="auto" w:fill="FFFFFF"/>
        </w:rPr>
        <w:t xml:space="preserve">Robertson, Z.S. and Jaswal, V.K. (2024) </w:t>
      </w:r>
      <w:r>
        <w:rPr>
          <w:i/>
          <w:iCs/>
          <w:color w:val="222222"/>
          <w:shd w:val="clear" w:color="auto" w:fill="FFFFFF"/>
        </w:rPr>
        <w:t>Barriers to inclusion: Incorporating the social model in the study of children's understanding of disability.</w:t>
      </w:r>
      <w:r>
        <w:rPr>
          <w:color w:val="222222"/>
          <w:shd w:val="clear" w:color="auto" w:fill="FFFFFF"/>
        </w:rPr>
        <w:t xml:space="preserve"> Available at: https://doi.org/10.1016/j.cogdev.2024.101435 (Accessed: 20 July 2026).</w:t>
      </w:r>
    </w:p>
    <w:p w14:paraId="2DF2E92E" w14:textId="77777777" w:rsidR="0056368E" w:rsidRPr="0056368E" w:rsidRDefault="0056368E" w:rsidP="0056368E"/>
    <w:sectPr w:rsidR="0056368E" w:rsidRPr="0056368E">
      <w:footerReference w:type="default" r:id="rId27"/>
      <w:pgSz w:w="11909" w:h="16834"/>
      <w:pgMar w:top="1440" w:right="1440" w:bottom="1440" w:left="1559"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2B065" w14:textId="77777777" w:rsidR="00D831F0" w:rsidRDefault="00D831F0">
      <w:pPr>
        <w:spacing w:line="240" w:lineRule="auto"/>
      </w:pPr>
      <w:r>
        <w:separator/>
      </w:r>
    </w:p>
  </w:endnote>
  <w:endnote w:type="continuationSeparator" w:id="0">
    <w:p w14:paraId="38072A1C" w14:textId="77777777" w:rsidR="00D831F0" w:rsidRDefault="00D831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ADB3EAA-416D-47D6-BF68-0EE17F5C4A0B}"/>
  </w:font>
  <w:font w:name="Calibri">
    <w:panose1 w:val="020F0502020204030204"/>
    <w:charset w:val="00"/>
    <w:family w:val="swiss"/>
    <w:pitch w:val="variable"/>
    <w:sig w:usb0="E4002EFF" w:usb1="C200247B" w:usb2="00000009" w:usb3="00000000" w:csb0="000001FF" w:csb1="00000000"/>
    <w:embedRegular r:id="rId2" w:fontKey="{6CB01253-4CF3-4D0F-9566-1C7C5B89A671}"/>
    <w:embedBold r:id="rId3" w:fontKey="{D4D29C13-F936-43D5-8521-3E6282489861}"/>
  </w:font>
  <w:font w:name="Cambria">
    <w:panose1 w:val="02040503050406030204"/>
    <w:charset w:val="00"/>
    <w:family w:val="roman"/>
    <w:pitch w:val="variable"/>
    <w:sig w:usb0="E00006FF" w:usb1="420024FF" w:usb2="02000000" w:usb3="00000000" w:csb0="0000019F" w:csb1="00000000"/>
    <w:embedRegular r:id="rId4" w:fontKey="{E2C07F90-1905-4B4E-BAD5-D94CF7EDF4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EC52" w14:textId="77777777" w:rsidR="00603869" w:rsidRDefault="0000238D">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56368E">
      <w:rPr>
        <w:b/>
        <w:bCs/>
        <w:noProof/>
        <w:color w:val="000000"/>
      </w:rPr>
      <w:t>2</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56368E">
      <w:rPr>
        <w:b/>
        <w:bCs/>
        <w:noProof/>
        <w:color w:val="000000"/>
      </w:rPr>
      <w:t>10</w:t>
    </w:r>
    <w:r>
      <w:rPr>
        <w:b/>
        <w:bCs/>
        <w:color w:val="000000"/>
      </w:rPr>
      <w:fldChar w:fldCharType="end"/>
    </w:r>
  </w:p>
  <w:p w14:paraId="565ED5E3" w14:textId="77777777" w:rsidR="00603869" w:rsidRDefault="0060386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3DD44" w14:textId="77777777" w:rsidR="00D831F0" w:rsidRDefault="00D831F0">
      <w:pPr>
        <w:spacing w:line="240" w:lineRule="auto"/>
      </w:pPr>
      <w:r>
        <w:separator/>
      </w:r>
    </w:p>
  </w:footnote>
  <w:footnote w:type="continuationSeparator" w:id="0">
    <w:p w14:paraId="60AF8EEC" w14:textId="77777777" w:rsidR="00D831F0" w:rsidRDefault="00D831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03869"/>
    <w:rsid w:val="0000238D"/>
    <w:rsid w:val="00032A67"/>
    <w:rsid w:val="004A1BD3"/>
    <w:rsid w:val="0056368E"/>
    <w:rsid w:val="00603869"/>
    <w:rsid w:val="008A2790"/>
    <w:rsid w:val="00D831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54A2B"/>
  <w15:docId w15:val="{EED27302-D248-4C1C-943C-88363F027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80" w:after="80"/>
      <w:outlineLvl w:val="0"/>
    </w:pPr>
    <w:rPr>
      <w:b/>
      <w:bCs/>
      <w:sz w:val="28"/>
      <w:szCs w:val="28"/>
    </w:rPr>
  </w:style>
  <w:style w:type="paragraph" w:styleId="Heading2">
    <w:name w:val="heading 2"/>
    <w:basedOn w:val="Normal"/>
    <w:next w:val="Normal"/>
    <w:pPr>
      <w:keepNext/>
      <w:keepLines/>
      <w:spacing w:before="360" w:after="80"/>
      <w:jc w:val="left"/>
      <w:outlineLvl w:val="1"/>
    </w:pPr>
    <w:rPr>
      <w:b/>
      <w:bCs/>
      <w:sz w:val="26"/>
      <w:szCs w:val="26"/>
    </w:rPr>
  </w:style>
  <w:style w:type="paragraph" w:styleId="Heading3">
    <w:name w:val="heading 3"/>
    <w:basedOn w:val="Normal"/>
    <w:next w:val="Normal"/>
    <w:pPr>
      <w:keepNext/>
      <w:keepLines/>
      <w:spacing w:before="360" w:after="80"/>
      <w:jc w:val="left"/>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5636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68E"/>
    <w:rPr>
      <w:rFonts w:ascii="Tahoma" w:hAnsi="Tahoma" w:cs="Tahoma"/>
      <w:sz w:val="16"/>
      <w:szCs w:val="16"/>
    </w:rPr>
  </w:style>
  <w:style w:type="paragraph" w:styleId="TOCHeading">
    <w:name w:val="TOC Heading"/>
    <w:basedOn w:val="Heading1"/>
    <w:next w:val="Normal"/>
    <w:uiPriority w:val="39"/>
    <w:semiHidden/>
    <w:unhideWhenUsed/>
    <w:qFormat/>
    <w:rsid w:val="0056368E"/>
    <w:pPr>
      <w:spacing w:before="480" w:after="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56368E"/>
    <w:pPr>
      <w:spacing w:after="100"/>
    </w:pPr>
  </w:style>
  <w:style w:type="character" w:styleId="Hyperlink">
    <w:name w:val="Hyperlink"/>
    <w:basedOn w:val="DefaultParagraphFont"/>
    <w:uiPriority w:val="99"/>
    <w:unhideWhenUsed/>
    <w:rsid w:val="0056368E"/>
    <w:rPr>
      <w:color w:val="0000FF" w:themeColor="hyperlink"/>
      <w:u w:val="single"/>
    </w:rPr>
  </w:style>
  <w:style w:type="paragraph" w:styleId="NormalWeb">
    <w:name w:val="Normal (Web)"/>
    <w:basedOn w:val="Normal"/>
    <w:uiPriority w:val="99"/>
    <w:semiHidden/>
    <w:unhideWhenUsed/>
    <w:rsid w:val="0056368E"/>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2015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med.2021.669491" TargetMode="External"/><Relationship Id="rId18" Type="http://schemas.openxmlformats.org/officeDocument/2006/relationships/hyperlink" Target="https://doi.org/10.1186/s12913-021-06942-y" TargetMode="External"/><Relationship Id="rId26" Type="http://schemas.openxmlformats.org/officeDocument/2006/relationships/hyperlink" Target="https://doi.org/10.1016/j.cogdev.2024.101435" TargetMode="External"/><Relationship Id="rId3" Type="http://schemas.openxmlformats.org/officeDocument/2006/relationships/styles" Target="styles.xml"/><Relationship Id="rId21" Type="http://schemas.openxmlformats.org/officeDocument/2006/relationships/hyperlink" Target="https://doi.org/10.1186/s12912-021-00585-4" TargetMode="External"/><Relationship Id="rId7" Type="http://schemas.openxmlformats.org/officeDocument/2006/relationships/endnotes" Target="endnotes.xml"/><Relationship Id="rId12" Type="http://schemas.openxmlformats.org/officeDocument/2006/relationships/hyperlink" Target="https://link.springer.com/article/10.1007/s10746-024-09722-9" TargetMode="External"/><Relationship Id="rId17" Type="http://schemas.openxmlformats.org/officeDocument/2006/relationships/hyperlink" Target="https://www.sciencedirect.com/science/article/pii/S0885201424000200" TargetMode="External"/><Relationship Id="rId25" Type="http://schemas.openxmlformats.org/officeDocument/2006/relationships/hyperlink" Target="https://zenodo.org/records/7655940" TargetMode="External"/><Relationship Id="rId2" Type="http://schemas.openxmlformats.org/officeDocument/2006/relationships/customXml" Target="../customXml/item2.xml"/><Relationship Id="rId16" Type="http://schemas.openxmlformats.org/officeDocument/2006/relationships/hyperlink" Target="https://doi.org/10.1186/s12904-021-00845-9" TargetMode="External"/><Relationship Id="rId20" Type="http://schemas.openxmlformats.org/officeDocument/2006/relationships/hyperlink" Target="https://arxiv.org/abs/2206.0828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746-024-09722-9" TargetMode="External"/><Relationship Id="rId24" Type="http://schemas.openxmlformats.org/officeDocument/2006/relationships/hyperlink" Target="https://doi.org/10.5281/zenodo.7655940" TargetMode="External"/><Relationship Id="rId5" Type="http://schemas.openxmlformats.org/officeDocument/2006/relationships/webSettings" Target="webSettings.xml"/><Relationship Id="rId15" Type="http://schemas.openxmlformats.org/officeDocument/2006/relationships/hyperlink" Target="https://doi.org/10.1186/s12882-021-02489-6" TargetMode="External"/><Relationship Id="rId23" Type="http://schemas.openxmlformats.org/officeDocument/2006/relationships/hyperlink" Target="https://arxiv.org/abs/2104.10968" TargetMode="External"/><Relationship Id="rId28" Type="http://schemas.openxmlformats.org/officeDocument/2006/relationships/fontTable" Target="fontTable.xml"/><Relationship Id="rId10" Type="http://schemas.openxmlformats.org/officeDocument/2006/relationships/hyperlink" Target="https://doi.org/10.3389/fsoc.2023.1305301" TargetMode="External"/><Relationship Id="rId19" Type="http://schemas.openxmlformats.org/officeDocument/2006/relationships/hyperlink" Target="https://www.grafiati.com/en/literature-selections/social-model-of-disability/" TargetMode="External"/><Relationship Id="rId4" Type="http://schemas.openxmlformats.org/officeDocument/2006/relationships/settings" Target="settings.xml"/><Relationship Id="rId9" Type="http://schemas.openxmlformats.org/officeDocument/2006/relationships/hyperlink" Target="https://pubmed.ncbi.nlm.nih.gov/38131061/" TargetMode="External"/><Relationship Id="rId14" Type="http://schemas.openxmlformats.org/officeDocument/2006/relationships/hyperlink" Target="https://doi.org/10.1093/eurjcn/zvaa025" TargetMode="External"/><Relationship Id="rId22" Type="http://schemas.openxmlformats.org/officeDocument/2006/relationships/hyperlink" Target="https://arxiv.org/abs/2112.03580"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dgoA5dB8L+j1TA5KXuLNeESDgQ==">CgMxLjAyDmguMXd5Mjl5aGtiODVrMg5oLjVrOHRlc2w2enU5cDIOaC4xdzE4eWZpM3p0Y2EyDmguZHltNDM0NGR5YXJtMg5oLjg4b2d5eWRlYXhnbDIOaC5pNzljeTR2eWN4cGQ4AHIhMXFzbFNzMU01OUx0UUFFR0tQVk5hLWw3QVhwM0pnQWVs</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745E6FF-C4E1-40AE-A743-3AF46298C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3217</Words>
  <Characters>18339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Alok Kumar</cp:lastModifiedBy>
  <cp:revision>3</cp:revision>
  <dcterms:created xsi:type="dcterms:W3CDTF">2026-07-20T14:24:00Z</dcterms:created>
  <dcterms:modified xsi:type="dcterms:W3CDTF">2026-07-20T17:19:00Z</dcterms:modified>
</cp:coreProperties>
</file>