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eprformat"/>
        <w:jc w:val="left"/>
      </w:pPr>
      <w:r>
        <w:rPr>
          <w:rFonts w:ascii="Arial" w:hAnsi="Arial"/>
          <w:sz w:val="26"/>
          <w:szCs w:val="26"/>
        </w:rPr>
        <w:t>AHAN4001</w:t>
      </w:r>
      <w:r>
        <w:rPr>
          <w:rFonts w:ascii="Arial" w:hAnsi="Arial"/>
          <w:sz w:val="26"/>
          <w:szCs w:val="26"/>
        </w:rPr>
        <w:tab/>
        <w:tab/>
        <w:tab/>
        <w:tab/>
        <w:t>Mid Term Paper</w:t>
        <w:tab/>
        <w:tab/>
        <w:t xml:space="preserve">         </w:t>
        <w:tab/>
        <w:t xml:space="preserve">          Hardi 1701321</w:t>
      </w:r>
      <w:r/>
    </w:p>
    <w:p>
      <w:pPr>
        <w:pStyle w:val="Texteprformat"/>
        <w:rPr>
          <w:sz w:val="26"/>
          <w:sz w:val="26"/>
          <w:szCs w:val="26"/>
          <w:rFonts w:ascii="Arial" w:hAnsi="Arial" w:eastAsia="NSimSun" w:cs="Liberation Mono"/>
          <w:color w:val="00000A"/>
          <w:lang w:val="en-GB" w:eastAsia="zh-CN" w:bidi="hi-IN"/>
        </w:rPr>
      </w:pPr>
      <w:r>
        <w:rPr>
          <w:rFonts w:eastAsia="NSimSun" w:cs="Liberation Mono" w:ascii="Arial" w:hAnsi="Arial"/>
          <w:color w:val="00000A"/>
          <w:sz w:val="26"/>
          <w:szCs w:val="26"/>
          <w:lang w:val="en-GB" w:eastAsia="zh-CN" w:bidi="hi-IN"/>
        </w:rPr>
      </w:r>
      <w:r/>
    </w:p>
    <w:p>
      <w:pPr>
        <w:pStyle w:val="Texteprformat"/>
        <w:rPr>
          <w:sz w:val="26"/>
          <w:sz w:val="26"/>
          <w:szCs w:val="26"/>
          <w:rFonts w:ascii="Arial" w:hAnsi="Arial" w:eastAsia="NSimSun" w:cs="Liberation Mono"/>
          <w:color w:val="00000A"/>
          <w:lang w:val="en-GB" w:eastAsia="zh-CN" w:bidi="hi-IN"/>
        </w:rPr>
      </w:pPr>
      <w:r>
        <w:rPr>
          <w:rFonts w:eastAsia="NSimSun" w:cs="Liberation Mono" w:ascii="Arial" w:hAnsi="Arial"/>
          <w:color w:val="00000A"/>
          <w:sz w:val="26"/>
          <w:szCs w:val="26"/>
          <w:lang w:val="en-GB" w:eastAsia="zh-CN" w:bidi="hi-IN"/>
        </w:rPr>
      </w:r>
      <w:r/>
    </w:p>
    <w:p>
      <w:pPr>
        <w:pStyle w:val="Texteprformat"/>
        <w:rPr>
          <w:sz w:val="26"/>
          <w:sz w:val="26"/>
          <w:szCs w:val="26"/>
          <w:rFonts w:ascii="Arial" w:hAnsi="Arial" w:eastAsia="NSimSun" w:cs="Liberation Mono"/>
          <w:lang w:val="en-GB"/>
        </w:rPr>
      </w:pPr>
      <w:r>
        <w:rPr>
          <w:rFonts w:ascii="Arial" w:hAnsi="Arial"/>
          <w:sz w:val="26"/>
          <w:szCs w:val="26"/>
          <w:lang w:val="en-GB"/>
        </w:rPr>
        <w:t>4. Evaluate Ortner’s argument that women are to nature as men are to culture?</w:t>
      </w:r>
      <w:r/>
    </w:p>
    <w:p>
      <w:pPr>
        <w:pStyle w:val="Texteprformat"/>
        <w:rPr>
          <w:sz w:val="20"/>
          <w:sz w:val="20"/>
          <w:szCs w:val="20"/>
          <w:rFonts w:ascii="Arial" w:hAnsi="Arial" w:eastAsia="NSimSun" w:cs="Liberation Mono"/>
          <w:color w:val="00000A"/>
          <w:lang w:val="en-GB" w:eastAsia="zh-CN" w:bidi="hi-IN"/>
        </w:rPr>
      </w:pPr>
      <w:r>
        <w:rPr>
          <w:rFonts w:eastAsia="NSimSun" w:cs="Liberation Mono" w:ascii="Arial" w:hAnsi="Arial"/>
          <w:color w:val="00000A"/>
          <w:sz w:val="20"/>
          <w:szCs w:val="20"/>
          <w:lang w:val="en-GB" w:eastAsia="zh-CN" w:bidi="hi-IN"/>
        </w:rPr>
      </w:r>
      <w:r/>
    </w:p>
    <w:p>
      <w:pPr>
        <w:pStyle w:val="Texteprformat"/>
        <w:rPr>
          <w:sz w:val="20"/>
          <w:sz w:val="20"/>
          <w:szCs w:val="20"/>
          <w:rFonts w:ascii="Arial" w:hAnsi="Arial" w:eastAsia="NSimSun" w:cs="Liberation Mono"/>
          <w:color w:val="00000A"/>
          <w:lang w:val="en-GB" w:eastAsia="zh-CN" w:bidi="hi-IN"/>
        </w:rPr>
      </w:pPr>
      <w:r>
        <w:rPr>
          <w:rFonts w:eastAsia="NSimSun" w:cs="Liberation Mono" w:ascii="Arial" w:hAnsi="Arial"/>
          <w:color w:val="00000A"/>
          <w:sz w:val="20"/>
          <w:szCs w:val="20"/>
          <w:lang w:val="en-GB" w:eastAsia="zh-CN" w:bidi="hi-IN"/>
        </w:rPr>
      </w:r>
      <w:r/>
    </w:p>
    <w:p>
      <w:pPr>
        <w:pStyle w:val="Texteprformat"/>
      </w:pPr>
      <w:r>
        <w:rPr>
          <w:rFonts w:ascii="Arial" w:hAnsi="Arial"/>
          <w:sz w:val="22"/>
          <w:szCs w:val="22"/>
        </w:rPr>
        <w:t xml:space="preserve"> </w:t>
      </w:r>
      <w:r/>
    </w:p>
    <w:p>
      <w:pPr>
        <w:pStyle w:val="Texteprformat"/>
        <w:spacing w:lineRule="auto" w:line="360"/>
      </w:pPr>
      <w:r>
        <w:rPr>
          <w:rFonts w:eastAsia="NSimSun" w:cs="Liberation Mono" w:ascii="Arial" w:hAnsi="Arial"/>
          <w:color w:val="00000A"/>
          <w:sz w:val="24"/>
          <w:szCs w:val="24"/>
          <w:lang w:val="en-GB" w:eastAsia="zh-CN" w:bidi="hi-IN"/>
        </w:rPr>
        <w:tab/>
        <w:t xml:space="preserve">Let me start by explaining briefly Ortner's argument to understand the context of this sentence. Ortner sees women's subordination as a universal phenomenon. As an explanation, she notes that women are closely associated with nature. Just as nature is dominated by humans, woman is dominated by man. She goes on explaining different ways in which woman is considered to be closer to nature. When I first read this chapter, I could relate to her ideas, I could especially identify myself in her explanations about women, many claims she made felt personally true. For example, I am more subjective and “involved with concrete feelings, things and people”, “towards personalism and particularism” than my male friends (Ortner 1974:81). So after my first reading, I was quite convinced by her argument. It is well built and easy to understand, which makes it even more attractive. However, such a generalizing claim deserves more thought. Any claim that is based on universal assumptions needs questioning. So in a first part, I will try to explore Ortner's first generalization about the subordination of women. In a second instance, I will discuss the second one: women seen as closer to nature. I will go on to explain why I think associating women with nature is problematic. And I will finish by tackling what I consider to be the other main issue with her argument: the nature and culture dualism. In this essay, I do not want to completely go against Ortner. I do understand her argument and to some extent, I might have even agreed with some parts of it. However, in the end, I do think we need to change the narrative on the nature and culture dualism, as well as on the association of women to nature. </w:t>
      </w:r>
      <w:r/>
    </w:p>
    <w:p>
      <w:pPr>
        <w:pStyle w:val="Texteprformat"/>
        <w:spacing w:lineRule="auto" w:line="360"/>
        <w:rPr>
          <w:sz w:val="20"/>
          <w:sz w:val="20"/>
          <w:szCs w:val="20"/>
          <w:rFonts w:ascii="Liberation Mono" w:hAnsi="Liberation Mono" w:eastAsia="NSimSun" w:cs="Liberation Mono"/>
          <w:color w:val="00000A"/>
          <w:lang w:val="en-GB" w:eastAsia="zh-CN" w:bidi="hi-IN"/>
        </w:rPr>
      </w:pPr>
      <w:r>
        <w:rPr/>
      </w:r>
      <w:r/>
    </w:p>
    <w:p>
      <w:pPr>
        <w:pStyle w:val="Texteprformat"/>
        <w:spacing w:lineRule="auto" w:line="360"/>
      </w:pPr>
      <w:r>
        <w:rPr>
          <w:rFonts w:eastAsia="NSimSun" w:cs="Liberation Mono" w:ascii="Arial" w:hAnsi="Arial"/>
          <w:color w:val="00000A"/>
          <w:sz w:val="24"/>
          <w:szCs w:val="24"/>
          <w:lang w:val="en-GB" w:eastAsia="zh-CN" w:bidi="hi-IN"/>
        </w:rPr>
        <w:tab/>
        <w:t>To start off, if we want to prove the universal subordination of women we need to be looking for any group of people where it is not happening. In other terms a matriarchal society. Even though one could argue that a society where women are considered equal to man does not need to be matriarchal. It could well be an egalitarian society that is neither patriarchal nor matriarchal. However, it is interesting to realize that it is impossible to find a true matriarchy, as Ortner points out (Ortner1974). There are a number of matrilineal societies reported by anthropologists. Such as the Trobriand Islanders that Malinowski spent so much time with, or the Khasi of North East India (Nongbri 2010). There are also a number of egalitarian hunter-gatherer societies like the Mbuti (Turnbull 2001) or the !Kung (Lee 1979), these are described as equal between women and men, even though, most of the time, labor is still shared in a gender specific ways. I also want to mention cultures worshipping female figures, like societies following Hinduism which has strong female divinities like Khali. Or the Kogi whose whole cosmology is based around Aluna, the Mother, “the thought process that shapes and maintains reality, the source of life and intelligence” (Alunathemovie 2014). Dodd underlines that the Kogi's society is not equal between men and women even though they believe in a female supreme power (Dodd 2010). The closest to a matriarchal society might be the Mosuo in China. But in their case, there are still very strong gender roles that are not to be changed. Even though with the strong matrilineal system and especially the “walking marriage” women get a sexual freedom that is generally quite rare. They are still constrained to the domestic unit and have very little or nothing to do with the public domain (Saini 2017). This brings up many questions about what it would really mean to have equality between genders and whether that is something to be found in matriarchy. Unfortunately, it is a whole different debate that I can not expand on here, so I will come back to Ortner. She gives the example of the Crow women who stand in high positions of power with many rights but they lose all of that when they menstruate. This is the line that is drawn in many cultures, on their menstruation, no matter their usual status, women, in a way or another, are polluting. So the conclusion that Ortner and others before her have drawn is that there is no society where women are not considered at some level inferior to men (Ortner 1974).</w:t>
      </w:r>
      <w:r/>
    </w:p>
    <w:p>
      <w:pPr>
        <w:pStyle w:val="Texteprformat"/>
        <w:spacing w:lineRule="auto" w:line="360"/>
        <w:rPr>
          <w:sz w:val="20"/>
          <w:sz w:val="20"/>
          <w:szCs w:val="20"/>
          <w:rFonts w:ascii="Liberation Mono" w:hAnsi="Liberation Mono" w:eastAsia="NSimSun" w:cs="Liberation Mono"/>
          <w:color w:val="00000A"/>
          <w:lang w:val="en-GB" w:eastAsia="zh-CN" w:bidi="hi-IN"/>
        </w:rPr>
      </w:pPr>
      <w:r>
        <w:rPr/>
      </w:r>
      <w:r/>
    </w:p>
    <w:p>
      <w:pPr>
        <w:pStyle w:val="Texteprformat"/>
        <w:spacing w:lineRule="auto" w:line="360"/>
      </w:pPr>
      <w:r>
        <w:rPr>
          <w:rFonts w:eastAsia="NSimSun" w:cs="Liberation Mono" w:ascii="Arial" w:hAnsi="Arial"/>
          <w:color w:val="00000A"/>
          <w:sz w:val="24"/>
          <w:szCs w:val="24"/>
          <w:lang w:val="en-GB" w:eastAsia="zh-CN" w:bidi="hi-IN"/>
        </w:rPr>
        <w:tab/>
        <w:t xml:space="preserve">Now, let us see how women are associated with nature. Ortner draws on three different aspects: physiological, social and psyche (Ortner 1974). All of her arguments here are convincing. A part of me still thinks though, that the same argument could be made about men. Drawing on male physiology, social role, and psyche, one could show how men are close to nature. For example, let us think about natural functions that man are subject to, like erections. It is a purely natural quite uncontrolled phenomena happening to men, like a reminder of how close they are to nature. If I think of their social role, I could take the example of some hunter-gatherer groups where men (with women) share the responsibility of gathering and hunting. Descriptions of hunting sometimes talk about being one with nature in order to become similar to your prey to catch it easier (Kheel 1990 as cited in Davion 1994:25). This is a social role that seems to be quite close to nature, doesn't it? It is true that a more common pattern is to have women responsible for the domestic unit while men are responsible for the link between all domestic units, in the public domain. But I do not think we can define which of the two is closer to Nature, the public domain or the domestic units? Yes, the domestic unit is often devalued but it does not mean that it is seen as closer to nature. In general, I think that the lack of arguments about men being closer to culture or at least further from nature is a sign of weakness of this whole idea. Because in the end, saying that women are seen as closer to nature means that men are seen as further from nature. I do not think the later can be proven in a valid way. </w:t>
      </w:r>
      <w:r/>
    </w:p>
    <w:p>
      <w:pPr>
        <w:pStyle w:val="Texteprformat"/>
        <w:spacing w:lineRule="auto" w:line="360"/>
        <w:rPr>
          <w:sz w:val="20"/>
          <w:sz w:val="20"/>
          <w:szCs w:val="20"/>
          <w:rFonts w:ascii="Liberation Mono" w:hAnsi="Liberation Mono" w:eastAsia="NSimSun" w:cs="Liberation Mono"/>
          <w:color w:val="00000A"/>
          <w:lang w:val="en-GB" w:eastAsia="zh-CN" w:bidi="hi-IN"/>
        </w:rPr>
      </w:pPr>
      <w:r>
        <w:rPr/>
      </w:r>
      <w:r/>
    </w:p>
    <w:p>
      <w:pPr>
        <w:pStyle w:val="Texteprformat"/>
        <w:spacing w:lineRule="auto" w:line="360"/>
      </w:pPr>
      <w:r>
        <w:rPr>
          <w:rFonts w:eastAsia="NSimSun" w:cs="Liberation Mono" w:ascii="Arial" w:hAnsi="Arial"/>
          <w:color w:val="00000A"/>
          <w:sz w:val="24"/>
          <w:szCs w:val="24"/>
          <w:lang w:val="en-GB" w:eastAsia="zh-CN" w:bidi="hi-IN"/>
        </w:rPr>
        <w:tab/>
        <w:t xml:space="preserve">Ortner is seen as an ecofeminist. I personally did not find her chapter very feminist. Even if in her conclusion she tells us that “woman is not “in reality” closer to nature” (Ortner 1974:87). She does not explain or explore why it is not the case, except very briefly in those last few sentences. The lack of further explanation about why women are not actually closer to nature and especially why men are not further from it lets the reader with the feeling that it might be the case. Ecofeminism is an interesting movement because it directly links the women's domination by men to nature's domination by humans. So one could say that the whole idea of ecofeminism is based on Ortner's argument. Nevertheless, just as there are different types of feminisms, I also believe there are different types of ecofeminisms. I would tend to agree with the fact that understanding the domination of nature can help to understand the subordination of women and vice versa. However, I want to argue against Ortner in that women are not closer to nature than men. And I would even go further in saying that it is an idea against which we should fight. I agree with what Davion writes in the conclusion of her chapter about ecofeminism. We need to value “traits associated with both sides of these false dichotomies” like “human/nature, reason/emotion, masculinity/femininity”. And most importantly they “need to be reconceived and reconsidered”(Davion 1994:26). I believe that what Ortner is saying or, to be more precise, what she is not saying can only cause more division, more domination, and most importantly it is only reinforcing gender roles and distinctions. Only harming more people. Especially third gender groups who do not fit in this duality. Here I would like to bring in Davion's idea that all individual, women or men, might experience a strong connection to nature or no connection to nature. She goes on, saying that if we assume that one of the two sexes experiences it more than the other we would be mixing up women and what she calls a “feminine perspective” and defines as “uncritically glorif[ied] women's experiences” (Davion 1994:25). I do think that Ortner fails “to critically examine femininity in its various forms”, especially because of the universality of her claims (Davion 1994:17). So she is talking about one “feminine voice” instead of looking at the variety of them. Which ultimately only serves the patriarchy that she supposedly wants to fight as a feminist.  </w:t>
      </w:r>
      <w:r/>
    </w:p>
    <w:p>
      <w:pPr>
        <w:pStyle w:val="Texteprformat"/>
        <w:spacing w:lineRule="auto" w:line="360"/>
        <w:rPr>
          <w:sz w:val="20"/>
          <w:sz w:val="20"/>
          <w:szCs w:val="20"/>
          <w:rFonts w:ascii="Liberation Mono" w:hAnsi="Liberation Mono" w:eastAsia="NSimSun" w:cs="Liberation Mono"/>
          <w:color w:val="00000A"/>
          <w:lang w:val="en-GB" w:eastAsia="zh-CN" w:bidi="hi-IN"/>
        </w:rPr>
      </w:pPr>
      <w:r>
        <w:rPr/>
      </w:r>
      <w:r/>
    </w:p>
    <w:p>
      <w:pPr>
        <w:pStyle w:val="Texteprformat"/>
        <w:spacing w:lineRule="auto" w:line="360"/>
      </w:pPr>
      <w:r>
        <w:rPr>
          <w:rFonts w:eastAsia="NSimSun" w:cs="Liberation Mono" w:ascii="Arial" w:hAnsi="Arial"/>
          <w:color w:val="00000A"/>
          <w:sz w:val="24"/>
          <w:szCs w:val="24"/>
          <w:lang w:val="en-GB" w:eastAsia="zh-CN" w:bidi="hi-IN"/>
        </w:rPr>
        <w:tab/>
        <w:t>Before moving on to my last part I would like to raise another issue that is indirectly linked to Ortner's argument. A prevalent pattern is the association of nature with a mother figure. This is a point I find very interesting and something to learn from. Especially for feminists and others actively looking to understanding female subordination and ways of changing mentalities. Mother Nature is a saying well embedded in our minds. Even though it is not universal, it is common to quite a few cultures to have the idea of Mother Nature or some kind of Goddess or Mother Divinity associated with nature or the earth. My point is that this symbol or this way of seeing nature like a mother is wrong and actually damaging for both mothers and nature. It would be equally bad to expect nature to be like our mother or our mother to be like nature. By talking about Mother Nature we “over-personify nature and under-personify mothers” (C. Roach 1991:51). As an applied anthropologist I hope to be able to find ways of changing things. So I would like to propose this as an example of a practical way of fighting the idea of the feminine as closer to nature. Avoid this idea of Mother Nature, talk about it and challenge it when you hear it in stories, tales or in environmental campaigns.</w:t>
      </w:r>
      <w:r/>
    </w:p>
    <w:p>
      <w:pPr>
        <w:pStyle w:val="Texteprformat"/>
        <w:spacing w:lineRule="auto" w:line="360"/>
        <w:rPr>
          <w:sz w:val="20"/>
          <w:sz w:val="20"/>
          <w:szCs w:val="20"/>
          <w:rFonts w:ascii="Liberation Mono" w:hAnsi="Liberation Mono" w:eastAsia="NSimSun" w:cs="Liberation Mono"/>
          <w:color w:val="00000A"/>
          <w:lang w:val="en-GB" w:eastAsia="zh-CN" w:bidi="hi-IN"/>
        </w:rPr>
      </w:pPr>
      <w:r>
        <w:rPr/>
      </w:r>
      <w:r/>
    </w:p>
    <w:p>
      <w:pPr>
        <w:pStyle w:val="Texteprformat"/>
        <w:spacing w:lineRule="auto" w:line="360"/>
      </w:pPr>
      <w:r>
        <w:rPr>
          <w:rFonts w:eastAsia="NSimSun" w:cs="Liberation Mono" w:ascii="Arial" w:hAnsi="Arial"/>
          <w:color w:val="00000A"/>
          <w:sz w:val="24"/>
          <w:szCs w:val="24"/>
          <w:lang w:val="en-GB" w:eastAsia="zh-CN" w:bidi="hi-IN"/>
        </w:rPr>
        <w:tab/>
        <w:t xml:space="preserve">Finally, the key criticism of Ortner's argument is that it is based on the nature/culture duality. This is an important debate in anthropology since Lévi Strauss made this structuralist distinction. I personally don't see this debate as very relevant. To me, nature and culture are not two different separate realms, culture is simply included in nature. However, in this case, the important thing is to note that when anthropologists or other academics talk about this duality it is specific to a western notion of nature, not shared by all societies. And so the dualism between nature and culture does not make sense for lots of people around the world (Descola 2004:7). For example, the Chewong do not distinguish between nature and culture, the only distinction they make is between the forest and the outside world (S. Howell 2004:128). With this, the universality of Ortner's argument is destroyed. If a group of people does not make the distinction between nature and culture then her argument becomes pointless in their case. Ortner does mention that nature and culture are “conceptual categories” and that different societies live the opposition between the two categories at different level, in different ways (Ortner 1974:72). But she uses rituals as a sort of proof that every people use culture to “act upon and regulate…the givens of natural existence” (Ortner 1974:72). She does not only enforce the dualism between nature and culture, the definition she gives for culture even presupposes that it exists primarily to “assert control over nature”(Ortner 1974:72). In the definition itself of culture, she sees culture as a tool used by humans to dominate nature. Furthermore, reinforcing the separation between nature and culture reinforces the separation between men and nature. I believe that the more men or women for that matter, are distanced from nature the less they will feel responsible for it or care for it. Especially for an ecofeminist, this should definitely be something to avoid. And I have the feeling that Ortner did not think of how much harm the division between women/men, nature/culture, women/culture, men/nature can do.  </w:t>
      </w:r>
      <w:r/>
    </w:p>
    <w:p>
      <w:pPr>
        <w:pStyle w:val="Texteprformat"/>
        <w:spacing w:lineRule="auto" w:line="360"/>
        <w:rPr>
          <w:sz w:val="20"/>
          <w:sz w:val="20"/>
          <w:szCs w:val="20"/>
          <w:rFonts w:ascii="Liberation Mono" w:hAnsi="Liberation Mono" w:eastAsia="NSimSun" w:cs="Liberation Mono"/>
          <w:color w:val="00000A"/>
          <w:lang w:val="en-GB" w:eastAsia="zh-CN" w:bidi="hi-IN"/>
        </w:rPr>
      </w:pPr>
      <w:r>
        <w:rPr/>
      </w:r>
      <w:r/>
    </w:p>
    <w:p>
      <w:pPr>
        <w:pStyle w:val="Texteprformat"/>
        <w:spacing w:lineRule="auto" w:line="360"/>
      </w:pPr>
      <w:r>
        <w:rPr>
          <w:rFonts w:eastAsia="NSimSun" w:cs="Liberation Mono" w:ascii="Arial" w:hAnsi="Arial"/>
          <w:color w:val="00000A"/>
          <w:sz w:val="24"/>
          <w:szCs w:val="24"/>
          <w:lang w:val="en-GB" w:eastAsia="zh-CN" w:bidi="hi-IN"/>
        </w:rPr>
        <w:tab/>
        <w:t xml:space="preserve">In this essay, I have tried to evaluate Ortner's argument. I have first looked at her claim about the universal subordination of women and explored different ethnographic examples that do confirm what she says and at the same time might offer some examples of egalitarianism amongst some hunter-gatherer groups. I, then, moved on to her main argument, women are seen as closer to nature. I have touched upon the problem I see with this claim before talking a little bit about ecofeminism and why I believe there is a need to stop associating women with nature. I briefly gave an example of a way we can achieve that. Finally, I ended with the problems that the nature/culture distinction creates. I do think that Ortner's argument is interesting and deserves thought and recognition but in the end, I also believe that in itself it is missing details and explanations to actually make it a valid argument.  </w:t>
      </w:r>
      <w:r/>
    </w:p>
    <w:p>
      <w:pPr>
        <w:pStyle w:val="Texteprformat"/>
        <w:spacing w:lineRule="auto" w:line="360"/>
        <w:rPr>
          <w:sz w:val="24"/>
          <w:sz w:val="24"/>
          <w:szCs w:val="24"/>
          <w:rFonts w:ascii="Arial" w:hAnsi="Arial" w:eastAsia="NSimSun" w:cs="Liberation Mono"/>
          <w:color w:val="00000A"/>
          <w:lang w:val="en-GB" w:eastAsia="zh-CN" w:bidi="hi-IN"/>
        </w:rPr>
      </w:pPr>
      <w:r>
        <w:rPr>
          <w:rFonts w:eastAsia="NSimSun" w:cs="Liberation Mono" w:ascii="Arial" w:hAnsi="Arial"/>
          <w:color w:val="00000A"/>
          <w:sz w:val="24"/>
          <w:szCs w:val="24"/>
          <w:lang w:val="en-GB" w:eastAsia="zh-CN" w:bidi="hi-IN"/>
        </w:rPr>
      </w:r>
      <w:r/>
    </w:p>
    <w:p>
      <w:pPr>
        <w:pStyle w:val="Texteprformat"/>
        <w:spacing w:lineRule="auto" w:line="360"/>
        <w:rPr>
          <w:sz w:val="24"/>
          <w:sz w:val="24"/>
          <w:szCs w:val="24"/>
          <w:rFonts w:ascii="Arial" w:hAnsi="Arial" w:eastAsia="NSimSun" w:cs="Liberation Mono"/>
          <w:color w:val="00000A"/>
          <w:lang w:val="en-GB" w:eastAsia="zh-CN" w:bidi="hi-IN"/>
        </w:rPr>
      </w:pPr>
      <w:r>
        <w:rPr>
          <w:rFonts w:eastAsia="NSimSun" w:cs="Liberation Mono" w:ascii="Arial" w:hAnsi="Arial"/>
          <w:color w:val="00000A"/>
          <w:sz w:val="24"/>
          <w:szCs w:val="24"/>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jc w:val="right"/>
      </w:pPr>
      <w:r>
        <w:rPr>
          <w:rFonts w:eastAsia="NSimSun" w:cs="Liberation Mono" w:ascii="Arial" w:hAnsi="Arial"/>
          <w:b/>
          <w:bCs/>
          <w:color w:val="00000A"/>
          <w:sz w:val="20"/>
          <w:szCs w:val="20"/>
          <w:lang w:val="en-GB" w:eastAsia="zh-CN" w:bidi="hi-IN"/>
        </w:rPr>
        <w:t>Word Count: 2</w:t>
      </w:r>
      <w:r>
        <w:rPr>
          <w:rFonts w:eastAsia="NSimSun" w:cs="Liberation Mono" w:ascii="Arial" w:hAnsi="Arial"/>
          <w:b/>
          <w:bCs/>
          <w:color w:val="00000A"/>
          <w:sz w:val="20"/>
          <w:szCs w:val="20"/>
          <w:lang w:val="en-GB" w:eastAsia="zh-CN" w:bidi="hi-IN"/>
        </w:rPr>
        <w:t>18</w:t>
      </w:r>
      <w:r>
        <w:rPr>
          <w:rFonts w:eastAsia="NSimSun" w:cs="Liberation Mono" w:ascii="Arial" w:hAnsi="Arial"/>
          <w:b/>
          <w:bCs/>
          <w:color w:val="00000A"/>
          <w:sz w:val="20"/>
          <w:szCs w:val="20"/>
          <w:lang w:val="en-GB" w:eastAsia="zh-CN" w:bidi="hi-IN"/>
        </w:rPr>
        <w:t>5</w:t>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0"/>
          <w:b w:val="false"/>
          <w:sz w:val="20"/>
          <w:b w:val="false"/>
          <w:szCs w:val="20"/>
          <w:bCs w:val="false"/>
          <w:rFonts w:ascii="Liberation Mono" w:hAnsi="Liberation Mono" w:eastAsia="NSimSun" w:cs="Liberation Mono"/>
          <w:color w:val="00000A"/>
          <w:lang w:val="en-GB" w:eastAsia="zh-CN" w:bidi="hi-IN"/>
        </w:rPr>
      </w:pPr>
      <w:r>
        <w:rPr>
          <w:b w:val="false"/>
          <w:bCs w:val="false"/>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exteprformat"/>
        <w:rPr>
          <w:sz w:val="22"/>
          <w:sz w:val="22"/>
          <w:szCs w:val="22"/>
          <w:rFonts w:ascii="Arial" w:hAnsi="Arial" w:eastAsia="NSimSun" w:cs="Liberation Mono"/>
          <w:color w:val="00000A"/>
          <w:lang w:val="en-GB" w:eastAsia="zh-CN" w:bidi="hi-IN"/>
        </w:rPr>
      </w:pPr>
      <w:r>
        <w:rPr>
          <w:rFonts w:eastAsia="NSimSun" w:cs="Liberation Mono" w:ascii="Arial" w:hAnsi="Arial"/>
          <w:color w:val="00000A"/>
          <w:sz w:val="22"/>
          <w:szCs w:val="22"/>
          <w:lang w:val="en-GB" w:eastAsia="zh-CN" w:bidi="hi-IN"/>
        </w:rPr>
      </w:r>
      <w:r/>
    </w:p>
    <w:p>
      <w:pPr>
        <w:pStyle w:val="Titre2"/>
        <w:rPr>
          <w:sz w:val="20"/>
          <w:sz w:val="20"/>
          <w:szCs w:val="20"/>
          <w:rFonts w:ascii="Arial" w:hAnsi="Arial" w:eastAsia="Microsoft YaHei" w:cs="Mangal"/>
          <w:color w:val="00000A"/>
          <w:lang w:val="en-GB" w:eastAsia="zh-CN" w:bidi="hi-IN"/>
        </w:rPr>
      </w:pPr>
      <w:r>
        <w:rPr>
          <w:rFonts w:ascii="Arial" w:hAnsi="Arial"/>
          <w:sz w:val="20"/>
          <w:szCs w:val="20"/>
        </w:rPr>
      </w:r>
      <w:r/>
    </w:p>
    <w:p>
      <w:pPr>
        <w:pStyle w:val="Titre2"/>
      </w:pPr>
      <w:r>
        <w:rPr>
          <w:rFonts w:ascii="Arial" w:hAnsi="Arial"/>
          <w:b w:val="false"/>
          <w:i w:val="false"/>
          <w:caps w:val="false"/>
          <w:smallCaps w:val="false"/>
          <w:color w:val="000000"/>
          <w:spacing w:val="0"/>
          <w:sz w:val="26"/>
          <w:szCs w:val="26"/>
        </w:rPr>
        <w:t>References</w:t>
      </w:r>
      <w:r/>
    </w:p>
    <w:p>
      <w:pPr>
        <w:pStyle w:val="Titre2"/>
        <w:rPr>
          <w:smallCaps w:val="false"/>
          <w:caps w:val="false"/>
          <w:spacing w:val="0"/>
          <w:i w:val="false"/>
          <w:b w:val="false"/>
          <w:color w:val="000000"/>
        </w:rPr>
      </w:pPr>
      <w:r>
        <w:rPr>
          <w:rFonts w:ascii="Arial" w:hAnsi="Arial"/>
          <w:sz w:val="20"/>
          <w:szCs w:val="20"/>
        </w:rPr>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Alunathemovie.com. (2014). </w:t>
      </w:r>
      <w:r>
        <w:rPr>
          <w:rFonts w:ascii="Arial" w:hAnsi="Arial"/>
          <w:b w:val="false"/>
          <w:i/>
          <w:caps w:val="false"/>
          <w:smallCaps w:val="false"/>
          <w:color w:val="000000"/>
          <w:spacing w:val="0"/>
          <w:sz w:val="22"/>
          <w:szCs w:val="22"/>
        </w:rPr>
        <w:t>Aluna the Movie | The Kogi</w:t>
      </w:r>
      <w:r>
        <w:rPr>
          <w:rFonts w:ascii="Arial" w:hAnsi="Arial"/>
          <w:b w:val="false"/>
          <w:i w:val="false"/>
          <w:caps w:val="false"/>
          <w:smallCaps w:val="false"/>
          <w:color w:val="000000"/>
          <w:spacing w:val="0"/>
          <w:sz w:val="22"/>
          <w:szCs w:val="22"/>
        </w:rPr>
        <w:t>. [online] Available at: http://www.alunathemovie.com/the-kogi/ [Accessed 18 Mar. 2018].</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Davion, V. (1994). Is ecofeminism feminist?. In: K. Warren, ed., </w:t>
      </w:r>
      <w:r>
        <w:rPr>
          <w:rFonts w:ascii="Arial" w:hAnsi="Arial"/>
          <w:b w:val="false"/>
          <w:i/>
          <w:caps w:val="false"/>
          <w:smallCaps w:val="false"/>
          <w:color w:val="000000"/>
          <w:spacing w:val="0"/>
          <w:sz w:val="22"/>
          <w:szCs w:val="22"/>
        </w:rPr>
        <w:t>Ecological Feminism</w:t>
      </w:r>
      <w:r>
        <w:rPr>
          <w:rFonts w:ascii="Arial" w:hAnsi="Arial"/>
          <w:b w:val="false"/>
          <w:i w:val="false"/>
          <w:caps w:val="false"/>
          <w:smallCaps w:val="false"/>
          <w:color w:val="000000"/>
          <w:spacing w:val="0"/>
          <w:sz w:val="22"/>
          <w:szCs w:val="22"/>
        </w:rPr>
        <w:t>. New York: Routledge.</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Descola, P. and Palsson, G. (1996). Introduction. In: P. Descola and G. Palsson, ed., </w:t>
      </w:r>
      <w:r>
        <w:rPr>
          <w:rFonts w:ascii="Arial" w:hAnsi="Arial"/>
          <w:b w:val="false"/>
          <w:i/>
          <w:caps w:val="false"/>
          <w:smallCaps w:val="false"/>
          <w:color w:val="000000"/>
          <w:spacing w:val="0"/>
          <w:sz w:val="22"/>
          <w:szCs w:val="22"/>
        </w:rPr>
        <w:t>Nature and Society: Anthropological Perspectives</w:t>
      </w:r>
      <w:r>
        <w:rPr>
          <w:rFonts w:ascii="Arial" w:hAnsi="Arial"/>
          <w:b w:val="false"/>
          <w:i w:val="false"/>
          <w:caps w:val="false"/>
          <w:smallCaps w:val="false"/>
          <w:color w:val="000000"/>
          <w:spacing w:val="0"/>
          <w:sz w:val="22"/>
          <w:szCs w:val="22"/>
        </w:rPr>
        <w:t>. London: Routledge.</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Dodd, E. (1997). The mamas and papas: Goddess worship, the Kogi indians, and Ecofeminism. </w:t>
      </w:r>
      <w:r>
        <w:rPr>
          <w:rFonts w:ascii="Arial" w:hAnsi="Arial"/>
          <w:b w:val="false"/>
          <w:i/>
          <w:caps w:val="false"/>
          <w:smallCaps w:val="false"/>
          <w:color w:val="000000"/>
          <w:spacing w:val="0"/>
          <w:sz w:val="22"/>
          <w:szCs w:val="22"/>
        </w:rPr>
        <w:t>NWSA Journal</w:t>
      </w:r>
      <w:r>
        <w:rPr>
          <w:rFonts w:ascii="Arial" w:hAnsi="Arial"/>
          <w:b w:val="false"/>
          <w:i w:val="false"/>
          <w:caps w:val="false"/>
          <w:smallCaps w:val="false"/>
          <w:color w:val="000000"/>
          <w:spacing w:val="0"/>
          <w:sz w:val="22"/>
          <w:szCs w:val="22"/>
        </w:rPr>
        <w:t>, [online] 9(3). Available at: https://search-proquest-com.ezproxy.uwtsd.ac.uk/docview/233239563?pq-origsite=primo [Accessed 1 Mar. 2018].</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Howell, S. (1996). Nature in culture or culture in nature? Chewong ideas of ‘humans’ and other species. In: P. Descola and G. Palssn, ed., </w:t>
      </w:r>
      <w:r>
        <w:rPr>
          <w:rFonts w:ascii="Arial" w:hAnsi="Arial"/>
          <w:b w:val="false"/>
          <w:i/>
          <w:caps w:val="false"/>
          <w:smallCaps w:val="false"/>
          <w:color w:val="000000"/>
          <w:spacing w:val="0"/>
          <w:sz w:val="22"/>
          <w:szCs w:val="22"/>
        </w:rPr>
        <w:t>Nature and Society: Anthropological Perspectives</w:t>
      </w:r>
      <w:r>
        <w:rPr>
          <w:rFonts w:ascii="Arial" w:hAnsi="Arial"/>
          <w:b w:val="false"/>
          <w:i w:val="false"/>
          <w:caps w:val="false"/>
          <w:smallCaps w:val="false"/>
          <w:color w:val="000000"/>
          <w:spacing w:val="0"/>
          <w:sz w:val="22"/>
          <w:szCs w:val="22"/>
        </w:rPr>
        <w:t>. London: Routledge.</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Lee, R. (1979). </w:t>
      </w:r>
      <w:r>
        <w:rPr>
          <w:rFonts w:ascii="Arial" w:hAnsi="Arial"/>
          <w:b w:val="false"/>
          <w:i/>
          <w:caps w:val="false"/>
          <w:smallCaps w:val="false"/>
          <w:color w:val="000000"/>
          <w:spacing w:val="0"/>
          <w:sz w:val="22"/>
          <w:szCs w:val="22"/>
        </w:rPr>
        <w:t>The!Kung San</w:t>
      </w:r>
      <w:r>
        <w:rPr>
          <w:rFonts w:ascii="Arial" w:hAnsi="Arial"/>
          <w:b w:val="false"/>
          <w:i w:val="false"/>
          <w:caps w:val="false"/>
          <w:smallCaps w:val="false"/>
          <w:color w:val="000000"/>
          <w:spacing w:val="0"/>
          <w:sz w:val="22"/>
          <w:szCs w:val="22"/>
        </w:rPr>
        <w:t>. Cambridge: Cambridge University Press.</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Nongbri, T. (2010). Family, Gender and Identity. </w:t>
      </w:r>
      <w:r>
        <w:rPr>
          <w:rFonts w:ascii="Arial" w:hAnsi="Arial"/>
          <w:b w:val="false"/>
          <w:i/>
          <w:caps w:val="false"/>
          <w:smallCaps w:val="false"/>
          <w:color w:val="000000"/>
          <w:spacing w:val="0"/>
          <w:sz w:val="22"/>
          <w:szCs w:val="22"/>
        </w:rPr>
        <w:t>Contributions to Indian Sociology</w:t>
      </w:r>
      <w:r>
        <w:rPr>
          <w:rFonts w:ascii="Arial" w:hAnsi="Arial"/>
          <w:b w:val="false"/>
          <w:i w:val="false"/>
          <w:caps w:val="false"/>
          <w:smallCaps w:val="false"/>
          <w:color w:val="000000"/>
          <w:spacing w:val="0"/>
          <w:sz w:val="22"/>
          <w:szCs w:val="22"/>
        </w:rPr>
        <w:t>, [online] 44(1-2). Available at: http://journals.sagepub.com.ezproxy.uwtsd.ac.uk/doi/abs/10.1177/006996671004400208 [Accessed 15 Mar. 2018].</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Ortner, S. (1974). Is Female to Male as Nature is to Culture. In: M. Zimbalist Rosaldo and L. Lamphere, ed., </w:t>
      </w:r>
      <w:r>
        <w:rPr>
          <w:rFonts w:ascii="Arial" w:hAnsi="Arial"/>
          <w:b w:val="false"/>
          <w:i/>
          <w:caps w:val="false"/>
          <w:smallCaps w:val="false"/>
          <w:color w:val="000000"/>
          <w:spacing w:val="0"/>
          <w:sz w:val="22"/>
          <w:szCs w:val="22"/>
        </w:rPr>
        <w:t>Woman, Culture and Society</w:t>
      </w:r>
      <w:r>
        <w:rPr>
          <w:rFonts w:ascii="Arial" w:hAnsi="Arial"/>
          <w:b w:val="false"/>
          <w:i w:val="false"/>
          <w:caps w:val="false"/>
          <w:smallCaps w:val="false"/>
          <w:color w:val="000000"/>
          <w:spacing w:val="0"/>
          <w:sz w:val="22"/>
          <w:szCs w:val="22"/>
        </w:rPr>
        <w:t>. Standofrd: Standford University Press.</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Roach, C. (1991). Loving Your Mother: On the Woman-Nature Relation. </w:t>
      </w:r>
      <w:r>
        <w:rPr>
          <w:rFonts w:ascii="Arial" w:hAnsi="Arial"/>
          <w:b w:val="false"/>
          <w:i/>
          <w:caps w:val="false"/>
          <w:smallCaps w:val="false"/>
          <w:color w:val="000000"/>
          <w:spacing w:val="0"/>
          <w:sz w:val="22"/>
          <w:szCs w:val="22"/>
        </w:rPr>
        <w:t>Hypatia</w:t>
      </w:r>
      <w:r>
        <w:rPr>
          <w:rFonts w:ascii="Arial" w:hAnsi="Arial"/>
          <w:b w:val="false"/>
          <w:i w:val="false"/>
          <w:caps w:val="false"/>
          <w:smallCaps w:val="false"/>
          <w:color w:val="000000"/>
          <w:spacing w:val="0"/>
          <w:sz w:val="22"/>
          <w:szCs w:val="22"/>
        </w:rPr>
        <w:t>, [online] 6(1), pp.46-59. Available at: http://www.jstor.org/stable/3810032 [Accessed 12 Mar. 2018].</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Saini, A. (2017). If women ruled the world. </w:t>
      </w:r>
      <w:r>
        <w:rPr>
          <w:rFonts w:ascii="Arial" w:hAnsi="Arial"/>
          <w:b w:val="false"/>
          <w:i/>
          <w:caps w:val="false"/>
          <w:smallCaps w:val="false"/>
          <w:color w:val="000000"/>
          <w:spacing w:val="0"/>
          <w:sz w:val="22"/>
          <w:szCs w:val="22"/>
        </w:rPr>
        <w:t>New Humanist</w:t>
      </w:r>
      <w:r>
        <w:rPr>
          <w:rFonts w:ascii="Arial" w:hAnsi="Arial"/>
          <w:b w:val="false"/>
          <w:i w:val="false"/>
          <w:caps w:val="false"/>
          <w:smallCaps w:val="false"/>
          <w:color w:val="000000"/>
          <w:spacing w:val="0"/>
          <w:sz w:val="22"/>
          <w:szCs w:val="22"/>
        </w:rPr>
        <w:t>, 132(4), pp.26-29.</w:t>
      </w:r>
      <w:r/>
    </w:p>
    <w:p>
      <w:pPr>
        <w:pStyle w:val="Corpsdetexte"/>
        <w:widowControl/>
        <w:spacing w:before="0" w:after="180"/>
        <w:ind w:left="450" w:right="0" w:hanging="450"/>
      </w:pPr>
      <w:r>
        <w:rPr>
          <w:rFonts w:ascii="Arial" w:hAnsi="Arial"/>
          <w:b w:val="false"/>
          <w:i w:val="false"/>
          <w:caps w:val="false"/>
          <w:smallCaps w:val="false"/>
          <w:color w:val="000000"/>
          <w:spacing w:val="0"/>
          <w:sz w:val="22"/>
          <w:szCs w:val="22"/>
        </w:rPr>
        <w:t>Turnbull, C. (2001). </w:t>
      </w:r>
      <w:r>
        <w:rPr>
          <w:rFonts w:ascii="Arial" w:hAnsi="Arial"/>
          <w:b w:val="false"/>
          <w:i/>
          <w:caps w:val="false"/>
          <w:smallCaps w:val="false"/>
          <w:color w:val="000000"/>
          <w:spacing w:val="0"/>
          <w:sz w:val="22"/>
          <w:szCs w:val="22"/>
        </w:rPr>
        <w:t>The Mbuti pygmies</w:t>
      </w:r>
      <w:r>
        <w:rPr>
          <w:rFonts w:ascii="Arial" w:hAnsi="Arial"/>
          <w:b w:val="false"/>
          <w:i w:val="false"/>
          <w:caps w:val="false"/>
          <w:smallCaps w:val="false"/>
          <w:color w:val="000000"/>
          <w:spacing w:val="0"/>
          <w:sz w:val="22"/>
          <w:szCs w:val="22"/>
        </w:rPr>
        <w:t>. Belmont, CA: Wadsworth/Thomson Learning.</w:t>
      </w:r>
      <w:r/>
    </w:p>
    <w:p>
      <w:pPr>
        <w:pStyle w:val="Titre2"/>
        <w:spacing w:before="240" w:after="120"/>
        <w:rPr>
          <w:sz w:val="22"/>
          <w:sz w:val="22"/>
          <w:szCs w:val="22"/>
          <w:rFonts w:ascii="Arial" w:hAnsi="Arial" w:eastAsia="Microsoft YaHei" w:cs="Mangal"/>
          <w:color w:val="00000A"/>
          <w:lang w:val="en-GB" w:eastAsia="zh-CN" w:bidi="hi-IN"/>
        </w:rPr>
      </w:pPr>
      <w:r>
        <w:rPr>
          <w:rFonts w:ascii="Arial" w:hAnsi="Arial"/>
          <w:sz w:val="22"/>
          <w:szCs w:val="22"/>
        </w:rPr>
      </w: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Arial">
    <w:charset w:val="00"/>
    <w:family w:val="roman"/>
    <w:pitch w:val="variable"/>
  </w:font>
  <w:font w:name="Arial">
    <w:charset w:val="01"/>
    <w:family w:val="swiss"/>
    <w:pitch w:val="variable"/>
  </w:font>
</w:fonts>
</file>

<file path=word/settings.xml><?xml version="1.0" encoding="utf-8"?>
<w:settings xmlns:w="http://schemas.openxmlformats.org/wordprocessingml/2006/main">
  <w:zoom w:percent="85"/>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en-GB"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SimSun" w:cs="Mangal"/>
      <w:color w:val="00000A"/>
      <w:sz w:val="24"/>
      <w:szCs w:val="24"/>
      <w:lang w:val="en-GB" w:eastAsia="zh-CN" w:bidi="hi-IN"/>
    </w:rPr>
  </w:style>
  <w:style w:type="paragraph" w:styleId="Titre2">
    <w:name w:val="Titre 2"/>
    <w:basedOn w:val="Titre"/>
    <w:pPr/>
    <w:rPr/>
  </w:style>
  <w:style w:type="paragraph" w:styleId="Titre">
    <w:name w:val="Titre"/>
    <w:basedOn w:val="Normal"/>
    <w:next w:val="Corpsdetexte"/>
    <w:pPr>
      <w:keepNext/>
      <w:spacing w:before="240" w:after="120"/>
    </w:pPr>
    <w:rPr>
      <w:rFonts w:ascii="Liberation Sans" w:hAnsi="Liberation Sans" w:eastAsia="Microsoft YaHei" w:cs="Mangal"/>
      <w:sz w:val="28"/>
      <w:szCs w:val="28"/>
    </w:rPr>
  </w:style>
  <w:style w:type="paragraph" w:styleId="Corpsdetexte">
    <w:name w:val="Corps de texte"/>
    <w:basedOn w:val="Normal"/>
    <w:pPr>
      <w:spacing w:lineRule="auto" w:line="288" w:before="0" w:after="140"/>
    </w:pPr>
    <w:rPr/>
  </w:style>
  <w:style w:type="paragraph" w:styleId="Liste">
    <w:name w:val="Liste"/>
    <w:basedOn w:val="Corpsdetexte"/>
    <w:pPr/>
    <w:rPr>
      <w:rFonts w:cs="Mangal"/>
    </w:rPr>
  </w:style>
  <w:style w:type="paragraph" w:styleId="Lgende">
    <w:name w:val="Légende"/>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 w:type="paragraph" w:styleId="Texteprformat">
    <w:name w:val="Texte préformaté"/>
    <w:basedOn w:val="Normal"/>
    <w:pPr>
      <w:spacing w:before="0" w:after="0"/>
    </w:pPr>
    <w:rPr>
      <w:rFonts w:ascii="Liberation Mono" w:hAnsi="Liberation Mono" w:eastAsia="NSimSun"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51807</TotalTime>
  <Application>LibreOffice/4.3.0.4$Windows_x86 LibreOffice_project/62ad5818884a2fc2e5780dd45466868d41009ec0</Application>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language>fr-FR</dc:language>
  <dcterms:modified xsi:type="dcterms:W3CDTF">2018-03-18T19:36:10Z</dcterms:modified>
  <cp:revision>25</cp:revision>
</cp:coreProperties>
</file>