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48AC5" w14:textId="77777777" w:rsidR="00126A56" w:rsidRPr="00023E7E" w:rsidRDefault="00126A56" w:rsidP="00023E7E">
      <w:pPr>
        <w:spacing w:line="480" w:lineRule="auto"/>
        <w:rPr>
          <w:rFonts w:ascii="Times New Roman" w:hAnsi="Times New Roman"/>
          <w:sz w:val="24"/>
        </w:rPr>
      </w:pPr>
    </w:p>
    <w:p w14:paraId="786C88F8" w14:textId="77777777" w:rsidR="00126A56" w:rsidRPr="00023E7E" w:rsidRDefault="00126A56" w:rsidP="00023E7E">
      <w:pPr>
        <w:spacing w:line="480" w:lineRule="auto"/>
        <w:rPr>
          <w:rFonts w:ascii="Times New Roman" w:hAnsi="Times New Roman"/>
          <w:sz w:val="24"/>
        </w:rPr>
      </w:pPr>
    </w:p>
    <w:p w14:paraId="76CF9763" w14:textId="77777777" w:rsidR="00126A56" w:rsidRPr="00023E7E" w:rsidRDefault="00126A56" w:rsidP="00023E7E">
      <w:pPr>
        <w:spacing w:line="480" w:lineRule="auto"/>
        <w:rPr>
          <w:rFonts w:ascii="Times New Roman" w:hAnsi="Times New Roman"/>
          <w:sz w:val="24"/>
        </w:rPr>
      </w:pPr>
    </w:p>
    <w:p w14:paraId="0722657F" w14:textId="77777777" w:rsidR="00F01D01" w:rsidRDefault="00F01D01" w:rsidP="00F01D01">
      <w:pPr>
        <w:spacing w:line="480" w:lineRule="auto"/>
        <w:jc w:val="center"/>
        <w:rPr>
          <w:rFonts w:ascii="Times New Roman" w:hAnsi="Times New Roman"/>
          <w:sz w:val="24"/>
        </w:rPr>
      </w:pPr>
    </w:p>
    <w:p w14:paraId="06A73FB7" w14:textId="6D0C2CDF" w:rsidR="00F01D01" w:rsidRPr="00F01D01" w:rsidRDefault="00F01D01" w:rsidP="00F01D01">
      <w:pPr>
        <w:spacing w:line="480" w:lineRule="auto"/>
        <w:jc w:val="center"/>
        <w:rPr>
          <w:rFonts w:ascii="Times New Roman" w:hAnsi="Times New Roman"/>
          <w:sz w:val="24"/>
          <w:lang w:val="en-GB"/>
        </w:rPr>
      </w:pPr>
      <w:r w:rsidRPr="00F01D01">
        <w:rPr>
          <w:rFonts w:ascii="Times New Roman" w:hAnsi="Times New Roman"/>
          <w:sz w:val="24"/>
          <w:lang w:val="en-GB"/>
        </w:rPr>
        <w:t>AN ANALYSIS OF ORGANISATIONAL CULTURE AND ITS IMPACT ON STRUCTURE, DECISION-MAKING, AND PERFORMANCE AT TOYOTA MOTOR CORPORATION</w:t>
      </w:r>
    </w:p>
    <w:p w14:paraId="45B90EA2" w14:textId="77777777" w:rsidR="00126A56" w:rsidRPr="00023E7E" w:rsidRDefault="00126A56" w:rsidP="00023E7E">
      <w:pPr>
        <w:spacing w:line="480" w:lineRule="auto"/>
        <w:jc w:val="center"/>
        <w:rPr>
          <w:rFonts w:ascii="Times New Roman" w:hAnsi="Times New Roman"/>
          <w:sz w:val="24"/>
        </w:rPr>
      </w:pPr>
    </w:p>
    <w:p w14:paraId="677341EE" w14:textId="77777777" w:rsidR="00126A56" w:rsidRPr="00023E7E" w:rsidRDefault="00126A56" w:rsidP="00023E7E">
      <w:pPr>
        <w:spacing w:line="480" w:lineRule="auto"/>
        <w:jc w:val="center"/>
        <w:rPr>
          <w:rFonts w:ascii="Times New Roman" w:hAnsi="Times New Roman"/>
          <w:sz w:val="24"/>
        </w:rPr>
      </w:pPr>
    </w:p>
    <w:p w14:paraId="4BB52293" w14:textId="77777777" w:rsidR="00126A56" w:rsidRPr="00023E7E" w:rsidRDefault="00126A56" w:rsidP="00023E7E">
      <w:pPr>
        <w:spacing w:line="480" w:lineRule="auto"/>
        <w:jc w:val="center"/>
        <w:rPr>
          <w:rFonts w:ascii="Times New Roman" w:hAnsi="Times New Roman"/>
          <w:sz w:val="24"/>
        </w:rPr>
      </w:pPr>
    </w:p>
    <w:p w14:paraId="7EFC3671" w14:textId="77777777" w:rsidR="00126A56" w:rsidRDefault="00126A56" w:rsidP="00023E7E">
      <w:pPr>
        <w:spacing w:line="480" w:lineRule="auto"/>
        <w:jc w:val="center"/>
        <w:rPr>
          <w:rFonts w:ascii="Times New Roman" w:hAnsi="Times New Roman"/>
          <w:sz w:val="24"/>
        </w:rPr>
      </w:pPr>
    </w:p>
    <w:p w14:paraId="4E9EBCA2" w14:textId="77777777" w:rsidR="00F01D01" w:rsidRDefault="00F01D01" w:rsidP="00023E7E">
      <w:pPr>
        <w:spacing w:line="480" w:lineRule="auto"/>
        <w:jc w:val="center"/>
        <w:rPr>
          <w:rFonts w:ascii="Times New Roman" w:hAnsi="Times New Roman"/>
          <w:sz w:val="24"/>
        </w:rPr>
      </w:pPr>
    </w:p>
    <w:p w14:paraId="2CE81069" w14:textId="125901E9" w:rsidR="00F01D01" w:rsidRPr="00023E7E" w:rsidRDefault="00C2043F" w:rsidP="00023E7E">
      <w:pPr>
        <w:spacing w:line="480" w:lineRule="auto"/>
        <w:jc w:val="center"/>
        <w:rPr>
          <w:rFonts w:ascii="Times New Roman" w:hAnsi="Times New Roman"/>
          <w:sz w:val="24"/>
        </w:rPr>
      </w:pPr>
      <w:r>
        <w:rPr>
          <w:rFonts w:ascii="Times New Roman" w:hAnsi="Times New Roman"/>
          <w:sz w:val="24"/>
        </w:rPr>
        <w:t>Individual Report</w:t>
      </w:r>
    </w:p>
    <w:p w14:paraId="0BEEF4D8" w14:textId="1F4C0EC1" w:rsidR="00F01D01" w:rsidRPr="00B37B5F" w:rsidRDefault="00F01D01" w:rsidP="00F01D01">
      <w:pPr>
        <w:spacing w:line="480" w:lineRule="auto"/>
        <w:jc w:val="center"/>
        <w:rPr>
          <w:rFonts w:ascii="Times New Roman" w:hAnsi="Times New Roman"/>
          <w:sz w:val="24"/>
        </w:rPr>
      </w:pPr>
      <w:r w:rsidRPr="00B37B5F">
        <w:rPr>
          <w:rFonts w:ascii="Times New Roman" w:hAnsi="Times New Roman"/>
          <w:sz w:val="24"/>
        </w:rPr>
        <w:t>Student Name:</w:t>
      </w:r>
      <w:r w:rsidR="00C2043F">
        <w:rPr>
          <w:rFonts w:ascii="Times New Roman" w:hAnsi="Times New Roman"/>
          <w:sz w:val="24"/>
        </w:rPr>
        <w:t xml:space="preserve"> Petre Stancu</w:t>
      </w:r>
    </w:p>
    <w:p w14:paraId="6933BE42" w14:textId="60EB179F" w:rsidR="00F01D01" w:rsidRPr="00B37B5F" w:rsidRDefault="00F01D01" w:rsidP="00F01D01">
      <w:pPr>
        <w:spacing w:line="480" w:lineRule="auto"/>
        <w:jc w:val="center"/>
        <w:rPr>
          <w:rFonts w:ascii="Times New Roman" w:hAnsi="Times New Roman"/>
          <w:sz w:val="24"/>
        </w:rPr>
      </w:pPr>
      <w:r w:rsidRPr="00B37B5F">
        <w:rPr>
          <w:rFonts w:ascii="Times New Roman" w:hAnsi="Times New Roman"/>
          <w:sz w:val="24"/>
        </w:rPr>
        <w:t xml:space="preserve">Student </w:t>
      </w:r>
      <w:r w:rsidR="00C2043F">
        <w:rPr>
          <w:rFonts w:ascii="Times New Roman" w:hAnsi="Times New Roman"/>
          <w:sz w:val="24"/>
        </w:rPr>
        <w:t>Number: 2330348</w:t>
      </w:r>
    </w:p>
    <w:p w14:paraId="0116E83C" w14:textId="01CB1829" w:rsidR="00F01D01" w:rsidRPr="00B37B5F" w:rsidRDefault="00F01D01" w:rsidP="00F01D01">
      <w:pPr>
        <w:spacing w:line="480" w:lineRule="auto"/>
        <w:jc w:val="center"/>
        <w:rPr>
          <w:rFonts w:ascii="Times New Roman" w:hAnsi="Times New Roman"/>
          <w:sz w:val="24"/>
        </w:rPr>
      </w:pPr>
      <w:r w:rsidRPr="00B37B5F">
        <w:rPr>
          <w:rFonts w:ascii="Times New Roman" w:hAnsi="Times New Roman"/>
          <w:sz w:val="24"/>
        </w:rPr>
        <w:t>Module</w:t>
      </w:r>
      <w:r w:rsidR="00C2043F">
        <w:rPr>
          <w:rFonts w:ascii="Times New Roman" w:hAnsi="Times New Roman"/>
          <w:sz w:val="24"/>
        </w:rPr>
        <w:t xml:space="preserve"> Code: </w:t>
      </w:r>
      <w:r w:rsidRPr="00B37B5F">
        <w:rPr>
          <w:rFonts w:ascii="Times New Roman" w:hAnsi="Times New Roman"/>
          <w:sz w:val="24"/>
        </w:rPr>
        <w:t>Organizational Culture</w:t>
      </w:r>
      <w:r w:rsidR="00C2043F">
        <w:rPr>
          <w:rFonts w:ascii="Times New Roman" w:hAnsi="Times New Roman"/>
          <w:sz w:val="24"/>
        </w:rPr>
        <w:t xml:space="preserve"> (</w:t>
      </w:r>
      <w:r w:rsidR="00C2043F" w:rsidRPr="00B37B5F">
        <w:rPr>
          <w:rFonts w:ascii="Times New Roman" w:hAnsi="Times New Roman"/>
          <w:sz w:val="24"/>
        </w:rPr>
        <w:t>LCLM 5005</w:t>
      </w:r>
      <w:r w:rsidR="00C2043F">
        <w:rPr>
          <w:rFonts w:ascii="Times New Roman" w:hAnsi="Times New Roman"/>
          <w:sz w:val="24"/>
        </w:rPr>
        <w:t>)</w:t>
      </w:r>
    </w:p>
    <w:p w14:paraId="3B6045E1" w14:textId="1106ABE5" w:rsidR="00023E7E" w:rsidRDefault="00C2043F" w:rsidP="00023E7E">
      <w:pPr>
        <w:tabs>
          <w:tab w:val="left" w:pos="2910"/>
        </w:tabs>
        <w:spacing w:line="480" w:lineRule="auto"/>
        <w:rPr>
          <w:rFonts w:ascii="Times New Roman" w:hAnsi="Times New Roman"/>
          <w:sz w:val="24"/>
        </w:rPr>
      </w:pPr>
      <w:r>
        <w:rPr>
          <w:rFonts w:ascii="Times New Roman" w:hAnsi="Times New Roman"/>
          <w:sz w:val="24"/>
        </w:rPr>
        <w:t xml:space="preserve">                      Lecturer’s Name: </w:t>
      </w:r>
      <w:proofErr w:type="spellStart"/>
      <w:r>
        <w:rPr>
          <w:rFonts w:ascii="Times New Roman" w:hAnsi="Times New Roman"/>
          <w:sz w:val="24"/>
        </w:rPr>
        <w:t>Dingning</w:t>
      </w:r>
      <w:proofErr w:type="spellEnd"/>
      <w:r>
        <w:rPr>
          <w:rFonts w:ascii="Times New Roman" w:hAnsi="Times New Roman"/>
          <w:sz w:val="24"/>
        </w:rPr>
        <w:t xml:space="preserve"> Liu</w:t>
      </w:r>
    </w:p>
    <w:p w14:paraId="7765A1C0" w14:textId="29E8478F" w:rsidR="00023E7E" w:rsidRDefault="00023E7E">
      <w:pPr>
        <w:pStyle w:val="TOCHeading"/>
      </w:pPr>
      <w:r>
        <w:br w:type="page"/>
      </w:r>
      <w:r>
        <w:lastRenderedPageBreak/>
        <w:t>Table of Contents</w:t>
      </w:r>
    </w:p>
    <w:p w14:paraId="0BDAD4E9" w14:textId="27EC554D" w:rsidR="00C73A09" w:rsidRDefault="00023E7E">
      <w:pPr>
        <w:pStyle w:val="TOC1"/>
        <w:tabs>
          <w:tab w:val="right" w:leader="dot" w:pos="8296"/>
        </w:tabs>
        <w:rPr>
          <w:rFonts w:asciiTheme="minorHAnsi" w:eastAsiaTheme="minorEastAsia" w:hAnsiTheme="minorHAnsi" w:cstheme="minorBidi"/>
          <w:noProof/>
          <w:sz w:val="24"/>
          <w:lang w:val="en-GB" w:eastAsia="en-GB"/>
          <w14:ligatures w14:val="standardContextual"/>
        </w:rPr>
      </w:pPr>
      <w:r>
        <w:fldChar w:fldCharType="begin"/>
      </w:r>
      <w:r>
        <w:instrText xml:space="preserve"> TOC \o "1-3" \h \z \u </w:instrText>
      </w:r>
      <w:r>
        <w:fldChar w:fldCharType="separate"/>
      </w:r>
      <w:hyperlink w:anchor="_Toc223393889" w:history="1">
        <w:r w:rsidR="00C73A09" w:rsidRPr="008C28B8">
          <w:rPr>
            <w:rStyle w:val="Hyperlink"/>
            <w:rFonts w:ascii="Times New Roman" w:hAnsi="Times New Roman"/>
            <w:noProof/>
            <w:lang w:val="en-GB"/>
          </w:rPr>
          <w:t>1.0 Executive Summary</w:t>
        </w:r>
        <w:r w:rsidR="00C73A09">
          <w:rPr>
            <w:noProof/>
            <w:webHidden/>
          </w:rPr>
          <w:tab/>
        </w:r>
        <w:r w:rsidR="00C73A09">
          <w:rPr>
            <w:noProof/>
            <w:webHidden/>
          </w:rPr>
          <w:fldChar w:fldCharType="begin"/>
        </w:r>
        <w:r w:rsidR="00C73A09">
          <w:rPr>
            <w:noProof/>
            <w:webHidden/>
          </w:rPr>
          <w:instrText xml:space="preserve"> PAGEREF _Toc223393889 \h </w:instrText>
        </w:r>
        <w:r w:rsidR="00C73A09">
          <w:rPr>
            <w:noProof/>
            <w:webHidden/>
          </w:rPr>
        </w:r>
        <w:r w:rsidR="00C73A09">
          <w:rPr>
            <w:noProof/>
            <w:webHidden/>
          </w:rPr>
          <w:fldChar w:fldCharType="separate"/>
        </w:r>
        <w:r w:rsidR="00C73A09">
          <w:rPr>
            <w:noProof/>
            <w:webHidden/>
          </w:rPr>
          <w:t>3</w:t>
        </w:r>
        <w:r w:rsidR="00C73A09">
          <w:rPr>
            <w:noProof/>
            <w:webHidden/>
          </w:rPr>
          <w:fldChar w:fldCharType="end"/>
        </w:r>
      </w:hyperlink>
    </w:p>
    <w:p w14:paraId="6526A112" w14:textId="4E1587BD" w:rsidR="00C73A09" w:rsidRDefault="00C73A09">
      <w:pPr>
        <w:pStyle w:val="TOC1"/>
        <w:tabs>
          <w:tab w:val="right" w:leader="dot" w:pos="8296"/>
        </w:tabs>
        <w:rPr>
          <w:rFonts w:asciiTheme="minorHAnsi" w:eastAsiaTheme="minorEastAsia" w:hAnsiTheme="minorHAnsi" w:cstheme="minorBidi"/>
          <w:noProof/>
          <w:sz w:val="24"/>
          <w:lang w:val="en-GB" w:eastAsia="en-GB"/>
          <w14:ligatures w14:val="standardContextual"/>
        </w:rPr>
      </w:pPr>
      <w:hyperlink w:anchor="_Toc223393890" w:history="1">
        <w:r w:rsidRPr="008C28B8">
          <w:rPr>
            <w:rStyle w:val="Hyperlink"/>
            <w:rFonts w:ascii="Times New Roman" w:hAnsi="Times New Roman"/>
            <w:noProof/>
            <w:lang w:val="en-GB"/>
          </w:rPr>
          <w:t>2.0 Introduction</w:t>
        </w:r>
        <w:r>
          <w:rPr>
            <w:noProof/>
            <w:webHidden/>
          </w:rPr>
          <w:tab/>
        </w:r>
        <w:r>
          <w:rPr>
            <w:noProof/>
            <w:webHidden/>
          </w:rPr>
          <w:fldChar w:fldCharType="begin"/>
        </w:r>
        <w:r>
          <w:rPr>
            <w:noProof/>
            <w:webHidden/>
          </w:rPr>
          <w:instrText xml:space="preserve"> PAGEREF _Toc223393890 \h </w:instrText>
        </w:r>
        <w:r>
          <w:rPr>
            <w:noProof/>
            <w:webHidden/>
          </w:rPr>
        </w:r>
        <w:r>
          <w:rPr>
            <w:noProof/>
            <w:webHidden/>
          </w:rPr>
          <w:fldChar w:fldCharType="separate"/>
        </w:r>
        <w:r>
          <w:rPr>
            <w:noProof/>
            <w:webHidden/>
          </w:rPr>
          <w:t>4</w:t>
        </w:r>
        <w:r>
          <w:rPr>
            <w:noProof/>
            <w:webHidden/>
          </w:rPr>
          <w:fldChar w:fldCharType="end"/>
        </w:r>
      </w:hyperlink>
    </w:p>
    <w:p w14:paraId="15FE2120" w14:textId="00579063" w:rsidR="00C73A09" w:rsidRDefault="00C73A09">
      <w:pPr>
        <w:pStyle w:val="TOC1"/>
        <w:tabs>
          <w:tab w:val="right" w:leader="dot" w:pos="8296"/>
        </w:tabs>
        <w:rPr>
          <w:rFonts w:asciiTheme="minorHAnsi" w:eastAsiaTheme="minorEastAsia" w:hAnsiTheme="minorHAnsi" w:cstheme="minorBidi"/>
          <w:noProof/>
          <w:sz w:val="24"/>
          <w:lang w:val="en-GB" w:eastAsia="en-GB"/>
          <w14:ligatures w14:val="standardContextual"/>
        </w:rPr>
      </w:pPr>
      <w:hyperlink w:anchor="_Toc223393891" w:history="1">
        <w:r w:rsidRPr="008C28B8">
          <w:rPr>
            <w:rStyle w:val="Hyperlink"/>
            <w:rFonts w:ascii="Times New Roman" w:hAnsi="Times New Roman"/>
            <w:noProof/>
            <w:lang w:val="en-GB"/>
          </w:rPr>
          <w:t>3.0 Organisational Culture, Structure, and Decision-Making</w:t>
        </w:r>
        <w:r>
          <w:rPr>
            <w:noProof/>
            <w:webHidden/>
          </w:rPr>
          <w:tab/>
        </w:r>
        <w:r>
          <w:rPr>
            <w:noProof/>
            <w:webHidden/>
          </w:rPr>
          <w:fldChar w:fldCharType="begin"/>
        </w:r>
        <w:r>
          <w:rPr>
            <w:noProof/>
            <w:webHidden/>
          </w:rPr>
          <w:instrText xml:space="preserve"> PAGEREF _Toc223393891 \h </w:instrText>
        </w:r>
        <w:r>
          <w:rPr>
            <w:noProof/>
            <w:webHidden/>
          </w:rPr>
        </w:r>
        <w:r>
          <w:rPr>
            <w:noProof/>
            <w:webHidden/>
          </w:rPr>
          <w:fldChar w:fldCharType="separate"/>
        </w:r>
        <w:r>
          <w:rPr>
            <w:noProof/>
            <w:webHidden/>
          </w:rPr>
          <w:t>5</w:t>
        </w:r>
        <w:r>
          <w:rPr>
            <w:noProof/>
            <w:webHidden/>
          </w:rPr>
          <w:fldChar w:fldCharType="end"/>
        </w:r>
      </w:hyperlink>
    </w:p>
    <w:p w14:paraId="51497AE7" w14:textId="623FEFD9" w:rsidR="00C73A09" w:rsidRDefault="00C73A09">
      <w:pPr>
        <w:pStyle w:val="TOC1"/>
        <w:tabs>
          <w:tab w:val="right" w:leader="dot" w:pos="8296"/>
        </w:tabs>
        <w:rPr>
          <w:rFonts w:asciiTheme="minorHAnsi" w:eastAsiaTheme="minorEastAsia" w:hAnsiTheme="minorHAnsi" w:cstheme="minorBidi"/>
          <w:noProof/>
          <w:sz w:val="24"/>
          <w:lang w:val="en-GB" w:eastAsia="en-GB"/>
          <w14:ligatures w14:val="standardContextual"/>
        </w:rPr>
      </w:pPr>
      <w:hyperlink w:anchor="_Toc223393892" w:history="1">
        <w:r w:rsidRPr="008C28B8">
          <w:rPr>
            <w:rStyle w:val="Hyperlink"/>
            <w:rFonts w:ascii="Times New Roman" w:hAnsi="Times New Roman"/>
            <w:noProof/>
            <w:lang w:val="en-GB"/>
          </w:rPr>
          <w:t>4.0 Analytical Frameworks and Cultural Typologies</w:t>
        </w:r>
        <w:r>
          <w:rPr>
            <w:noProof/>
            <w:webHidden/>
          </w:rPr>
          <w:tab/>
        </w:r>
        <w:r>
          <w:rPr>
            <w:noProof/>
            <w:webHidden/>
          </w:rPr>
          <w:fldChar w:fldCharType="begin"/>
        </w:r>
        <w:r>
          <w:rPr>
            <w:noProof/>
            <w:webHidden/>
          </w:rPr>
          <w:instrText xml:space="preserve"> PAGEREF _Toc223393892 \h </w:instrText>
        </w:r>
        <w:r>
          <w:rPr>
            <w:noProof/>
            <w:webHidden/>
          </w:rPr>
        </w:r>
        <w:r>
          <w:rPr>
            <w:noProof/>
            <w:webHidden/>
          </w:rPr>
          <w:fldChar w:fldCharType="separate"/>
        </w:r>
        <w:r>
          <w:rPr>
            <w:noProof/>
            <w:webHidden/>
          </w:rPr>
          <w:t>6</w:t>
        </w:r>
        <w:r>
          <w:rPr>
            <w:noProof/>
            <w:webHidden/>
          </w:rPr>
          <w:fldChar w:fldCharType="end"/>
        </w:r>
      </w:hyperlink>
    </w:p>
    <w:p w14:paraId="0AFCC531" w14:textId="5F976104" w:rsidR="00C73A09" w:rsidRDefault="00C73A09">
      <w:pPr>
        <w:pStyle w:val="TOC2"/>
        <w:tabs>
          <w:tab w:val="right" w:leader="dot" w:pos="8296"/>
        </w:tabs>
        <w:rPr>
          <w:rFonts w:asciiTheme="minorHAnsi" w:eastAsiaTheme="minorEastAsia" w:hAnsiTheme="minorHAnsi" w:cstheme="minorBidi"/>
          <w:noProof/>
          <w:sz w:val="24"/>
          <w:lang w:val="en-GB" w:eastAsia="en-GB"/>
          <w14:ligatures w14:val="standardContextual"/>
        </w:rPr>
      </w:pPr>
      <w:hyperlink w:anchor="_Toc223393893" w:history="1">
        <w:r w:rsidRPr="008C28B8">
          <w:rPr>
            <w:rStyle w:val="Hyperlink"/>
            <w:rFonts w:ascii="Times New Roman" w:hAnsi="Times New Roman"/>
            <w:i/>
            <w:iCs/>
            <w:noProof/>
            <w:lang w:val="en-GB"/>
          </w:rPr>
          <w:t>4.1 Hofstede’s Cultural Dimensions</w:t>
        </w:r>
        <w:r>
          <w:rPr>
            <w:noProof/>
            <w:webHidden/>
          </w:rPr>
          <w:tab/>
        </w:r>
        <w:r>
          <w:rPr>
            <w:noProof/>
            <w:webHidden/>
          </w:rPr>
          <w:fldChar w:fldCharType="begin"/>
        </w:r>
        <w:r>
          <w:rPr>
            <w:noProof/>
            <w:webHidden/>
          </w:rPr>
          <w:instrText xml:space="preserve"> PAGEREF _Toc223393893 \h </w:instrText>
        </w:r>
        <w:r>
          <w:rPr>
            <w:noProof/>
            <w:webHidden/>
          </w:rPr>
        </w:r>
        <w:r>
          <w:rPr>
            <w:noProof/>
            <w:webHidden/>
          </w:rPr>
          <w:fldChar w:fldCharType="separate"/>
        </w:r>
        <w:r>
          <w:rPr>
            <w:noProof/>
            <w:webHidden/>
          </w:rPr>
          <w:t>6</w:t>
        </w:r>
        <w:r>
          <w:rPr>
            <w:noProof/>
            <w:webHidden/>
          </w:rPr>
          <w:fldChar w:fldCharType="end"/>
        </w:r>
      </w:hyperlink>
    </w:p>
    <w:p w14:paraId="1E25910A" w14:textId="20AF9A73" w:rsidR="00C73A09" w:rsidRDefault="00C73A09">
      <w:pPr>
        <w:pStyle w:val="TOC2"/>
        <w:tabs>
          <w:tab w:val="right" w:leader="dot" w:pos="8296"/>
        </w:tabs>
        <w:rPr>
          <w:rFonts w:asciiTheme="minorHAnsi" w:eastAsiaTheme="minorEastAsia" w:hAnsiTheme="minorHAnsi" w:cstheme="minorBidi"/>
          <w:noProof/>
          <w:sz w:val="24"/>
          <w:lang w:val="en-GB" w:eastAsia="en-GB"/>
          <w14:ligatures w14:val="standardContextual"/>
        </w:rPr>
      </w:pPr>
      <w:hyperlink w:anchor="_Toc223393894" w:history="1">
        <w:r w:rsidRPr="008C28B8">
          <w:rPr>
            <w:rStyle w:val="Hyperlink"/>
            <w:rFonts w:ascii="Times New Roman" w:hAnsi="Times New Roman"/>
            <w:i/>
            <w:iCs/>
            <w:noProof/>
            <w:lang w:val="en-GB"/>
          </w:rPr>
          <w:t>4.2 Schein’s Three Levels of Culture</w:t>
        </w:r>
        <w:r>
          <w:rPr>
            <w:noProof/>
            <w:webHidden/>
          </w:rPr>
          <w:tab/>
        </w:r>
        <w:r>
          <w:rPr>
            <w:noProof/>
            <w:webHidden/>
          </w:rPr>
          <w:fldChar w:fldCharType="begin"/>
        </w:r>
        <w:r>
          <w:rPr>
            <w:noProof/>
            <w:webHidden/>
          </w:rPr>
          <w:instrText xml:space="preserve"> PAGEREF _Toc223393894 \h </w:instrText>
        </w:r>
        <w:r>
          <w:rPr>
            <w:noProof/>
            <w:webHidden/>
          </w:rPr>
        </w:r>
        <w:r>
          <w:rPr>
            <w:noProof/>
            <w:webHidden/>
          </w:rPr>
          <w:fldChar w:fldCharType="separate"/>
        </w:r>
        <w:r>
          <w:rPr>
            <w:noProof/>
            <w:webHidden/>
          </w:rPr>
          <w:t>7</w:t>
        </w:r>
        <w:r>
          <w:rPr>
            <w:noProof/>
            <w:webHidden/>
          </w:rPr>
          <w:fldChar w:fldCharType="end"/>
        </w:r>
      </w:hyperlink>
    </w:p>
    <w:p w14:paraId="2239F4DE" w14:textId="1F019E3F" w:rsidR="00C73A09" w:rsidRDefault="00C73A09">
      <w:pPr>
        <w:pStyle w:val="TOC2"/>
        <w:tabs>
          <w:tab w:val="right" w:leader="dot" w:pos="8296"/>
        </w:tabs>
        <w:rPr>
          <w:rFonts w:asciiTheme="minorHAnsi" w:eastAsiaTheme="minorEastAsia" w:hAnsiTheme="minorHAnsi" w:cstheme="minorBidi"/>
          <w:noProof/>
          <w:sz w:val="24"/>
          <w:lang w:val="en-GB" w:eastAsia="en-GB"/>
          <w14:ligatures w14:val="standardContextual"/>
        </w:rPr>
      </w:pPr>
      <w:hyperlink w:anchor="_Toc223393895" w:history="1">
        <w:r w:rsidRPr="008C28B8">
          <w:rPr>
            <w:rStyle w:val="Hyperlink"/>
            <w:rFonts w:ascii="Times New Roman" w:hAnsi="Times New Roman"/>
            <w:i/>
            <w:iCs/>
            <w:noProof/>
            <w:lang w:val="en-GB"/>
          </w:rPr>
          <w:t>4.3 Johnson and Scholes’ Cultural Web</w:t>
        </w:r>
        <w:r>
          <w:rPr>
            <w:noProof/>
            <w:webHidden/>
          </w:rPr>
          <w:tab/>
        </w:r>
        <w:r>
          <w:rPr>
            <w:noProof/>
            <w:webHidden/>
          </w:rPr>
          <w:fldChar w:fldCharType="begin"/>
        </w:r>
        <w:r>
          <w:rPr>
            <w:noProof/>
            <w:webHidden/>
          </w:rPr>
          <w:instrText xml:space="preserve"> PAGEREF _Toc223393895 \h </w:instrText>
        </w:r>
        <w:r>
          <w:rPr>
            <w:noProof/>
            <w:webHidden/>
          </w:rPr>
        </w:r>
        <w:r>
          <w:rPr>
            <w:noProof/>
            <w:webHidden/>
          </w:rPr>
          <w:fldChar w:fldCharType="separate"/>
        </w:r>
        <w:r>
          <w:rPr>
            <w:noProof/>
            <w:webHidden/>
          </w:rPr>
          <w:t>8</w:t>
        </w:r>
        <w:r>
          <w:rPr>
            <w:noProof/>
            <w:webHidden/>
          </w:rPr>
          <w:fldChar w:fldCharType="end"/>
        </w:r>
      </w:hyperlink>
    </w:p>
    <w:p w14:paraId="2473A006" w14:textId="2BB2F20E" w:rsidR="00C73A09" w:rsidRDefault="00C73A09">
      <w:pPr>
        <w:pStyle w:val="TOC2"/>
        <w:tabs>
          <w:tab w:val="right" w:leader="dot" w:pos="8296"/>
        </w:tabs>
        <w:rPr>
          <w:rFonts w:asciiTheme="minorHAnsi" w:eastAsiaTheme="minorEastAsia" w:hAnsiTheme="minorHAnsi" w:cstheme="minorBidi"/>
          <w:noProof/>
          <w:sz w:val="24"/>
          <w:lang w:val="en-GB" w:eastAsia="en-GB"/>
          <w14:ligatures w14:val="standardContextual"/>
        </w:rPr>
      </w:pPr>
      <w:hyperlink w:anchor="_Toc223393896" w:history="1">
        <w:r w:rsidRPr="008C28B8">
          <w:rPr>
            <w:rStyle w:val="Hyperlink"/>
            <w:rFonts w:ascii="Times New Roman" w:hAnsi="Times New Roman"/>
            <w:i/>
            <w:iCs/>
            <w:noProof/>
            <w:lang w:val="en-GB"/>
          </w:rPr>
          <w:t>4.4 Handy’s Culture Types</w:t>
        </w:r>
        <w:r>
          <w:rPr>
            <w:noProof/>
            <w:webHidden/>
          </w:rPr>
          <w:tab/>
        </w:r>
        <w:r>
          <w:rPr>
            <w:noProof/>
            <w:webHidden/>
          </w:rPr>
          <w:fldChar w:fldCharType="begin"/>
        </w:r>
        <w:r>
          <w:rPr>
            <w:noProof/>
            <w:webHidden/>
          </w:rPr>
          <w:instrText xml:space="preserve"> PAGEREF _Toc223393896 \h </w:instrText>
        </w:r>
        <w:r>
          <w:rPr>
            <w:noProof/>
            <w:webHidden/>
          </w:rPr>
        </w:r>
        <w:r>
          <w:rPr>
            <w:noProof/>
            <w:webHidden/>
          </w:rPr>
          <w:fldChar w:fldCharType="separate"/>
        </w:r>
        <w:r>
          <w:rPr>
            <w:noProof/>
            <w:webHidden/>
          </w:rPr>
          <w:t>9</w:t>
        </w:r>
        <w:r>
          <w:rPr>
            <w:noProof/>
            <w:webHidden/>
          </w:rPr>
          <w:fldChar w:fldCharType="end"/>
        </w:r>
      </w:hyperlink>
    </w:p>
    <w:p w14:paraId="02CEC293" w14:textId="216F44E0" w:rsidR="00C73A09" w:rsidRDefault="00C73A09">
      <w:pPr>
        <w:pStyle w:val="TOC2"/>
        <w:tabs>
          <w:tab w:val="right" w:leader="dot" w:pos="8296"/>
        </w:tabs>
        <w:rPr>
          <w:rFonts w:asciiTheme="minorHAnsi" w:eastAsiaTheme="minorEastAsia" w:hAnsiTheme="minorHAnsi" w:cstheme="minorBidi"/>
          <w:noProof/>
          <w:sz w:val="24"/>
          <w:lang w:val="en-GB" w:eastAsia="en-GB"/>
          <w14:ligatures w14:val="standardContextual"/>
        </w:rPr>
      </w:pPr>
      <w:hyperlink w:anchor="_Toc223393897" w:history="1">
        <w:r w:rsidRPr="008C28B8">
          <w:rPr>
            <w:rStyle w:val="Hyperlink"/>
            <w:rFonts w:ascii="Times New Roman" w:hAnsi="Times New Roman"/>
            <w:i/>
            <w:iCs/>
            <w:noProof/>
            <w:lang w:val="en-GB"/>
          </w:rPr>
          <w:t>4.5 Deal and Kennedy’s Cultural Types</w:t>
        </w:r>
        <w:r>
          <w:rPr>
            <w:noProof/>
            <w:webHidden/>
          </w:rPr>
          <w:tab/>
        </w:r>
        <w:r>
          <w:rPr>
            <w:noProof/>
            <w:webHidden/>
          </w:rPr>
          <w:fldChar w:fldCharType="begin"/>
        </w:r>
        <w:r>
          <w:rPr>
            <w:noProof/>
            <w:webHidden/>
          </w:rPr>
          <w:instrText xml:space="preserve"> PAGEREF _Toc223393897 \h </w:instrText>
        </w:r>
        <w:r>
          <w:rPr>
            <w:noProof/>
            <w:webHidden/>
          </w:rPr>
        </w:r>
        <w:r>
          <w:rPr>
            <w:noProof/>
            <w:webHidden/>
          </w:rPr>
          <w:fldChar w:fldCharType="separate"/>
        </w:r>
        <w:r>
          <w:rPr>
            <w:noProof/>
            <w:webHidden/>
          </w:rPr>
          <w:t>10</w:t>
        </w:r>
        <w:r>
          <w:rPr>
            <w:noProof/>
            <w:webHidden/>
          </w:rPr>
          <w:fldChar w:fldCharType="end"/>
        </w:r>
      </w:hyperlink>
    </w:p>
    <w:p w14:paraId="510B4450" w14:textId="7DE62F5C" w:rsidR="00C73A09" w:rsidRDefault="00C73A09">
      <w:pPr>
        <w:pStyle w:val="TOC1"/>
        <w:tabs>
          <w:tab w:val="right" w:leader="dot" w:pos="8296"/>
        </w:tabs>
        <w:rPr>
          <w:rFonts w:asciiTheme="minorHAnsi" w:eastAsiaTheme="minorEastAsia" w:hAnsiTheme="minorHAnsi" w:cstheme="minorBidi"/>
          <w:noProof/>
          <w:sz w:val="24"/>
          <w:lang w:val="en-GB" w:eastAsia="en-GB"/>
          <w14:ligatures w14:val="standardContextual"/>
        </w:rPr>
      </w:pPr>
      <w:hyperlink w:anchor="_Toc223393898" w:history="1">
        <w:r w:rsidRPr="008C28B8">
          <w:rPr>
            <w:rStyle w:val="Hyperlink"/>
            <w:rFonts w:ascii="Times New Roman" w:hAnsi="Times New Roman"/>
            <w:noProof/>
            <w:lang w:val="en-GB"/>
          </w:rPr>
          <w:t>5.0 Leveraging Culture for Environmental Adaptation</w:t>
        </w:r>
        <w:r>
          <w:rPr>
            <w:noProof/>
            <w:webHidden/>
          </w:rPr>
          <w:tab/>
        </w:r>
        <w:r>
          <w:rPr>
            <w:noProof/>
            <w:webHidden/>
          </w:rPr>
          <w:fldChar w:fldCharType="begin"/>
        </w:r>
        <w:r>
          <w:rPr>
            <w:noProof/>
            <w:webHidden/>
          </w:rPr>
          <w:instrText xml:space="preserve"> PAGEREF _Toc223393898 \h </w:instrText>
        </w:r>
        <w:r>
          <w:rPr>
            <w:noProof/>
            <w:webHidden/>
          </w:rPr>
        </w:r>
        <w:r>
          <w:rPr>
            <w:noProof/>
            <w:webHidden/>
          </w:rPr>
          <w:fldChar w:fldCharType="separate"/>
        </w:r>
        <w:r>
          <w:rPr>
            <w:noProof/>
            <w:webHidden/>
          </w:rPr>
          <w:t>11</w:t>
        </w:r>
        <w:r>
          <w:rPr>
            <w:noProof/>
            <w:webHidden/>
          </w:rPr>
          <w:fldChar w:fldCharType="end"/>
        </w:r>
      </w:hyperlink>
    </w:p>
    <w:p w14:paraId="384892C6" w14:textId="483242BC" w:rsidR="00C73A09" w:rsidRDefault="00C73A09">
      <w:pPr>
        <w:pStyle w:val="TOC1"/>
        <w:tabs>
          <w:tab w:val="right" w:leader="dot" w:pos="8296"/>
        </w:tabs>
        <w:rPr>
          <w:rFonts w:asciiTheme="minorHAnsi" w:eastAsiaTheme="minorEastAsia" w:hAnsiTheme="minorHAnsi" w:cstheme="minorBidi"/>
          <w:noProof/>
          <w:sz w:val="24"/>
          <w:lang w:val="en-GB" w:eastAsia="en-GB"/>
          <w14:ligatures w14:val="standardContextual"/>
        </w:rPr>
      </w:pPr>
      <w:hyperlink w:anchor="_Toc223393899" w:history="1">
        <w:r w:rsidRPr="008C28B8">
          <w:rPr>
            <w:rStyle w:val="Hyperlink"/>
            <w:rFonts w:ascii="Times New Roman" w:hAnsi="Times New Roman"/>
            <w:noProof/>
            <w:lang w:val="en-GB"/>
          </w:rPr>
          <w:t>6.0 Culture as Barrier or Enabler</w:t>
        </w:r>
        <w:r>
          <w:rPr>
            <w:noProof/>
            <w:webHidden/>
          </w:rPr>
          <w:tab/>
        </w:r>
        <w:r>
          <w:rPr>
            <w:noProof/>
            <w:webHidden/>
          </w:rPr>
          <w:fldChar w:fldCharType="begin"/>
        </w:r>
        <w:r>
          <w:rPr>
            <w:noProof/>
            <w:webHidden/>
          </w:rPr>
          <w:instrText xml:space="preserve"> PAGEREF _Toc223393899 \h </w:instrText>
        </w:r>
        <w:r>
          <w:rPr>
            <w:noProof/>
            <w:webHidden/>
          </w:rPr>
        </w:r>
        <w:r>
          <w:rPr>
            <w:noProof/>
            <w:webHidden/>
          </w:rPr>
          <w:fldChar w:fldCharType="separate"/>
        </w:r>
        <w:r>
          <w:rPr>
            <w:noProof/>
            <w:webHidden/>
          </w:rPr>
          <w:t>12</w:t>
        </w:r>
        <w:r>
          <w:rPr>
            <w:noProof/>
            <w:webHidden/>
          </w:rPr>
          <w:fldChar w:fldCharType="end"/>
        </w:r>
      </w:hyperlink>
    </w:p>
    <w:p w14:paraId="53337B03" w14:textId="1929BA97" w:rsidR="00C73A09" w:rsidRDefault="00C73A09">
      <w:pPr>
        <w:pStyle w:val="TOC1"/>
        <w:tabs>
          <w:tab w:val="right" w:leader="dot" w:pos="8296"/>
        </w:tabs>
        <w:rPr>
          <w:rFonts w:asciiTheme="minorHAnsi" w:eastAsiaTheme="minorEastAsia" w:hAnsiTheme="minorHAnsi" w:cstheme="minorBidi"/>
          <w:noProof/>
          <w:sz w:val="24"/>
          <w:lang w:val="en-GB" w:eastAsia="en-GB"/>
          <w14:ligatures w14:val="standardContextual"/>
        </w:rPr>
      </w:pPr>
      <w:hyperlink w:anchor="_Toc223393900" w:history="1">
        <w:r w:rsidRPr="008C28B8">
          <w:rPr>
            <w:rStyle w:val="Hyperlink"/>
            <w:rFonts w:ascii="Times New Roman" w:hAnsi="Times New Roman"/>
            <w:noProof/>
            <w:lang w:val="en-GB"/>
          </w:rPr>
          <w:t>7.0 Impact on Performance and Recommendations</w:t>
        </w:r>
        <w:r>
          <w:rPr>
            <w:noProof/>
            <w:webHidden/>
          </w:rPr>
          <w:tab/>
        </w:r>
        <w:r>
          <w:rPr>
            <w:noProof/>
            <w:webHidden/>
          </w:rPr>
          <w:fldChar w:fldCharType="begin"/>
        </w:r>
        <w:r>
          <w:rPr>
            <w:noProof/>
            <w:webHidden/>
          </w:rPr>
          <w:instrText xml:space="preserve"> PAGEREF _Toc223393900 \h </w:instrText>
        </w:r>
        <w:r>
          <w:rPr>
            <w:noProof/>
            <w:webHidden/>
          </w:rPr>
        </w:r>
        <w:r>
          <w:rPr>
            <w:noProof/>
            <w:webHidden/>
          </w:rPr>
          <w:fldChar w:fldCharType="separate"/>
        </w:r>
        <w:r>
          <w:rPr>
            <w:noProof/>
            <w:webHidden/>
          </w:rPr>
          <w:t>13</w:t>
        </w:r>
        <w:r>
          <w:rPr>
            <w:noProof/>
            <w:webHidden/>
          </w:rPr>
          <w:fldChar w:fldCharType="end"/>
        </w:r>
      </w:hyperlink>
    </w:p>
    <w:p w14:paraId="79030E0F" w14:textId="0C2894CB" w:rsidR="00C73A09" w:rsidRDefault="00C73A09">
      <w:pPr>
        <w:pStyle w:val="TOC1"/>
        <w:tabs>
          <w:tab w:val="right" w:leader="dot" w:pos="8296"/>
        </w:tabs>
        <w:rPr>
          <w:rFonts w:asciiTheme="minorHAnsi" w:eastAsiaTheme="minorEastAsia" w:hAnsiTheme="minorHAnsi" w:cstheme="minorBidi"/>
          <w:noProof/>
          <w:sz w:val="24"/>
          <w:lang w:val="en-GB" w:eastAsia="en-GB"/>
          <w14:ligatures w14:val="standardContextual"/>
        </w:rPr>
      </w:pPr>
      <w:hyperlink w:anchor="_Toc223393901" w:history="1">
        <w:r w:rsidRPr="008C28B8">
          <w:rPr>
            <w:rStyle w:val="Hyperlink"/>
            <w:rFonts w:ascii="Times New Roman" w:hAnsi="Times New Roman"/>
            <w:noProof/>
            <w:lang w:val="en-GB"/>
          </w:rPr>
          <w:t>8.0 Conclusion</w:t>
        </w:r>
        <w:r>
          <w:rPr>
            <w:noProof/>
            <w:webHidden/>
          </w:rPr>
          <w:tab/>
        </w:r>
        <w:r>
          <w:rPr>
            <w:noProof/>
            <w:webHidden/>
          </w:rPr>
          <w:fldChar w:fldCharType="begin"/>
        </w:r>
        <w:r>
          <w:rPr>
            <w:noProof/>
            <w:webHidden/>
          </w:rPr>
          <w:instrText xml:space="preserve"> PAGEREF _Toc223393901 \h </w:instrText>
        </w:r>
        <w:r>
          <w:rPr>
            <w:noProof/>
            <w:webHidden/>
          </w:rPr>
        </w:r>
        <w:r>
          <w:rPr>
            <w:noProof/>
            <w:webHidden/>
          </w:rPr>
          <w:fldChar w:fldCharType="separate"/>
        </w:r>
        <w:r>
          <w:rPr>
            <w:noProof/>
            <w:webHidden/>
          </w:rPr>
          <w:t>14</w:t>
        </w:r>
        <w:r>
          <w:rPr>
            <w:noProof/>
            <w:webHidden/>
          </w:rPr>
          <w:fldChar w:fldCharType="end"/>
        </w:r>
      </w:hyperlink>
    </w:p>
    <w:p w14:paraId="053F4BD7" w14:textId="509EAF2B" w:rsidR="00C73A09" w:rsidRDefault="00C73A09">
      <w:pPr>
        <w:pStyle w:val="TOC1"/>
        <w:tabs>
          <w:tab w:val="right" w:leader="dot" w:pos="8296"/>
        </w:tabs>
        <w:rPr>
          <w:rFonts w:asciiTheme="minorHAnsi" w:eastAsiaTheme="minorEastAsia" w:hAnsiTheme="minorHAnsi" w:cstheme="minorBidi"/>
          <w:noProof/>
          <w:sz w:val="24"/>
          <w:lang w:val="en-GB" w:eastAsia="en-GB"/>
          <w14:ligatures w14:val="standardContextual"/>
        </w:rPr>
      </w:pPr>
      <w:hyperlink w:anchor="_Toc223393902" w:history="1">
        <w:r w:rsidRPr="008C28B8">
          <w:rPr>
            <w:rStyle w:val="Hyperlink"/>
            <w:rFonts w:ascii="Times New Roman" w:hAnsi="Times New Roman"/>
            <w:noProof/>
            <w:lang w:val="en-GB"/>
          </w:rPr>
          <w:t>9.0 References</w:t>
        </w:r>
        <w:r>
          <w:rPr>
            <w:noProof/>
            <w:webHidden/>
          </w:rPr>
          <w:tab/>
        </w:r>
        <w:r>
          <w:rPr>
            <w:noProof/>
            <w:webHidden/>
          </w:rPr>
          <w:fldChar w:fldCharType="begin"/>
        </w:r>
        <w:r>
          <w:rPr>
            <w:noProof/>
            <w:webHidden/>
          </w:rPr>
          <w:instrText xml:space="preserve"> PAGEREF _Toc223393902 \h </w:instrText>
        </w:r>
        <w:r>
          <w:rPr>
            <w:noProof/>
            <w:webHidden/>
          </w:rPr>
        </w:r>
        <w:r>
          <w:rPr>
            <w:noProof/>
            <w:webHidden/>
          </w:rPr>
          <w:fldChar w:fldCharType="separate"/>
        </w:r>
        <w:r>
          <w:rPr>
            <w:noProof/>
            <w:webHidden/>
          </w:rPr>
          <w:t>15</w:t>
        </w:r>
        <w:r>
          <w:rPr>
            <w:noProof/>
            <w:webHidden/>
          </w:rPr>
          <w:fldChar w:fldCharType="end"/>
        </w:r>
      </w:hyperlink>
    </w:p>
    <w:p w14:paraId="10FB3ADD" w14:textId="684D2A48" w:rsidR="00023E7E" w:rsidRDefault="00023E7E">
      <w:r>
        <w:rPr>
          <w:b/>
          <w:bCs/>
          <w:noProof/>
        </w:rPr>
        <w:fldChar w:fldCharType="end"/>
      </w:r>
    </w:p>
    <w:p w14:paraId="7DAB7FF2" w14:textId="1CF3430F" w:rsidR="00023E7E" w:rsidRDefault="00023E7E" w:rsidP="00023E7E">
      <w:pPr>
        <w:tabs>
          <w:tab w:val="left" w:pos="2910"/>
        </w:tabs>
        <w:spacing w:line="480" w:lineRule="auto"/>
        <w:rPr>
          <w:rFonts w:ascii="Times New Roman" w:hAnsi="Times New Roman"/>
          <w:sz w:val="24"/>
        </w:rPr>
      </w:pPr>
    </w:p>
    <w:p w14:paraId="475D96C5" w14:textId="79639DD9" w:rsidR="00023E7E" w:rsidRPr="00516608" w:rsidRDefault="00023E7E" w:rsidP="00023E7E">
      <w:pPr>
        <w:spacing w:line="480" w:lineRule="auto"/>
        <w:jc w:val="center"/>
        <w:rPr>
          <w:rFonts w:ascii="Times New Roman" w:hAnsi="Times New Roman"/>
          <w:sz w:val="24"/>
          <w:lang w:val="en-GB"/>
        </w:rPr>
      </w:pPr>
      <w:r w:rsidRPr="00023E7E">
        <w:rPr>
          <w:rFonts w:ascii="Times New Roman" w:hAnsi="Times New Roman"/>
          <w:sz w:val="24"/>
        </w:rPr>
        <w:br w:type="page"/>
      </w:r>
      <w:r w:rsidRPr="00516608">
        <w:rPr>
          <w:rFonts w:ascii="Times New Roman" w:hAnsi="Times New Roman"/>
          <w:sz w:val="24"/>
          <w:lang w:val="en-GB"/>
        </w:rPr>
        <w:lastRenderedPageBreak/>
        <w:t>An Analysis of Organisational Culture and Its Impact on Structure, Decision-Making, and Performance at Toyota Motor Corporation</w:t>
      </w:r>
    </w:p>
    <w:p w14:paraId="4E18AD59" w14:textId="77777777" w:rsidR="00023E7E" w:rsidRPr="00023E7E" w:rsidRDefault="00023E7E" w:rsidP="00023E7E">
      <w:pPr>
        <w:pStyle w:val="Heading1"/>
        <w:spacing w:before="0" w:after="0" w:line="480" w:lineRule="auto"/>
        <w:jc w:val="center"/>
        <w:rPr>
          <w:rFonts w:ascii="Times New Roman" w:hAnsi="Times New Roman"/>
          <w:color w:val="auto"/>
          <w:sz w:val="24"/>
          <w:szCs w:val="24"/>
          <w:lang w:val="en-GB"/>
        </w:rPr>
      </w:pPr>
      <w:bookmarkStart w:id="0" w:name="_Toc223393889"/>
      <w:r w:rsidRPr="00023E7E">
        <w:rPr>
          <w:rFonts w:ascii="Times New Roman" w:hAnsi="Times New Roman"/>
          <w:color w:val="auto"/>
          <w:sz w:val="24"/>
          <w:szCs w:val="24"/>
          <w:lang w:val="en-GB"/>
        </w:rPr>
        <w:t>1.0 Executive Summary</w:t>
      </w:r>
      <w:bookmarkEnd w:id="0"/>
    </w:p>
    <w:p w14:paraId="23BF190F" w14:textId="6994E47A"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organization culture is relevant to the shaping of the organizational structure, decision-making processes, and the overall performance of global firms, and Toyota Motor Corporation is not an exception. The culture of the company is highly rooted in the Toyota Way, the Kaizen philosophy of constant improvement, and respect towards people, which make a difference in the operational procedures, appointing the leadership, and the strategic company directions. Based on the argument by Mullins and Christy (2016) that culture is an all-encompassing determinant of organizational behavior, the following report discusses how the organizational principles of culture guide Toyota in its structural development, decision-making processes, and </w:t>
      </w:r>
      <w:r w:rsidR="00901CD6" w:rsidRPr="00023E7E">
        <w:rPr>
          <w:rFonts w:ascii="Times New Roman" w:hAnsi="Times New Roman"/>
          <w:sz w:val="24"/>
        </w:rPr>
        <w:t>leadership</w:t>
      </w:r>
      <w:r w:rsidRPr="00023E7E">
        <w:rPr>
          <w:rFonts w:ascii="Times New Roman" w:hAnsi="Times New Roman"/>
          <w:sz w:val="24"/>
        </w:rPr>
        <w:t xml:space="preserve"> in the global market. The strategic nature of embedding culture in the organizational design exhibited by the recent executive restructuring in February 2026. </w:t>
      </w:r>
    </w:p>
    <w:p w14:paraId="7531133C" w14:textId="0402450D"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promotion of Kenta Kon to President and CEO and the appointment of Koji Sato to Vice Chairman and Chief Industry Officer are part of the Toyota strategy of cultivating leaders who would succeed in dealing with complex changes in the industry and ensuring the continuity and efficiency of operations (Toyota Motor Corporation, 2026a). The report has used five analytical models such as Cultural Dimensions, Three-Level Model, Cultural Web, Culture Type, and Culture Type, by Hofstede, Johnson and Scholes, and Deal and Kennedy to disclose that the Toyota organizational culture is typified by collectivism, long-term strategic orientation, respect of people, and the </w:t>
      </w:r>
      <w:r w:rsidRPr="00023E7E">
        <w:rPr>
          <w:rFonts w:ascii="Times New Roman" w:hAnsi="Times New Roman"/>
          <w:sz w:val="24"/>
        </w:rPr>
        <w:lastRenderedPageBreak/>
        <w:t xml:space="preserve">intense involvement to monozukuri as the philosophy of making things precise and careful. The translation of these cultural values into various markets all over the world are captured in brand campaigns, like the Move your </w:t>
      </w:r>
      <w:r w:rsidR="00901CD6" w:rsidRPr="00023E7E">
        <w:rPr>
          <w:rFonts w:ascii="Times New Roman" w:hAnsi="Times New Roman"/>
          <w:sz w:val="24"/>
        </w:rPr>
        <w:t>World</w:t>
      </w:r>
      <w:r w:rsidRPr="00023E7E">
        <w:rPr>
          <w:rFonts w:ascii="Times New Roman" w:hAnsi="Times New Roman"/>
          <w:sz w:val="24"/>
        </w:rPr>
        <w:t xml:space="preserve"> campaign (Marketing Interactive, 2026). </w:t>
      </w:r>
    </w:p>
    <w:p w14:paraId="76BBED3D" w14:textId="563874C9"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overview of how Toyota reacted to the overall pressure across the industry such as electrification, autonomous technologies and market localization shows that culture has been used largely as a facilitator of strategic adjustment. The current quality assurance problems of Daihatsu and </w:t>
      </w:r>
      <w:r w:rsidR="00901CD6" w:rsidRPr="00023E7E">
        <w:rPr>
          <w:rFonts w:ascii="Times New Roman" w:hAnsi="Times New Roman"/>
          <w:sz w:val="24"/>
        </w:rPr>
        <w:t>Hino, however,</w:t>
      </w:r>
      <w:r w:rsidRPr="00023E7E">
        <w:rPr>
          <w:rFonts w:ascii="Times New Roman" w:hAnsi="Times New Roman"/>
          <w:sz w:val="24"/>
        </w:rPr>
        <w:t xml:space="preserve"> depict the possible constraints of the cultural mechanisms. The recommendations are based on enhancing governance, decentralizing decision-making in major markets, and investing in human capital in tandem with the philosophy of </w:t>
      </w:r>
      <w:r w:rsidR="00901CD6" w:rsidRPr="00023E7E">
        <w:rPr>
          <w:rFonts w:ascii="Times New Roman" w:hAnsi="Times New Roman"/>
          <w:sz w:val="24"/>
        </w:rPr>
        <w:t>good</w:t>
      </w:r>
      <w:r w:rsidRPr="00023E7E">
        <w:rPr>
          <w:rFonts w:ascii="Times New Roman" w:hAnsi="Times New Roman"/>
          <w:sz w:val="24"/>
        </w:rPr>
        <w:t xml:space="preserve"> thinking, good products as a way of maintaining the competitive edge of Toyota (Toyota Motor Corporation, 2026b; Mullins and Christy, 2016). </w:t>
      </w:r>
    </w:p>
    <w:p w14:paraId="22893486" w14:textId="77777777" w:rsidR="00023E7E" w:rsidRPr="00023E7E" w:rsidRDefault="00023E7E" w:rsidP="00023E7E">
      <w:pPr>
        <w:pStyle w:val="Heading1"/>
        <w:spacing w:before="0" w:after="0" w:line="480" w:lineRule="auto"/>
        <w:rPr>
          <w:rFonts w:ascii="Times New Roman" w:hAnsi="Times New Roman"/>
          <w:color w:val="auto"/>
          <w:sz w:val="24"/>
          <w:szCs w:val="24"/>
        </w:rPr>
      </w:pPr>
      <w:bookmarkStart w:id="1" w:name="_Toc223393890"/>
      <w:r w:rsidRPr="00023E7E">
        <w:rPr>
          <w:rFonts w:ascii="Times New Roman" w:hAnsi="Times New Roman"/>
          <w:color w:val="auto"/>
          <w:sz w:val="24"/>
          <w:szCs w:val="24"/>
          <w:lang w:val="en-GB"/>
        </w:rPr>
        <w:t>2.0 Introduction</w:t>
      </w:r>
      <w:bookmarkEnd w:id="1"/>
    </w:p>
    <w:p w14:paraId="04B0B9CC" w14:textId="71A2B7BE"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Culture as Mullins and Christy (2016, p. 574) put it is pervasive in the sense of how things are done around here, shared values, beliefs and attitudes, and has a strong influence on organization processes including decision-making and structural design processes. The case of Toyota motor corporation, the largest automotive company in the </w:t>
      </w:r>
      <w:r w:rsidR="00901CD6" w:rsidRPr="00023E7E">
        <w:rPr>
          <w:rFonts w:ascii="Times New Roman" w:hAnsi="Times New Roman"/>
          <w:sz w:val="24"/>
        </w:rPr>
        <w:t>world,</w:t>
      </w:r>
      <w:r w:rsidRPr="00023E7E">
        <w:rPr>
          <w:rFonts w:ascii="Times New Roman" w:hAnsi="Times New Roman"/>
          <w:sz w:val="24"/>
        </w:rPr>
        <w:t xml:space="preserve"> is an interesting example of studying these dynamics because of its long history of operational excellence and its production system that is on the global benchmarks. This report is aimed at analyzing the organizational culture of Toyota using current scholarly and professional references between 2020 and 2026. </w:t>
      </w:r>
    </w:p>
    <w:p w14:paraId="0AD474AB" w14:textId="77777777"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lastRenderedPageBreak/>
        <w:t xml:space="preserve">The analysis starts by assessing the linkage between culture, structure and decision-making backed by the recent changes in the executive. It then uses the existing theoretical conceptions in determining the current culture at Toyota and evaluates the contribution of these cultural attributes as facilitating or limiting the adjustment to the requirements of the external environment. Lastly, the report reviews the effects of culture on performance and gives evidence-based information on how to improve the effectiveness of organizations, as well as the need to maintain cultural integrity. </w:t>
      </w:r>
    </w:p>
    <w:p w14:paraId="138C8862" w14:textId="77777777" w:rsidR="00023E7E" w:rsidRPr="00023E7E" w:rsidRDefault="00023E7E" w:rsidP="00023E7E">
      <w:pPr>
        <w:pStyle w:val="Heading1"/>
        <w:spacing w:before="0" w:after="0" w:line="480" w:lineRule="auto"/>
        <w:rPr>
          <w:rFonts w:ascii="Times New Roman" w:hAnsi="Times New Roman"/>
          <w:color w:val="auto"/>
          <w:sz w:val="24"/>
          <w:szCs w:val="24"/>
        </w:rPr>
      </w:pPr>
      <w:bookmarkStart w:id="2" w:name="_Toc223393891"/>
      <w:r w:rsidRPr="00023E7E">
        <w:rPr>
          <w:rFonts w:ascii="Times New Roman" w:hAnsi="Times New Roman"/>
          <w:color w:val="auto"/>
          <w:sz w:val="24"/>
          <w:szCs w:val="24"/>
          <w:lang w:val="en-GB"/>
        </w:rPr>
        <w:t>3.0 Organisational Culture, Structure, and Decision-Making</w:t>
      </w:r>
      <w:bookmarkEnd w:id="2"/>
    </w:p>
    <w:p w14:paraId="1158DD4A" w14:textId="40B909B3"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Cultural values have influenced Toyota to have a balance between functional efficiency and divisional autonomy in the organization structure. This dynamic can be exemplified by the February 2026 executive restructuring, when Koji Sato became a Vice Chairman and Chief Industry Officer and Kenta Kon, who was a former Chief Financial Officer, became President and CEO (Toyota Motor Corporation, 2026a). This reorganization is a break between the external industry leadership and internal operations management and is indicative of the long-term culturally focused nature of Toyota in terms of succession planning, continuous improvement, and the concept of Yoi Monozukuri, or good manufacturing. Sato has gained an additional position as a leader of the Japan Automobile Manufacturers Association (JAMA) and the Japan Business Federation (KEIDANREN), and now he </w:t>
      </w:r>
      <w:r w:rsidR="00901CD6" w:rsidRPr="00023E7E">
        <w:rPr>
          <w:rFonts w:ascii="Times New Roman" w:hAnsi="Times New Roman"/>
          <w:sz w:val="24"/>
        </w:rPr>
        <w:t>can</w:t>
      </w:r>
      <w:r w:rsidRPr="00023E7E">
        <w:rPr>
          <w:rFonts w:ascii="Times New Roman" w:hAnsi="Times New Roman"/>
          <w:sz w:val="24"/>
        </w:rPr>
        <w:t xml:space="preserve"> shape the policy of the industry and popularize the Japanese manufacturing ethos. </w:t>
      </w:r>
    </w:p>
    <w:p w14:paraId="192E1084" w14:textId="56464C89"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fact that Kon has become the first CEO with financial background in the history of Toyota shows how the company is willing to combine financial discipline </w:t>
      </w:r>
      <w:r w:rsidRPr="00023E7E">
        <w:rPr>
          <w:rFonts w:ascii="Times New Roman" w:hAnsi="Times New Roman"/>
          <w:sz w:val="24"/>
        </w:rPr>
        <w:lastRenderedPageBreak/>
        <w:t xml:space="preserve">and operational excellence (Renqi, 2026). The Independent outside directors and internal executives meeting, the Executive Appointment Meeting, will make sure that decision-making will include the standard of governance and the cultural continuity (MarketScreener, 2026). The argument in support of the structural adjustment is clearly attributed to environmental complexity, such as the fast technological change and market expectations. According to Toyota, the reorganization is aimed at expediting management decision-making </w:t>
      </w:r>
      <w:r w:rsidR="00901CD6" w:rsidRPr="00023E7E">
        <w:rPr>
          <w:rFonts w:ascii="Times New Roman" w:hAnsi="Times New Roman"/>
          <w:sz w:val="24"/>
        </w:rPr>
        <w:t>regarding</w:t>
      </w:r>
      <w:r w:rsidRPr="00023E7E">
        <w:rPr>
          <w:rFonts w:ascii="Times New Roman" w:hAnsi="Times New Roman"/>
          <w:sz w:val="24"/>
        </w:rPr>
        <w:t xml:space="preserve"> the transformations in the external and internal environment and providing the structure that would facilitate Toyota to fulfil its mission to contribute to </w:t>
      </w:r>
      <w:r w:rsidR="00901CD6" w:rsidRPr="00023E7E">
        <w:rPr>
          <w:rFonts w:ascii="Times New Roman" w:hAnsi="Times New Roman"/>
          <w:sz w:val="24"/>
        </w:rPr>
        <w:t>society</w:t>
      </w:r>
      <w:r w:rsidRPr="00023E7E">
        <w:rPr>
          <w:rFonts w:ascii="Times New Roman" w:hAnsi="Times New Roman"/>
          <w:sz w:val="24"/>
        </w:rPr>
        <w:t xml:space="preserve"> through the industry to the full extent (Toyota Motor Corporation, 2026a). This quote demonstrates how two phenomena, culture and structure, interact with each other forcefully, which confirms Mullins and Christy (2016), in their view, that culture and structure are mutually constitutive. </w:t>
      </w:r>
    </w:p>
    <w:p w14:paraId="173C4703" w14:textId="77777777" w:rsidR="00023E7E" w:rsidRPr="00023E7E" w:rsidRDefault="00023E7E" w:rsidP="00023E7E">
      <w:pPr>
        <w:pStyle w:val="Heading1"/>
        <w:spacing w:before="0" w:after="0" w:line="480" w:lineRule="auto"/>
        <w:rPr>
          <w:rFonts w:ascii="Times New Roman" w:hAnsi="Times New Roman"/>
          <w:color w:val="auto"/>
          <w:sz w:val="24"/>
          <w:szCs w:val="24"/>
        </w:rPr>
      </w:pPr>
      <w:bookmarkStart w:id="3" w:name="_Toc223393892"/>
      <w:r w:rsidRPr="00023E7E">
        <w:rPr>
          <w:rFonts w:ascii="Times New Roman" w:hAnsi="Times New Roman"/>
          <w:color w:val="auto"/>
          <w:sz w:val="24"/>
          <w:szCs w:val="24"/>
          <w:lang w:val="en-GB"/>
        </w:rPr>
        <w:t>4.0 Analytical Frameworks and Cultural Typologies</w:t>
      </w:r>
      <w:bookmarkEnd w:id="3"/>
    </w:p>
    <w:p w14:paraId="7E7CF442" w14:textId="77777777" w:rsidR="00023E7E" w:rsidRPr="00023E7E" w:rsidRDefault="00023E7E" w:rsidP="00023E7E">
      <w:pPr>
        <w:pStyle w:val="Heading2"/>
        <w:spacing w:before="0" w:after="0" w:line="480" w:lineRule="auto"/>
        <w:rPr>
          <w:rFonts w:ascii="Times New Roman" w:hAnsi="Times New Roman"/>
          <w:i/>
          <w:iCs/>
          <w:color w:val="auto"/>
          <w:sz w:val="24"/>
          <w:szCs w:val="24"/>
        </w:rPr>
      </w:pPr>
      <w:bookmarkStart w:id="4" w:name="_Toc223393893"/>
      <w:r w:rsidRPr="00023E7E">
        <w:rPr>
          <w:rFonts w:ascii="Times New Roman" w:hAnsi="Times New Roman"/>
          <w:i/>
          <w:iCs/>
          <w:color w:val="auto"/>
          <w:sz w:val="24"/>
          <w:szCs w:val="24"/>
          <w:lang w:val="en-GB"/>
        </w:rPr>
        <w:t>4.1 Hofstede’s Cultural Dimensions</w:t>
      </w:r>
      <w:bookmarkEnd w:id="4"/>
    </w:p>
    <w:p w14:paraId="1AB394B2" w14:textId="77777777"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framework by Hofstede gives understanding on the assumptions in the background of behavior in Toyota. Japanese society has moderate levels of power distance (54), high levels of collectivism (46), high levels of uncertainty avoidance (92), and extreme levels of long-term orientation (88). At Toyota, the hierarchical structures are honored, but the Toyota Production System allows frontline workers to stop the production process in case of defects, which also implies that the entire culture is characterized by the balance of authority and responsibility. The principles of collectivism apply in the production practices involving teams and the long-term </w:t>
      </w:r>
      <w:r w:rsidRPr="00023E7E">
        <w:rPr>
          <w:rFonts w:ascii="Times New Roman" w:hAnsi="Times New Roman"/>
          <w:sz w:val="24"/>
        </w:rPr>
        <w:lastRenderedPageBreak/>
        <w:t>relations with suppliers, which support the practice of collaborative decision-making (Dongchedi, 2026). High uncertainty avoidance is consistent with the philosophy of incremental improvement known as Kaizen, whereas long-term orientation is the basis of a strategic choice related to the investments in hydrogen fuel and planning the succession (Toyota South Africa, 2026).</w:t>
      </w:r>
    </w:p>
    <w:p w14:paraId="765C28EF" w14:textId="77777777" w:rsidR="00023E7E" w:rsidRPr="00023E7E" w:rsidRDefault="00023E7E" w:rsidP="00023E7E">
      <w:pPr>
        <w:pStyle w:val="Heading2"/>
        <w:spacing w:before="0" w:after="0" w:line="480" w:lineRule="auto"/>
        <w:rPr>
          <w:rFonts w:ascii="Times New Roman" w:hAnsi="Times New Roman"/>
          <w:i/>
          <w:iCs/>
          <w:color w:val="auto"/>
          <w:sz w:val="24"/>
          <w:szCs w:val="24"/>
        </w:rPr>
      </w:pPr>
      <w:bookmarkStart w:id="5" w:name="_Toc223393894"/>
      <w:r w:rsidRPr="00023E7E">
        <w:rPr>
          <w:rFonts w:ascii="Times New Roman" w:hAnsi="Times New Roman"/>
          <w:i/>
          <w:iCs/>
          <w:color w:val="auto"/>
          <w:sz w:val="24"/>
          <w:szCs w:val="24"/>
          <w:lang w:val="en-GB"/>
        </w:rPr>
        <w:t>4.2 Schein’s Three Levels of Culture</w:t>
      </w:r>
      <w:bookmarkEnd w:id="5"/>
    </w:p>
    <w:p w14:paraId="489B4279" w14:textId="48C69B23"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model of organizational culture by Schein does divide the culture into three interconnected levels, namely artifacts, espoused values, and basic underlying assumptions. At Toyota, visible artifacts are the Toyota Production System (TPS), kanban cards and andon cords, Toyota branding, and innovative Woven City prototype. These physical factors represent the priorities in operations, the level of technology, and adherence to efficiency and innovation, which offers a clear view of the organizational cultural identity. Espoused values have been formalized in the form of the Toyota Guiding Principles, which </w:t>
      </w:r>
      <w:r w:rsidR="00901CD6" w:rsidRPr="00023E7E">
        <w:rPr>
          <w:rFonts w:ascii="Times New Roman" w:hAnsi="Times New Roman"/>
          <w:sz w:val="24"/>
        </w:rPr>
        <w:t>focus</w:t>
      </w:r>
      <w:r w:rsidRPr="00023E7E">
        <w:rPr>
          <w:rFonts w:ascii="Times New Roman" w:hAnsi="Times New Roman"/>
          <w:sz w:val="24"/>
        </w:rPr>
        <w:t xml:space="preserve"> on ethical corporate behavior, respect of cultural diversity, social responsibility, and </w:t>
      </w:r>
      <w:r w:rsidR="00901CD6" w:rsidRPr="00023E7E">
        <w:rPr>
          <w:rFonts w:ascii="Times New Roman" w:hAnsi="Times New Roman"/>
          <w:sz w:val="24"/>
        </w:rPr>
        <w:t>stakeholders’</w:t>
      </w:r>
      <w:r w:rsidRPr="00023E7E">
        <w:rPr>
          <w:rFonts w:ascii="Times New Roman" w:hAnsi="Times New Roman"/>
          <w:sz w:val="24"/>
        </w:rPr>
        <w:t xml:space="preserve"> commitment (Mullins and Christy, 2016). These values direct decision-making, set behavioral standards, and communicate to the company and the wider society the ethical and societal priorities of the company. </w:t>
      </w:r>
    </w:p>
    <w:p w14:paraId="0751FA4C" w14:textId="0C49E5BE"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On an ultimate level, the fundamental underlying assumptions of Toyota will be quality as a collective responsibility, continuous improvement (kaizen), respect of people, long-term strategic focus, and the maxim </w:t>
      </w:r>
      <w:r w:rsidR="00901CD6" w:rsidRPr="00023E7E">
        <w:rPr>
          <w:rFonts w:ascii="Times New Roman" w:hAnsi="Times New Roman"/>
          <w:sz w:val="24"/>
        </w:rPr>
        <w:t>good</w:t>
      </w:r>
      <w:r w:rsidRPr="00023E7E">
        <w:rPr>
          <w:rFonts w:ascii="Times New Roman" w:hAnsi="Times New Roman"/>
          <w:sz w:val="24"/>
        </w:rPr>
        <w:t xml:space="preserve"> thinking, good products (Renqi, 2026). These are mostly unspoken assumptions but have a significant influence on the strategy, operations, and human resource development by the employees. They instill </w:t>
      </w:r>
      <w:r w:rsidRPr="00023E7E">
        <w:rPr>
          <w:rFonts w:ascii="Times New Roman" w:hAnsi="Times New Roman"/>
          <w:sz w:val="24"/>
        </w:rPr>
        <w:lastRenderedPageBreak/>
        <w:t xml:space="preserve">the culture of collaboration, problem-solving, and innovation into </w:t>
      </w:r>
      <w:r w:rsidR="00901CD6" w:rsidRPr="00023E7E">
        <w:rPr>
          <w:rFonts w:ascii="Times New Roman" w:hAnsi="Times New Roman"/>
          <w:sz w:val="24"/>
        </w:rPr>
        <w:t>everyday</w:t>
      </w:r>
      <w:r w:rsidRPr="00023E7E">
        <w:rPr>
          <w:rFonts w:ascii="Times New Roman" w:hAnsi="Times New Roman"/>
          <w:sz w:val="24"/>
        </w:rPr>
        <w:t xml:space="preserve"> practices, so that the organizational practices are oriented towards the larger strategic goals. All three layers of culture have led to a continuous integrative structure that has propelled Toyota to its operational excellence and market dominance.</w:t>
      </w:r>
    </w:p>
    <w:p w14:paraId="6EFBDD05" w14:textId="77777777" w:rsidR="00023E7E" w:rsidRPr="00023E7E" w:rsidRDefault="00023E7E" w:rsidP="00023E7E">
      <w:pPr>
        <w:pStyle w:val="Heading2"/>
        <w:spacing w:before="0" w:after="0" w:line="480" w:lineRule="auto"/>
        <w:rPr>
          <w:rFonts w:ascii="Times New Roman" w:hAnsi="Times New Roman"/>
          <w:i/>
          <w:iCs/>
          <w:color w:val="auto"/>
          <w:sz w:val="24"/>
          <w:szCs w:val="24"/>
        </w:rPr>
      </w:pPr>
      <w:bookmarkStart w:id="6" w:name="_Toc223393895"/>
      <w:r w:rsidRPr="00023E7E">
        <w:rPr>
          <w:rFonts w:ascii="Times New Roman" w:hAnsi="Times New Roman"/>
          <w:i/>
          <w:iCs/>
          <w:color w:val="auto"/>
          <w:sz w:val="24"/>
          <w:szCs w:val="24"/>
          <w:lang w:val="en-GB"/>
        </w:rPr>
        <w:t>4.3 Johnson and Scholes’ Cultural Web</w:t>
      </w:r>
      <w:bookmarkEnd w:id="6"/>
    </w:p>
    <w:p w14:paraId="4F5AF77C" w14:textId="77777777"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Cultural Web model reveals important aspects that support the organizational culture of Toyota. The lessons of the past challenges are incorporated into the organizational tales, including recovery of the vehicle recalls of the 2009 - 2011 and the transition of the leadership in 2026, which form the shared narratives that shape the collective identity and decision-making (Marketing Interactive, 2026b). These narratives strengthen resilience, accountability and long-term strategic view, which influence the leadership and behavior of employees. Continuous improvement and collective responsibility are further institutionalized through rituals and routines such as daily team meetings, 5S organization of a workplace, and practices of hansei reflection, and they guarantee that quality and efficiency are in-built in day-to-day operations. Cultural values are conveyed through symbols, e.g. the Toyota logo or the calligraphy characters on the annual calligraphy that strengthen organizational priorities and aim. </w:t>
      </w:r>
    </w:p>
    <w:p w14:paraId="6FD534D3" w14:textId="77777777"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organizational structure adopted by Toyota, a matrixial structure that combines functional, regional and product-based structures creates a balance between flexibility and operational coherence in the organization making it co-ordinate easily across different markets and product lines. The control systems combine formal </w:t>
      </w:r>
      <w:r w:rsidRPr="00023E7E">
        <w:rPr>
          <w:rFonts w:ascii="Times New Roman" w:hAnsi="Times New Roman"/>
          <w:sz w:val="24"/>
        </w:rPr>
        <w:lastRenderedPageBreak/>
        <w:t>monitoring and cultural processes and make sure there is a harmony between the performance of the operations and the strategic goals. Power structures/authority is shared between the executives who are in line with the values of Toyota, combining hierarchical control with participative decision-making and empowerment of employees to make contributions to the organizational aims (Toyota Motor Corporation, 2026a). All these components of the cultural web form a balanced model sustaining not only the cultural identity of Toyota but also contributing to innovation, responsibility, and high-level performance over the long run.</w:t>
      </w:r>
    </w:p>
    <w:p w14:paraId="61586841" w14:textId="77777777" w:rsidR="00023E7E" w:rsidRPr="00023E7E" w:rsidRDefault="00023E7E" w:rsidP="00023E7E">
      <w:pPr>
        <w:pStyle w:val="Heading2"/>
        <w:spacing w:before="0" w:after="0" w:line="480" w:lineRule="auto"/>
        <w:rPr>
          <w:rFonts w:ascii="Times New Roman" w:hAnsi="Times New Roman"/>
          <w:i/>
          <w:iCs/>
          <w:color w:val="auto"/>
          <w:sz w:val="24"/>
          <w:szCs w:val="24"/>
        </w:rPr>
      </w:pPr>
      <w:bookmarkStart w:id="7" w:name="_Toc223393896"/>
      <w:r w:rsidRPr="00023E7E">
        <w:rPr>
          <w:rFonts w:ascii="Times New Roman" w:hAnsi="Times New Roman"/>
          <w:i/>
          <w:iCs/>
          <w:color w:val="auto"/>
          <w:sz w:val="24"/>
          <w:szCs w:val="24"/>
          <w:lang w:val="en-GB"/>
        </w:rPr>
        <w:t>4.4 Handy’s Culture Types</w:t>
      </w:r>
      <w:bookmarkEnd w:id="7"/>
    </w:p>
    <w:p w14:paraId="17A46B25" w14:textId="77777777"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cultural typology compiled by Handy reveals that the following cultures exist in Toyota including role, task, person, and power cultures which play different roles in the functioning of an organization. Role culture is dominant, which offers security and lines of operation within a workforce of more than 390,000 employees in terms of uniformity, adherence to procedures and efficiency in large scale production systems (Dongchedi, 2026). Task culture is also present in the project-based and regional development programs especially in the electric vehicle market in China. The bZ3X and bZ7 models are examples of cross-functional teamwork, problem-solving, and innovation, which show flexibility and are not limited by the classical hierarchical principles. </w:t>
      </w:r>
    </w:p>
    <w:p w14:paraId="19AF22A4" w14:textId="3443C963" w:rsidR="00023E7E" w:rsidRPr="00023E7E" w:rsidRDefault="00901CD6" w:rsidP="00023E7E">
      <w:pPr>
        <w:spacing w:line="480" w:lineRule="auto"/>
        <w:ind w:firstLine="720"/>
        <w:rPr>
          <w:rFonts w:ascii="Times New Roman" w:hAnsi="Times New Roman"/>
          <w:sz w:val="24"/>
        </w:rPr>
      </w:pPr>
      <w:r w:rsidRPr="00023E7E">
        <w:rPr>
          <w:rFonts w:ascii="Times New Roman" w:hAnsi="Times New Roman"/>
          <w:sz w:val="24"/>
        </w:rPr>
        <w:t>Personal</w:t>
      </w:r>
      <w:r w:rsidR="00023E7E" w:rsidRPr="00023E7E">
        <w:rPr>
          <w:rFonts w:ascii="Times New Roman" w:hAnsi="Times New Roman"/>
          <w:sz w:val="24"/>
        </w:rPr>
        <w:t xml:space="preserve"> values will be included in the program of initiatives such as the development of so-called Ba, where employees can develop themselves, learn, and feel challenged and support their engagement and innovation (Toyota Motor Corporation, </w:t>
      </w:r>
      <w:r w:rsidR="00023E7E" w:rsidRPr="00023E7E">
        <w:rPr>
          <w:rFonts w:ascii="Times New Roman" w:hAnsi="Times New Roman"/>
          <w:sz w:val="24"/>
        </w:rPr>
        <w:lastRenderedPageBreak/>
        <w:t xml:space="preserve">2026b). These programs show the interest of the company in helping people rise and at the same time attain organizational goals. Power culture has developed </w:t>
      </w:r>
      <w:r w:rsidRPr="00023E7E">
        <w:rPr>
          <w:rFonts w:ascii="Times New Roman" w:hAnsi="Times New Roman"/>
          <w:sz w:val="24"/>
        </w:rPr>
        <w:t>over</w:t>
      </w:r>
      <w:r w:rsidR="00023E7E" w:rsidRPr="00023E7E">
        <w:rPr>
          <w:rFonts w:ascii="Times New Roman" w:hAnsi="Times New Roman"/>
          <w:sz w:val="24"/>
        </w:rPr>
        <w:t xml:space="preserve"> time since a leadership style in the family has changed to a more professionalized one in management. A case in point is the elevation of Koji Kon to the CEO position, and the retention of Akio Toyoda as the chairman, which is a mix of stability, but with professionalism. Taken together, the presence of all these types of cultures helps Toyota to have operational discipline and at the same time encourages innovation and development of employees and responsive leadership in the face of a complex global environment. </w:t>
      </w:r>
    </w:p>
    <w:p w14:paraId="6ED0A9E5" w14:textId="77777777" w:rsidR="00023E7E" w:rsidRPr="00023E7E" w:rsidRDefault="00023E7E" w:rsidP="00023E7E">
      <w:pPr>
        <w:pStyle w:val="Heading2"/>
        <w:spacing w:before="0" w:after="0" w:line="480" w:lineRule="auto"/>
        <w:rPr>
          <w:rFonts w:ascii="Times New Roman" w:hAnsi="Times New Roman"/>
          <w:i/>
          <w:iCs/>
          <w:color w:val="auto"/>
          <w:sz w:val="24"/>
          <w:szCs w:val="24"/>
        </w:rPr>
      </w:pPr>
      <w:bookmarkStart w:id="8" w:name="_Toc223393897"/>
      <w:r w:rsidRPr="00023E7E">
        <w:rPr>
          <w:rFonts w:ascii="Times New Roman" w:hAnsi="Times New Roman"/>
          <w:i/>
          <w:iCs/>
          <w:color w:val="auto"/>
          <w:sz w:val="24"/>
          <w:szCs w:val="24"/>
          <w:lang w:val="en-GB"/>
        </w:rPr>
        <w:t>4.5 Deal and Kennedy’s Cultural Types</w:t>
      </w:r>
      <w:bookmarkEnd w:id="8"/>
    </w:p>
    <w:p w14:paraId="5612987F" w14:textId="77777777"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cultural typology identified by Deal and Kennedy shows the variety of subcultures existing in Toyota as it is based on differences in the norms of work practices, attitude toward risks, and expectations of performance. High-feedback production environments (especially), in which high-volume work is paired with high-performance performance measurements and customer-oriented measurement encourage energetic, results-oriented behavior, are apparent in the Work Hard/Play Hard culture. This subculture additionally facilitates interaction, attentiveness and coordination among workers in the shop floor that strengthens work efficiency. Process culture is also eminent in the engineering field, quality assurance, and compliance roles where the priority is given to risk management, following the procedure and paying attention to detail. These cultures focus on consistency, reliability, and improvement as time goes on, making sure that the quality of products is of high quality (Toyota South </w:t>
      </w:r>
      <w:r w:rsidRPr="00023E7E">
        <w:rPr>
          <w:rFonts w:ascii="Times New Roman" w:hAnsi="Times New Roman"/>
          <w:sz w:val="24"/>
        </w:rPr>
        <w:lastRenderedPageBreak/>
        <w:t xml:space="preserve">Africa, 2026). </w:t>
      </w:r>
    </w:p>
    <w:p w14:paraId="227125F7" w14:textId="77777777"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aspects of Tough-Guy/Macho culture can be observed in the spheres of motorsports and high-performance divisions where experimentation, self-development of the individual skill and success in competitions are glorified. This subculture breeds innovativeness, tenacity and technical prowess. Lastly, the culture of Bet-the-Company occurs in high-stakes projects, including investing in hybrid and electric vehicles and entering luxury car markets. These choices indicate vision of the long-term, dedication to innovation and an attitude to calculated risk (Renqi, 2026). All these subcultures help Toyota to combine operational discipline with innovation, agility, and strategic boldness. </w:t>
      </w:r>
    </w:p>
    <w:p w14:paraId="69CA48CC" w14:textId="77777777" w:rsidR="00023E7E" w:rsidRPr="00023E7E" w:rsidRDefault="00023E7E" w:rsidP="00023E7E">
      <w:pPr>
        <w:pStyle w:val="Heading1"/>
        <w:spacing w:before="0" w:after="0" w:line="480" w:lineRule="auto"/>
        <w:rPr>
          <w:rFonts w:ascii="Times New Roman" w:hAnsi="Times New Roman"/>
          <w:color w:val="auto"/>
          <w:sz w:val="24"/>
          <w:szCs w:val="24"/>
        </w:rPr>
      </w:pPr>
      <w:bookmarkStart w:id="9" w:name="_Toc223393898"/>
      <w:r w:rsidRPr="00023E7E">
        <w:rPr>
          <w:rFonts w:ascii="Times New Roman" w:hAnsi="Times New Roman"/>
          <w:color w:val="auto"/>
          <w:sz w:val="24"/>
          <w:szCs w:val="24"/>
          <w:lang w:val="en-GB"/>
        </w:rPr>
        <w:t>5.0 Leveraging Culture for Environmental Adaptation</w:t>
      </w:r>
      <w:bookmarkEnd w:id="9"/>
    </w:p>
    <w:p w14:paraId="1057B2AC" w14:textId="3059B536" w:rsidR="00023E7E" w:rsidRPr="00023E7E" w:rsidRDefault="00901CD6" w:rsidP="00023E7E">
      <w:pPr>
        <w:spacing w:line="480" w:lineRule="auto"/>
        <w:ind w:firstLine="720"/>
        <w:rPr>
          <w:rFonts w:ascii="Times New Roman" w:hAnsi="Times New Roman"/>
          <w:sz w:val="24"/>
        </w:rPr>
      </w:pPr>
      <w:r w:rsidRPr="00023E7E">
        <w:rPr>
          <w:rFonts w:ascii="Times New Roman" w:hAnsi="Times New Roman"/>
          <w:sz w:val="24"/>
        </w:rPr>
        <w:t>Toyota</w:t>
      </w:r>
      <w:r w:rsidR="00023E7E" w:rsidRPr="00023E7E">
        <w:rPr>
          <w:rFonts w:ascii="Times New Roman" w:hAnsi="Times New Roman"/>
          <w:sz w:val="24"/>
        </w:rPr>
        <w:t xml:space="preserve"> culture facilitates the process of adjustment to the complicated external forces. In response to environmental changes, restructuring leadership in 2026 was a direct response, which represents cultural flexibility (Toyota Motor Corporation, 2026a). The world is moving to electrification and the implementation of a multi-pathway approach to electrification incorporates hybrid, plug-in hybrid, battery electric, and hydrogen fuel cell technologies. This strategy will foster both care and innovation in the long term, which are aligned with the cultural values. Localization in the Chinese market shows how localization of the market, which employs genchi genbutsu, or go and see, is used to empower the local engineer through the system of local Regional Chief </w:t>
      </w:r>
      <w:r w:rsidRPr="00023E7E">
        <w:rPr>
          <w:rFonts w:ascii="Times New Roman" w:hAnsi="Times New Roman"/>
          <w:sz w:val="24"/>
        </w:rPr>
        <w:t>Engineer and</w:t>
      </w:r>
      <w:r w:rsidR="00023E7E" w:rsidRPr="00023E7E">
        <w:rPr>
          <w:rFonts w:ascii="Times New Roman" w:hAnsi="Times New Roman"/>
          <w:sz w:val="24"/>
        </w:rPr>
        <w:t xml:space="preserve"> create the vehicles that meet the demands locally (Dongchedi, 2026). </w:t>
      </w:r>
    </w:p>
    <w:p w14:paraId="0F6E2DEE" w14:textId="21A1E165"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lastRenderedPageBreak/>
        <w:t xml:space="preserve">Investment in entire ownership </w:t>
      </w:r>
      <w:r w:rsidR="00901CD6" w:rsidRPr="00023E7E">
        <w:rPr>
          <w:rFonts w:ascii="Times New Roman" w:hAnsi="Times New Roman"/>
          <w:sz w:val="24"/>
        </w:rPr>
        <w:t>factories,</w:t>
      </w:r>
      <w:r w:rsidRPr="00023E7E">
        <w:rPr>
          <w:rFonts w:ascii="Times New Roman" w:hAnsi="Times New Roman"/>
          <w:sz w:val="24"/>
        </w:rPr>
        <w:t xml:space="preserve"> i.e. the autonomous Lexus factory in Shanghai,</w:t>
      </w:r>
      <w:r w:rsidR="00901CD6">
        <w:rPr>
          <w:rFonts w:ascii="Times New Roman" w:hAnsi="Times New Roman"/>
          <w:sz w:val="24"/>
        </w:rPr>
        <w:t xml:space="preserve"> </w:t>
      </w:r>
      <w:r w:rsidR="00901CD6" w:rsidRPr="00023E7E">
        <w:rPr>
          <w:rFonts w:ascii="Times New Roman" w:hAnsi="Times New Roman"/>
          <w:sz w:val="24"/>
        </w:rPr>
        <w:t>shows</w:t>
      </w:r>
      <w:r w:rsidRPr="00023E7E">
        <w:rPr>
          <w:rFonts w:ascii="Times New Roman" w:hAnsi="Times New Roman"/>
          <w:sz w:val="24"/>
        </w:rPr>
        <w:t xml:space="preserve"> how cultural commitment to long-term presence shape structural adjustment. The development of a brand in Asia, like the project Move </w:t>
      </w:r>
      <w:r w:rsidR="00901CD6" w:rsidRPr="00023E7E">
        <w:rPr>
          <w:rFonts w:ascii="Times New Roman" w:hAnsi="Times New Roman"/>
          <w:sz w:val="24"/>
        </w:rPr>
        <w:t>Your World</w:t>
      </w:r>
      <w:r w:rsidRPr="00023E7E">
        <w:rPr>
          <w:rFonts w:ascii="Times New Roman" w:hAnsi="Times New Roman"/>
          <w:sz w:val="24"/>
        </w:rPr>
        <w:t xml:space="preserve">, makes the cultural values of Toyota </w:t>
      </w:r>
      <w:r w:rsidR="00901CD6" w:rsidRPr="00023E7E">
        <w:rPr>
          <w:rFonts w:ascii="Times New Roman" w:hAnsi="Times New Roman"/>
          <w:sz w:val="24"/>
        </w:rPr>
        <w:t>relevant</w:t>
      </w:r>
      <w:r w:rsidRPr="00023E7E">
        <w:rPr>
          <w:rFonts w:ascii="Times New Roman" w:hAnsi="Times New Roman"/>
          <w:sz w:val="24"/>
        </w:rPr>
        <w:t xml:space="preserve"> to local contexts and stories </w:t>
      </w:r>
      <w:r w:rsidR="00901CD6" w:rsidRPr="00023E7E">
        <w:rPr>
          <w:rFonts w:ascii="Times New Roman" w:hAnsi="Times New Roman"/>
          <w:sz w:val="24"/>
        </w:rPr>
        <w:t>to</w:t>
      </w:r>
      <w:r w:rsidRPr="00023E7E">
        <w:rPr>
          <w:rFonts w:ascii="Times New Roman" w:hAnsi="Times New Roman"/>
          <w:sz w:val="24"/>
        </w:rPr>
        <w:t xml:space="preserve"> support the principles of operations and the overall brand consistency across the world (Marketing Interactive, 2026a). The failure of quality assurance at the subsidiaries underscores the need to evolve the culture that includes improved governance and control and retain </w:t>
      </w:r>
      <w:r w:rsidR="00901CD6" w:rsidRPr="00023E7E">
        <w:rPr>
          <w:rFonts w:ascii="Times New Roman" w:hAnsi="Times New Roman"/>
          <w:sz w:val="24"/>
        </w:rPr>
        <w:t>trust</w:t>
      </w:r>
      <w:r w:rsidRPr="00023E7E">
        <w:rPr>
          <w:rFonts w:ascii="Times New Roman" w:hAnsi="Times New Roman"/>
          <w:sz w:val="24"/>
        </w:rPr>
        <w:t>-based cultural experiences (</w:t>
      </w:r>
      <w:proofErr w:type="spellStart"/>
      <w:r w:rsidRPr="00023E7E">
        <w:rPr>
          <w:rFonts w:ascii="Times New Roman" w:hAnsi="Times New Roman"/>
          <w:sz w:val="24"/>
        </w:rPr>
        <w:t>Renqi</w:t>
      </w:r>
      <w:proofErr w:type="spellEnd"/>
      <w:r w:rsidRPr="00023E7E">
        <w:rPr>
          <w:rFonts w:ascii="Times New Roman" w:hAnsi="Times New Roman"/>
          <w:sz w:val="24"/>
        </w:rPr>
        <w:t>, 2026).</w:t>
      </w:r>
    </w:p>
    <w:p w14:paraId="10E4B4D8" w14:textId="77777777" w:rsidR="00023E7E" w:rsidRPr="00023E7E" w:rsidRDefault="00023E7E" w:rsidP="00023E7E">
      <w:pPr>
        <w:pStyle w:val="Heading1"/>
        <w:spacing w:before="0" w:after="0" w:line="480" w:lineRule="auto"/>
        <w:rPr>
          <w:rFonts w:ascii="Times New Roman" w:hAnsi="Times New Roman"/>
          <w:color w:val="auto"/>
          <w:sz w:val="24"/>
          <w:szCs w:val="24"/>
        </w:rPr>
      </w:pPr>
      <w:bookmarkStart w:id="10" w:name="_Toc223393899"/>
      <w:r w:rsidRPr="00023E7E">
        <w:rPr>
          <w:rFonts w:ascii="Times New Roman" w:hAnsi="Times New Roman"/>
          <w:color w:val="auto"/>
          <w:sz w:val="24"/>
          <w:szCs w:val="24"/>
          <w:lang w:val="en-GB"/>
        </w:rPr>
        <w:t>6.0 Culture as Barrier or Enabler</w:t>
      </w:r>
      <w:bookmarkEnd w:id="10"/>
    </w:p>
    <w:p w14:paraId="30FA6A7B" w14:textId="6504726C"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organizational culture at Toyota is more of a performance, operational perfection, and strategic strength enabler. </w:t>
      </w:r>
      <w:r w:rsidR="00901CD6" w:rsidRPr="00023E7E">
        <w:rPr>
          <w:rFonts w:ascii="Times New Roman" w:hAnsi="Times New Roman"/>
          <w:sz w:val="24"/>
        </w:rPr>
        <w:t>The Toyota Production System (TPS)</w:t>
      </w:r>
      <w:r w:rsidRPr="00023E7E">
        <w:rPr>
          <w:rFonts w:ascii="Times New Roman" w:hAnsi="Times New Roman"/>
          <w:sz w:val="24"/>
        </w:rPr>
        <w:t xml:space="preserve"> forms the basis of high-quality production entrepreneurship using standardized processes, sustained improvement, and empowerment of employees, which ensures efficiency and reliability in all its operations worldwide. The leadership succession is </w:t>
      </w:r>
      <w:r w:rsidR="00901CD6" w:rsidRPr="00023E7E">
        <w:rPr>
          <w:rFonts w:ascii="Times New Roman" w:hAnsi="Times New Roman"/>
          <w:sz w:val="24"/>
        </w:rPr>
        <w:t>systematically</w:t>
      </w:r>
      <w:r w:rsidRPr="00023E7E">
        <w:rPr>
          <w:rFonts w:ascii="Times New Roman" w:hAnsi="Times New Roman"/>
          <w:sz w:val="24"/>
        </w:rPr>
        <w:t xml:space="preserve"> organized and helps to maintain </w:t>
      </w:r>
      <w:r w:rsidR="00901CD6" w:rsidRPr="00023E7E">
        <w:rPr>
          <w:rFonts w:ascii="Times New Roman" w:hAnsi="Times New Roman"/>
          <w:sz w:val="24"/>
        </w:rPr>
        <w:t>stability</w:t>
      </w:r>
      <w:r w:rsidRPr="00023E7E">
        <w:rPr>
          <w:rFonts w:ascii="Times New Roman" w:hAnsi="Times New Roman"/>
          <w:sz w:val="24"/>
        </w:rPr>
        <w:t xml:space="preserve"> and continuity, whereas multi-pathway technology strategies offer flexibility when dealing with uncertainty and market volatility. President Sato (2026) also noted the need to bridge functions within the organization to achieve maximum frontline capability as a concept of distributed leadership and collaborative decision-making. </w:t>
      </w:r>
    </w:p>
    <w:p w14:paraId="11D3CA60" w14:textId="77777777"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There are however cultural and structural impediments. A tight group-oriented culture is able to overpower the dissenting opinion as seen in compliance problem in Daihatsu and Hino, which may restrain critical challenge and transparency. Rapid </w:t>
      </w:r>
      <w:r w:rsidRPr="00023E7E">
        <w:rPr>
          <w:rFonts w:ascii="Times New Roman" w:hAnsi="Times New Roman"/>
          <w:sz w:val="24"/>
        </w:rPr>
        <w:lastRenderedPageBreak/>
        <w:t>alignment as a result of consensus-based decision-making could make decision-making slow, in high-paced markets. Moreover, the tendency to embrace an evolutionary, but not a revolutionary change, might act as a barrier to a quick uptake of disruptive innovations, including battery electric vehicles, in which speed and agility are paramount (Toyota Motor Corporation, 2026b). Nevertheless, the Toyota culture is also a net performance enabler of Toyota. Intentional structural adaptations, internalized leadership and process structures limit constrained and enable the organization to continue its operational excellence, innovation, and long-term strategic adaptability in a complex international setting.</w:t>
      </w:r>
    </w:p>
    <w:p w14:paraId="0507889D" w14:textId="77777777" w:rsidR="00023E7E" w:rsidRPr="00023E7E" w:rsidRDefault="00023E7E" w:rsidP="00023E7E">
      <w:pPr>
        <w:pStyle w:val="Heading1"/>
        <w:spacing w:before="0" w:after="0" w:line="480" w:lineRule="auto"/>
        <w:rPr>
          <w:rFonts w:ascii="Times New Roman" w:hAnsi="Times New Roman"/>
          <w:color w:val="auto"/>
          <w:sz w:val="24"/>
          <w:szCs w:val="24"/>
        </w:rPr>
      </w:pPr>
      <w:bookmarkStart w:id="11" w:name="_Toc223393900"/>
      <w:r w:rsidRPr="00023E7E">
        <w:rPr>
          <w:rFonts w:ascii="Times New Roman" w:hAnsi="Times New Roman"/>
          <w:color w:val="auto"/>
          <w:sz w:val="24"/>
          <w:szCs w:val="24"/>
          <w:lang w:val="en-GB"/>
        </w:rPr>
        <w:t>7.0 Impact on Performance and Recommendations</w:t>
      </w:r>
      <w:bookmarkEnd w:id="11"/>
    </w:p>
    <w:p w14:paraId="0D10AA4F" w14:textId="71C6ED9E" w:rsidR="00023E7E" w:rsidRPr="00023E7E" w:rsidRDefault="00023E7E" w:rsidP="00023E7E">
      <w:pPr>
        <w:spacing w:line="480" w:lineRule="auto"/>
        <w:ind w:firstLine="720"/>
        <w:rPr>
          <w:rFonts w:ascii="Times New Roman" w:hAnsi="Times New Roman"/>
          <w:sz w:val="24"/>
        </w:rPr>
      </w:pPr>
      <w:r w:rsidRPr="00023E7E">
        <w:rPr>
          <w:rFonts w:ascii="Times New Roman" w:hAnsi="Times New Roman"/>
          <w:sz w:val="24"/>
        </w:rPr>
        <w:t xml:space="preserve">The culture of Toyota directly helps in leading the market and efficiency in operations. The world vehicle sales rose to over 10 million vehicles by 2025 and Lexus posted highest growth in China (Renqi, 2026). The efficiency that Toyota maintains through TPS helps keep its costs competitive and retain quality, and brand campaigns strengthens intangible resources that make Toyota stand out in the competitive markets (Marketing Interactive, 2026b). To further reinforce performance, the company ought to increase performance in terms of strengthening governance </w:t>
      </w:r>
      <w:r w:rsidR="00901CD6" w:rsidRPr="00023E7E">
        <w:rPr>
          <w:rFonts w:ascii="Times New Roman" w:hAnsi="Times New Roman"/>
          <w:sz w:val="24"/>
        </w:rPr>
        <w:t>structures,</w:t>
      </w:r>
      <w:r w:rsidRPr="00023E7E">
        <w:rPr>
          <w:rFonts w:ascii="Times New Roman" w:hAnsi="Times New Roman"/>
          <w:sz w:val="24"/>
        </w:rPr>
        <w:t xml:space="preserve"> especially overseeing </w:t>
      </w:r>
      <w:r w:rsidR="00901CD6" w:rsidRPr="00023E7E">
        <w:rPr>
          <w:rFonts w:ascii="Times New Roman" w:hAnsi="Times New Roman"/>
          <w:sz w:val="24"/>
        </w:rPr>
        <w:t>subsidiaries,</w:t>
      </w:r>
      <w:r w:rsidRPr="00023E7E">
        <w:rPr>
          <w:rFonts w:ascii="Times New Roman" w:hAnsi="Times New Roman"/>
          <w:sz w:val="24"/>
        </w:rPr>
        <w:t xml:space="preserve"> in order to reduce the risks of groupthink but still keep the cultural mechanisms of trust. Decision making in the strategic markets like China should be localized to speed up the product development without compromising on the quality. The development of human capital in sync with </w:t>
      </w:r>
      <w:r w:rsidR="00901CD6" w:rsidRPr="00023E7E">
        <w:rPr>
          <w:rFonts w:ascii="Times New Roman" w:hAnsi="Times New Roman"/>
          <w:sz w:val="24"/>
        </w:rPr>
        <w:t>good</w:t>
      </w:r>
      <w:r w:rsidRPr="00023E7E">
        <w:rPr>
          <w:rFonts w:ascii="Times New Roman" w:hAnsi="Times New Roman"/>
          <w:sz w:val="24"/>
        </w:rPr>
        <w:t xml:space="preserve"> thinking, good products will develop problem-solving abilities in the global operations. Lastly, the strategic </w:t>
      </w:r>
      <w:r w:rsidRPr="00023E7E">
        <w:rPr>
          <w:rFonts w:ascii="Times New Roman" w:hAnsi="Times New Roman"/>
          <w:sz w:val="24"/>
        </w:rPr>
        <w:lastRenderedPageBreak/>
        <w:t>openness in multi-pathway electrification will help to explain the attitude of Toyota to the stakeholders and strengthen the trust and consistency.</w:t>
      </w:r>
    </w:p>
    <w:p w14:paraId="53623FD0" w14:textId="77777777" w:rsidR="00023E7E" w:rsidRPr="00023E7E" w:rsidRDefault="00023E7E" w:rsidP="00023E7E">
      <w:pPr>
        <w:pStyle w:val="Heading1"/>
        <w:spacing w:before="0" w:after="0" w:line="480" w:lineRule="auto"/>
        <w:jc w:val="center"/>
        <w:rPr>
          <w:rFonts w:ascii="Times New Roman" w:hAnsi="Times New Roman"/>
          <w:color w:val="auto"/>
          <w:sz w:val="24"/>
          <w:szCs w:val="24"/>
        </w:rPr>
      </w:pPr>
      <w:bookmarkStart w:id="12" w:name="_Toc223393901"/>
      <w:r w:rsidRPr="00023E7E">
        <w:rPr>
          <w:rFonts w:ascii="Times New Roman" w:hAnsi="Times New Roman"/>
          <w:color w:val="auto"/>
          <w:sz w:val="24"/>
          <w:szCs w:val="24"/>
          <w:lang w:val="en-GB"/>
        </w:rPr>
        <w:t>8.0 Conclusion</w:t>
      </w:r>
      <w:bookmarkEnd w:id="12"/>
    </w:p>
    <w:p w14:paraId="03705540" w14:textId="19B9B334" w:rsidR="00023E7E" w:rsidRPr="00023E7E" w:rsidRDefault="00023E7E" w:rsidP="00023E7E">
      <w:pPr>
        <w:spacing w:line="480" w:lineRule="auto"/>
        <w:ind w:firstLine="720"/>
        <w:rPr>
          <w:rFonts w:ascii="Times New Roman" w:hAnsi="Times New Roman"/>
          <w:sz w:val="24"/>
        </w:rPr>
      </w:pPr>
      <w:r w:rsidRPr="00F12006">
        <w:rPr>
          <w:rFonts w:ascii="Times New Roman" w:hAnsi="Times New Roman"/>
          <w:sz w:val="24"/>
          <w:lang w:val="en-GB"/>
        </w:rPr>
        <w:t xml:space="preserve">The organisational culture in Toyota has a pervasive influence on the organisation structure, decision making, and performance. A consistent combination of Japanese collectivism, process orientation, and long-term strategic thinking is manifested in the philosophy known as </w:t>
      </w:r>
      <w:r w:rsidR="00901CD6" w:rsidRPr="00F12006">
        <w:rPr>
          <w:rFonts w:ascii="Times New Roman" w:hAnsi="Times New Roman"/>
          <w:sz w:val="24"/>
          <w:lang w:val="en-GB"/>
        </w:rPr>
        <w:t>good</w:t>
      </w:r>
      <w:r w:rsidRPr="00F12006">
        <w:rPr>
          <w:rFonts w:ascii="Times New Roman" w:hAnsi="Times New Roman"/>
          <w:sz w:val="24"/>
          <w:lang w:val="en-GB"/>
        </w:rPr>
        <w:t xml:space="preserve"> thinking, good products, which is shown through the application of five analytical frameworks. Culture is an operational excellence and flexibility facilitator, which allows responding to the electrification, localisation needs, and governmental challenges. Although there is the risk of groupthink and slowness of the </w:t>
      </w:r>
      <w:r w:rsidR="00901CD6" w:rsidRPr="00F12006">
        <w:rPr>
          <w:rFonts w:ascii="Times New Roman" w:hAnsi="Times New Roman"/>
          <w:sz w:val="24"/>
          <w:lang w:val="en-GB"/>
        </w:rPr>
        <w:t>decision-making</w:t>
      </w:r>
      <w:r w:rsidRPr="00F12006">
        <w:rPr>
          <w:rFonts w:ascii="Times New Roman" w:hAnsi="Times New Roman"/>
          <w:sz w:val="24"/>
          <w:lang w:val="en-GB"/>
        </w:rPr>
        <w:t xml:space="preserve"> process, there are conscious structural changes and strategic programs that will keep culture as a source of sustainable competitive advantage of Toyota Motor Corporation.</w:t>
      </w:r>
    </w:p>
    <w:p w14:paraId="07832F07" w14:textId="1C71E307" w:rsidR="00023E7E" w:rsidRPr="00023E7E" w:rsidRDefault="00023E7E" w:rsidP="00023E7E">
      <w:pPr>
        <w:pStyle w:val="Heading1"/>
        <w:spacing w:before="0" w:after="0" w:line="480" w:lineRule="auto"/>
        <w:jc w:val="center"/>
        <w:rPr>
          <w:rFonts w:ascii="Times New Roman" w:hAnsi="Times New Roman"/>
          <w:color w:val="auto"/>
          <w:sz w:val="24"/>
          <w:szCs w:val="24"/>
          <w:lang w:val="en-GB"/>
        </w:rPr>
      </w:pPr>
      <w:r w:rsidRPr="00023E7E">
        <w:rPr>
          <w:rFonts w:ascii="Times New Roman" w:hAnsi="Times New Roman"/>
          <w:color w:val="auto"/>
          <w:sz w:val="24"/>
          <w:szCs w:val="24"/>
          <w:lang w:val="en-GB"/>
        </w:rPr>
        <w:br w:type="page"/>
      </w:r>
      <w:bookmarkStart w:id="13" w:name="_Toc223393902"/>
      <w:r w:rsidRPr="00023E7E">
        <w:rPr>
          <w:rFonts w:ascii="Times New Roman" w:hAnsi="Times New Roman"/>
          <w:color w:val="auto"/>
          <w:sz w:val="24"/>
          <w:szCs w:val="24"/>
          <w:lang w:val="en-GB"/>
        </w:rPr>
        <w:lastRenderedPageBreak/>
        <w:t>9.0 References</w:t>
      </w:r>
      <w:bookmarkEnd w:id="13"/>
    </w:p>
    <w:p w14:paraId="36740321" w14:textId="2D61AD98" w:rsidR="00023E7E" w:rsidRPr="00516608" w:rsidRDefault="00023E7E" w:rsidP="00023E7E">
      <w:pPr>
        <w:spacing w:line="480" w:lineRule="auto"/>
        <w:ind w:left="720" w:hanging="720"/>
        <w:rPr>
          <w:rFonts w:ascii="Times New Roman" w:hAnsi="Times New Roman"/>
          <w:sz w:val="24"/>
          <w:lang w:val="en-GB"/>
        </w:rPr>
      </w:pPr>
      <w:r w:rsidRPr="00516608">
        <w:rPr>
          <w:rFonts w:ascii="Times New Roman" w:hAnsi="Times New Roman"/>
          <w:sz w:val="24"/>
          <w:lang w:val="en-GB"/>
        </w:rPr>
        <w:t xml:space="preserve">Chartered Institute of Personnel and Development (CIPD) (2023) </w:t>
      </w:r>
      <w:r w:rsidRPr="00516608">
        <w:rPr>
          <w:rFonts w:ascii="Times New Roman" w:hAnsi="Times New Roman"/>
          <w:i/>
          <w:iCs/>
          <w:sz w:val="24"/>
          <w:lang w:val="en-GB"/>
        </w:rPr>
        <w:t>Toyota: Building a culture of continuous improvement</w:t>
      </w:r>
      <w:r w:rsidRPr="00516608">
        <w:rPr>
          <w:rFonts w:ascii="Times New Roman" w:hAnsi="Times New Roman"/>
          <w:sz w:val="24"/>
          <w:lang w:val="en-GB"/>
        </w:rPr>
        <w:t xml:space="preserve">. Available at: </w:t>
      </w:r>
      <w:hyperlink r:id="rId6" w:tgtFrame="_new" w:history="1">
        <w:r w:rsidRPr="00516608">
          <w:rPr>
            <w:rStyle w:val="Hyperlink"/>
            <w:rFonts w:ascii="Times New Roman" w:hAnsi="Times New Roman"/>
            <w:sz w:val="24"/>
            <w:lang w:val="en-GB"/>
          </w:rPr>
          <w:t>https://www.cipd.org/uk/knowledge/case-studies/toyota-culture-continuous-improvement/</w:t>
        </w:r>
      </w:hyperlink>
    </w:p>
    <w:p w14:paraId="16047CCC" w14:textId="77777777" w:rsidR="00023E7E" w:rsidRDefault="00023E7E" w:rsidP="00023E7E">
      <w:pPr>
        <w:spacing w:line="480" w:lineRule="auto"/>
        <w:ind w:left="720" w:hanging="720"/>
        <w:rPr>
          <w:rFonts w:ascii="Times New Roman" w:hAnsi="Times New Roman"/>
          <w:sz w:val="24"/>
          <w:lang w:val="en-GB"/>
        </w:rPr>
      </w:pPr>
      <w:r w:rsidRPr="00516608">
        <w:rPr>
          <w:rFonts w:ascii="Times New Roman" w:hAnsi="Times New Roman"/>
          <w:sz w:val="24"/>
          <w:lang w:val="en-GB"/>
        </w:rPr>
        <w:t xml:space="preserve">Dongchedi (2026) </w:t>
      </w:r>
      <w:r w:rsidRPr="00516608">
        <w:rPr>
          <w:rFonts w:ascii="Times New Roman" w:hAnsi="Times New Roman"/>
          <w:i/>
          <w:iCs/>
          <w:sz w:val="24"/>
          <w:lang w:val="en-GB"/>
        </w:rPr>
        <w:t>Toyota changes leadership: Further acceleration of China market localisation?</w:t>
      </w:r>
      <w:r w:rsidRPr="00516608">
        <w:rPr>
          <w:rFonts w:ascii="Times New Roman" w:hAnsi="Times New Roman"/>
          <w:sz w:val="24"/>
          <w:lang w:val="en-GB"/>
        </w:rPr>
        <w:t xml:space="preserve"> Available at: </w:t>
      </w:r>
      <w:hyperlink r:id="rId7" w:tgtFrame="_new" w:history="1">
        <w:r w:rsidRPr="00516608">
          <w:rPr>
            <w:rStyle w:val="Hyperlink"/>
            <w:rFonts w:ascii="Times New Roman" w:hAnsi="Times New Roman"/>
            <w:sz w:val="24"/>
            <w:lang w:val="en-GB"/>
          </w:rPr>
          <w:t>https://www.dongchedi.com/article/7603943697884938777</w:t>
        </w:r>
      </w:hyperlink>
    </w:p>
    <w:p w14:paraId="3746C561" w14:textId="050AC392" w:rsidR="00023E7E" w:rsidRPr="00516608" w:rsidRDefault="00023E7E" w:rsidP="00023E7E">
      <w:pPr>
        <w:spacing w:line="480" w:lineRule="auto"/>
        <w:ind w:left="720" w:hanging="720"/>
        <w:rPr>
          <w:rFonts w:ascii="Times New Roman" w:hAnsi="Times New Roman"/>
          <w:sz w:val="24"/>
          <w:lang w:val="en-GB"/>
        </w:rPr>
      </w:pPr>
      <w:r w:rsidRPr="00516608">
        <w:rPr>
          <w:rFonts w:ascii="Times New Roman" w:hAnsi="Times New Roman"/>
          <w:sz w:val="24"/>
          <w:lang w:val="en-GB"/>
        </w:rPr>
        <w:t xml:space="preserve">Indian Television (2026) </w:t>
      </w:r>
      <w:r w:rsidRPr="00516608">
        <w:rPr>
          <w:rFonts w:ascii="Times New Roman" w:hAnsi="Times New Roman"/>
          <w:i/>
          <w:iCs/>
          <w:sz w:val="24"/>
          <w:lang w:val="en-GB"/>
        </w:rPr>
        <w:t>Toyota CEO Koji Sato to step down</w:t>
      </w:r>
      <w:r w:rsidRPr="00516608">
        <w:rPr>
          <w:rFonts w:ascii="Times New Roman" w:hAnsi="Times New Roman"/>
          <w:sz w:val="24"/>
          <w:lang w:val="en-GB"/>
        </w:rPr>
        <w:t xml:space="preserve">. Available at: </w:t>
      </w:r>
      <w:hyperlink r:id="rId8" w:tgtFrame="_new" w:history="1">
        <w:r w:rsidRPr="00516608">
          <w:rPr>
            <w:rStyle w:val="Hyperlink"/>
            <w:rFonts w:ascii="Times New Roman" w:hAnsi="Times New Roman"/>
            <w:sz w:val="24"/>
            <w:lang w:val="en-GB"/>
          </w:rPr>
          <w:t>https://indiantelevision.com/mam/toyota-ceo-koji-sato-to-step-down/</w:t>
        </w:r>
      </w:hyperlink>
    </w:p>
    <w:p w14:paraId="1F5F4A66" w14:textId="77777777" w:rsidR="00023E7E" w:rsidRDefault="00023E7E" w:rsidP="00023E7E">
      <w:pPr>
        <w:spacing w:line="480" w:lineRule="auto"/>
        <w:ind w:left="720" w:hanging="720"/>
        <w:rPr>
          <w:rFonts w:ascii="Times New Roman" w:hAnsi="Times New Roman"/>
          <w:sz w:val="24"/>
          <w:lang w:val="en-GB"/>
        </w:rPr>
      </w:pPr>
      <w:r w:rsidRPr="00516608">
        <w:rPr>
          <w:rFonts w:ascii="Times New Roman" w:hAnsi="Times New Roman"/>
          <w:sz w:val="24"/>
          <w:lang w:val="en-GB"/>
        </w:rPr>
        <w:t xml:space="preserve">Marketing Interactive (2026a) </w:t>
      </w:r>
      <w:r w:rsidRPr="00516608">
        <w:rPr>
          <w:rFonts w:ascii="Times New Roman" w:hAnsi="Times New Roman"/>
          <w:i/>
          <w:iCs/>
          <w:sz w:val="24"/>
          <w:lang w:val="en-GB"/>
        </w:rPr>
        <w:t>Toyota Motor Asia evolves 'Move your world' brand initiative in move to inspire change</w:t>
      </w:r>
      <w:r w:rsidRPr="00516608">
        <w:rPr>
          <w:rFonts w:ascii="Times New Roman" w:hAnsi="Times New Roman"/>
          <w:sz w:val="24"/>
          <w:lang w:val="en-GB"/>
        </w:rPr>
        <w:t xml:space="preserve">. Available at: </w:t>
      </w:r>
      <w:hyperlink r:id="rId9" w:tgtFrame="_new" w:history="1">
        <w:r w:rsidRPr="00516608">
          <w:rPr>
            <w:rStyle w:val="Hyperlink"/>
            <w:rFonts w:ascii="Times New Roman" w:hAnsi="Times New Roman"/>
            <w:sz w:val="24"/>
            <w:lang w:val="en-GB"/>
          </w:rPr>
          <w:t>https://www.marketing-interactive.com/toyota-motor-asia-move-your-world</w:t>
        </w:r>
      </w:hyperlink>
    </w:p>
    <w:p w14:paraId="5549B4C4" w14:textId="77777777" w:rsidR="00023E7E" w:rsidRDefault="00023E7E" w:rsidP="00023E7E">
      <w:pPr>
        <w:spacing w:line="480" w:lineRule="auto"/>
        <w:ind w:left="720" w:hanging="720"/>
        <w:rPr>
          <w:rFonts w:ascii="Times New Roman" w:hAnsi="Times New Roman"/>
          <w:sz w:val="24"/>
          <w:lang w:val="en-GB"/>
        </w:rPr>
      </w:pPr>
      <w:r w:rsidRPr="00516608">
        <w:rPr>
          <w:rFonts w:ascii="Times New Roman" w:hAnsi="Times New Roman"/>
          <w:sz w:val="24"/>
          <w:lang w:val="en-GB"/>
        </w:rPr>
        <w:t xml:space="preserve">Marketing Interactive (2026b) </w:t>
      </w:r>
      <w:r w:rsidRPr="00516608">
        <w:rPr>
          <w:rFonts w:ascii="Times New Roman" w:hAnsi="Times New Roman"/>
          <w:i/>
          <w:iCs/>
          <w:sz w:val="24"/>
          <w:lang w:val="en-GB"/>
        </w:rPr>
        <w:t>Toyota Motor Asia spotlights reliability, service and innovation in regional push</w:t>
      </w:r>
      <w:r w:rsidRPr="00516608">
        <w:rPr>
          <w:rFonts w:ascii="Times New Roman" w:hAnsi="Times New Roman"/>
          <w:sz w:val="24"/>
          <w:lang w:val="en-GB"/>
        </w:rPr>
        <w:t xml:space="preserve">. Available at: </w:t>
      </w:r>
      <w:hyperlink r:id="rId10" w:tgtFrame="_new" w:history="1">
        <w:r w:rsidRPr="00516608">
          <w:rPr>
            <w:rStyle w:val="Hyperlink"/>
            <w:rFonts w:ascii="Times New Roman" w:hAnsi="Times New Roman"/>
            <w:sz w:val="24"/>
            <w:lang w:val="en-GB"/>
          </w:rPr>
          <w:t>https://www.marketing-interactive.com/toyota-motor-asia-spotlights-reliability-service-and-innovation-in-regional-push</w:t>
        </w:r>
      </w:hyperlink>
    </w:p>
    <w:p w14:paraId="655718A6" w14:textId="77777777" w:rsidR="00023E7E" w:rsidRDefault="00023E7E" w:rsidP="00023E7E">
      <w:pPr>
        <w:spacing w:line="480" w:lineRule="auto"/>
        <w:ind w:left="720" w:hanging="720"/>
        <w:rPr>
          <w:rFonts w:ascii="Times New Roman" w:hAnsi="Times New Roman"/>
          <w:sz w:val="24"/>
        </w:rPr>
      </w:pPr>
      <w:r w:rsidRPr="00516608">
        <w:rPr>
          <w:rFonts w:ascii="Times New Roman" w:hAnsi="Times New Roman"/>
          <w:sz w:val="24"/>
          <w:lang w:val="en-GB"/>
        </w:rPr>
        <w:t xml:space="preserve">MarketScreener (2026) </w:t>
      </w:r>
      <w:r w:rsidRPr="00516608">
        <w:rPr>
          <w:rFonts w:ascii="Times New Roman" w:hAnsi="Times New Roman"/>
          <w:i/>
          <w:iCs/>
          <w:sz w:val="24"/>
          <w:lang w:val="en-GB"/>
        </w:rPr>
        <w:t>Toyota Motor Corporation Announces Management Changes, Effective April 1, 2026</w:t>
      </w:r>
      <w:r w:rsidRPr="00516608">
        <w:rPr>
          <w:rFonts w:ascii="Times New Roman" w:hAnsi="Times New Roman"/>
          <w:sz w:val="24"/>
          <w:lang w:val="en-GB"/>
        </w:rPr>
        <w:t xml:space="preserve">. Available at: </w:t>
      </w:r>
      <w:hyperlink r:id="rId11" w:tgtFrame="_new" w:history="1">
        <w:r w:rsidRPr="00516608">
          <w:rPr>
            <w:rStyle w:val="Hyperlink"/>
            <w:rFonts w:ascii="Times New Roman" w:hAnsi="Times New Roman"/>
            <w:sz w:val="24"/>
            <w:lang w:val="en-GB"/>
          </w:rPr>
          <w:t>https://www.marketscreener.com/news/toyota-appoints-koji-sato-as-vice-chairman-and-chief-industry-officer-effective-february-6-2026-ce7e5ad9d88bf721</w:t>
        </w:r>
      </w:hyperlink>
    </w:p>
    <w:p w14:paraId="6CBD450D" w14:textId="77777777" w:rsidR="00023E7E" w:rsidRDefault="00023E7E" w:rsidP="00023E7E">
      <w:pPr>
        <w:spacing w:line="480" w:lineRule="auto"/>
        <w:ind w:left="720" w:hanging="720"/>
        <w:rPr>
          <w:rFonts w:ascii="Times New Roman" w:hAnsi="Times New Roman"/>
          <w:sz w:val="24"/>
          <w:lang w:val="en-GB"/>
        </w:rPr>
      </w:pPr>
      <w:r w:rsidRPr="00516608">
        <w:rPr>
          <w:rFonts w:ascii="Times New Roman" w:hAnsi="Times New Roman"/>
          <w:sz w:val="24"/>
          <w:lang w:val="en-GB"/>
        </w:rPr>
        <w:lastRenderedPageBreak/>
        <w:t xml:space="preserve">Mullins, L. and Christy, G. (2016) </w:t>
      </w:r>
      <w:r w:rsidRPr="00516608">
        <w:rPr>
          <w:rFonts w:ascii="Times New Roman" w:hAnsi="Times New Roman"/>
          <w:i/>
          <w:iCs/>
          <w:sz w:val="24"/>
          <w:lang w:val="en-GB"/>
        </w:rPr>
        <w:t>Management and Organisational Behaviour</w:t>
      </w:r>
      <w:r w:rsidRPr="00516608">
        <w:rPr>
          <w:rFonts w:ascii="Times New Roman" w:hAnsi="Times New Roman"/>
          <w:sz w:val="24"/>
          <w:lang w:val="en-GB"/>
        </w:rPr>
        <w:t>. 11th edn. Harlow: Pearson Education.</w:t>
      </w:r>
    </w:p>
    <w:p w14:paraId="29154375" w14:textId="77777777" w:rsidR="00023E7E" w:rsidRDefault="00023E7E" w:rsidP="00023E7E">
      <w:pPr>
        <w:spacing w:line="480" w:lineRule="auto"/>
        <w:ind w:left="720" w:hanging="720"/>
        <w:rPr>
          <w:rFonts w:ascii="Times New Roman" w:hAnsi="Times New Roman"/>
          <w:sz w:val="24"/>
          <w:lang w:val="en-GB"/>
        </w:rPr>
      </w:pPr>
      <w:r w:rsidRPr="00516608">
        <w:rPr>
          <w:rFonts w:ascii="Times New Roman" w:hAnsi="Times New Roman"/>
          <w:sz w:val="24"/>
          <w:lang w:val="en-GB"/>
        </w:rPr>
        <w:t xml:space="preserve">Renqi (2026) </w:t>
      </w:r>
      <w:r w:rsidRPr="00516608">
        <w:rPr>
          <w:rFonts w:ascii="Times New Roman" w:hAnsi="Times New Roman"/>
          <w:i/>
          <w:iCs/>
          <w:sz w:val="24"/>
          <w:lang w:val="en-GB"/>
        </w:rPr>
        <w:t>What is Toyota? In the "2-second era", being a "365-day" company</w:t>
      </w:r>
      <w:r w:rsidRPr="00516608">
        <w:rPr>
          <w:rFonts w:ascii="Times New Roman" w:hAnsi="Times New Roman"/>
          <w:sz w:val="24"/>
          <w:lang w:val="en-GB"/>
        </w:rPr>
        <w:t xml:space="preserve">. Autohome. Available at: </w:t>
      </w:r>
      <w:hyperlink r:id="rId12" w:tgtFrame="_new" w:history="1">
        <w:r w:rsidRPr="00516608">
          <w:rPr>
            <w:rStyle w:val="Hyperlink"/>
            <w:rFonts w:ascii="Times New Roman" w:hAnsi="Times New Roman"/>
            <w:sz w:val="24"/>
            <w:lang w:val="en-GB"/>
          </w:rPr>
          <w:t>https://chejiahao.autohome.com.cn/info/24771004</w:t>
        </w:r>
      </w:hyperlink>
    </w:p>
    <w:p w14:paraId="30FE211A" w14:textId="40B98AF9" w:rsidR="00023E7E" w:rsidRPr="00516608" w:rsidRDefault="00023E7E" w:rsidP="00023E7E">
      <w:pPr>
        <w:spacing w:line="480" w:lineRule="auto"/>
        <w:ind w:left="720" w:hanging="720"/>
        <w:rPr>
          <w:rFonts w:ascii="Times New Roman" w:hAnsi="Times New Roman"/>
          <w:sz w:val="24"/>
          <w:lang w:val="en-GB"/>
        </w:rPr>
      </w:pPr>
      <w:r w:rsidRPr="00516608">
        <w:rPr>
          <w:rFonts w:ascii="Times New Roman" w:hAnsi="Times New Roman"/>
          <w:sz w:val="24"/>
          <w:lang w:val="en-GB"/>
        </w:rPr>
        <w:t xml:space="preserve">Toyota Motor Corporation (2026a) </w:t>
      </w:r>
      <w:r w:rsidRPr="00516608">
        <w:rPr>
          <w:rFonts w:ascii="Times New Roman" w:hAnsi="Times New Roman"/>
          <w:i/>
          <w:iCs/>
          <w:sz w:val="24"/>
          <w:lang w:val="en-GB"/>
        </w:rPr>
        <w:t>TMC Announces Changes to Executive Structure</w:t>
      </w:r>
      <w:r w:rsidRPr="00516608">
        <w:rPr>
          <w:rFonts w:ascii="Times New Roman" w:hAnsi="Times New Roman"/>
          <w:sz w:val="24"/>
          <w:lang w:val="en-GB"/>
        </w:rPr>
        <w:t xml:space="preserve">. Toyota Global Newsroom. Available at: </w:t>
      </w:r>
      <w:hyperlink r:id="rId13" w:tgtFrame="_new" w:history="1">
        <w:r w:rsidRPr="00516608">
          <w:rPr>
            <w:rStyle w:val="Hyperlink"/>
            <w:rFonts w:ascii="Times New Roman" w:hAnsi="Times New Roman"/>
            <w:sz w:val="24"/>
            <w:lang w:val="en-GB"/>
          </w:rPr>
          <w:t>https://global.toyota/en/newsroom/corporate/43951723.html</w:t>
        </w:r>
      </w:hyperlink>
      <w:r w:rsidRPr="00516608">
        <w:rPr>
          <w:rFonts w:ascii="Times New Roman" w:hAnsi="Times New Roman"/>
          <w:sz w:val="24"/>
          <w:lang w:val="en-GB"/>
        </w:rPr>
        <w:t xml:space="preserve"> (Accessed: 3 March 2026).</w:t>
      </w:r>
    </w:p>
    <w:p w14:paraId="7DC6E733" w14:textId="77777777" w:rsidR="00023E7E" w:rsidRDefault="00023E7E" w:rsidP="00023E7E">
      <w:pPr>
        <w:spacing w:line="480" w:lineRule="auto"/>
        <w:ind w:left="720" w:hanging="720"/>
        <w:rPr>
          <w:rFonts w:ascii="Times New Roman" w:hAnsi="Times New Roman"/>
          <w:sz w:val="24"/>
          <w:lang w:val="en-GB"/>
        </w:rPr>
      </w:pPr>
      <w:r w:rsidRPr="00516608">
        <w:rPr>
          <w:rFonts w:ascii="Times New Roman" w:hAnsi="Times New Roman"/>
          <w:sz w:val="24"/>
          <w:lang w:val="en-GB"/>
        </w:rPr>
        <w:t xml:space="preserve">Toyota Motor Corporation (2026b) </w:t>
      </w:r>
      <w:r w:rsidRPr="00516608">
        <w:rPr>
          <w:rFonts w:ascii="Times New Roman" w:hAnsi="Times New Roman"/>
          <w:i/>
          <w:iCs/>
          <w:sz w:val="24"/>
          <w:lang w:val="en-GB"/>
        </w:rPr>
        <w:t>Struggle, Try, Make Mistakes, Grow—Chairman Toyoda &amp; President Sato's 2026 New Year's Messages</w:t>
      </w:r>
      <w:r w:rsidRPr="00516608">
        <w:rPr>
          <w:rFonts w:ascii="Times New Roman" w:hAnsi="Times New Roman"/>
          <w:sz w:val="24"/>
          <w:lang w:val="en-GB"/>
        </w:rPr>
        <w:t xml:space="preserve">. Toyota Times. Available at: </w:t>
      </w:r>
      <w:hyperlink r:id="rId14" w:tgtFrame="_new" w:history="1">
        <w:r w:rsidRPr="00516608">
          <w:rPr>
            <w:rStyle w:val="Hyperlink"/>
            <w:rFonts w:ascii="Times New Roman" w:hAnsi="Times New Roman"/>
            <w:sz w:val="24"/>
            <w:lang w:val="en-GB"/>
          </w:rPr>
          <w:t>https://toyotatimes.jp/en/toyota_news/1093_1.html</w:t>
        </w:r>
      </w:hyperlink>
    </w:p>
    <w:p w14:paraId="3C69F43A" w14:textId="77777777" w:rsidR="00023E7E" w:rsidRDefault="00023E7E" w:rsidP="00023E7E">
      <w:pPr>
        <w:spacing w:line="480" w:lineRule="auto"/>
        <w:ind w:left="720" w:hanging="720"/>
        <w:rPr>
          <w:rFonts w:ascii="Times New Roman" w:hAnsi="Times New Roman"/>
          <w:sz w:val="24"/>
          <w:lang w:val="en-GB"/>
        </w:rPr>
      </w:pPr>
      <w:r w:rsidRPr="00516608">
        <w:rPr>
          <w:rFonts w:ascii="Times New Roman" w:hAnsi="Times New Roman"/>
          <w:sz w:val="24"/>
          <w:lang w:val="en-GB"/>
        </w:rPr>
        <w:t xml:space="preserve">Toyota South Africa (2026) </w:t>
      </w:r>
      <w:r w:rsidRPr="00516608">
        <w:rPr>
          <w:rFonts w:ascii="Times New Roman" w:hAnsi="Times New Roman"/>
          <w:i/>
          <w:iCs/>
          <w:sz w:val="24"/>
          <w:lang w:val="en-GB"/>
        </w:rPr>
        <w:t>A Future Woven From The Past: Experiencing the culture that shaped Toyota's future</w:t>
      </w:r>
      <w:r w:rsidRPr="00516608">
        <w:rPr>
          <w:rFonts w:ascii="Times New Roman" w:hAnsi="Times New Roman"/>
          <w:sz w:val="24"/>
          <w:lang w:val="en-GB"/>
        </w:rPr>
        <w:t xml:space="preserve">. Available at: </w:t>
      </w:r>
      <w:hyperlink r:id="rId15" w:tgtFrame="_new" w:history="1">
        <w:r w:rsidRPr="00516608">
          <w:rPr>
            <w:rStyle w:val="Hyperlink"/>
            <w:rFonts w:ascii="Times New Roman" w:hAnsi="Times New Roman"/>
            <w:sz w:val="24"/>
            <w:lang w:val="en-GB"/>
          </w:rPr>
          <w:t>https://www.toyota.co.za/connect/article/toyota-future-mobility-japan-innovation</w:t>
        </w:r>
      </w:hyperlink>
    </w:p>
    <w:p w14:paraId="2EC56FCB" w14:textId="47A63DC7" w:rsidR="00023E7E" w:rsidRPr="00975BE6" w:rsidRDefault="00023E7E" w:rsidP="00975BE6">
      <w:pPr>
        <w:spacing w:line="480" w:lineRule="auto"/>
        <w:ind w:left="720" w:hanging="720"/>
        <w:rPr>
          <w:rFonts w:ascii="Times New Roman" w:hAnsi="Times New Roman"/>
          <w:sz w:val="24"/>
        </w:rPr>
      </w:pPr>
      <w:r w:rsidRPr="00516608">
        <w:rPr>
          <w:rFonts w:ascii="Times New Roman" w:hAnsi="Times New Roman"/>
          <w:sz w:val="24"/>
          <w:lang w:val="en-GB"/>
        </w:rPr>
        <w:t xml:space="preserve">Yiche (2026) </w:t>
      </w:r>
      <w:r w:rsidRPr="00516608">
        <w:rPr>
          <w:rFonts w:ascii="Times New Roman" w:hAnsi="Times New Roman"/>
          <w:i/>
          <w:iCs/>
          <w:sz w:val="24"/>
          <w:lang w:val="en-GB"/>
        </w:rPr>
        <w:t>What is Toyota? In the "2-second era", being a "365-day" company</w:t>
      </w:r>
      <w:r w:rsidRPr="00516608">
        <w:rPr>
          <w:rFonts w:ascii="Times New Roman" w:hAnsi="Times New Roman"/>
          <w:sz w:val="24"/>
          <w:lang w:val="en-GB"/>
        </w:rPr>
        <w:t xml:space="preserve">. Available at: </w:t>
      </w:r>
      <w:hyperlink r:id="rId16" w:tgtFrame="_new" w:history="1">
        <w:r w:rsidRPr="00516608">
          <w:rPr>
            <w:rStyle w:val="Hyperlink"/>
            <w:rFonts w:ascii="Times New Roman" w:hAnsi="Times New Roman"/>
            <w:sz w:val="24"/>
            <w:lang w:val="en-GB"/>
          </w:rPr>
          <w:t>https://news.yiche.com/hao/wenzhang/106904123/</w:t>
        </w:r>
      </w:hyperlink>
    </w:p>
    <w:sectPr w:rsidR="00023E7E" w:rsidRPr="00975BE6">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C13AB" w14:textId="77777777" w:rsidR="00CC12BE" w:rsidRDefault="00CC12BE">
      <w:r>
        <w:separator/>
      </w:r>
    </w:p>
  </w:endnote>
  <w:endnote w:type="continuationSeparator" w:id="0">
    <w:p w14:paraId="12E10C58" w14:textId="77777777" w:rsidR="00CC12BE" w:rsidRDefault="00CC1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E6AEA" w14:textId="77777777" w:rsidR="00A7268B" w:rsidRDefault="00A726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F5FB2" w14:textId="77777777" w:rsidR="00A7268B" w:rsidRDefault="00A726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76D71" w14:textId="77777777" w:rsidR="00A7268B" w:rsidRDefault="00A72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4CC24" w14:textId="77777777" w:rsidR="00CC12BE" w:rsidRDefault="00CC12BE">
      <w:r>
        <w:separator/>
      </w:r>
    </w:p>
  </w:footnote>
  <w:footnote w:type="continuationSeparator" w:id="0">
    <w:p w14:paraId="62A2939D" w14:textId="77777777" w:rsidR="00CC12BE" w:rsidRDefault="00CC12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B7434" w14:textId="77777777" w:rsidR="00A7268B" w:rsidRDefault="00A726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D779B" w14:textId="61974A9C" w:rsidR="00126A56" w:rsidRPr="00023E7E" w:rsidRDefault="00023E7E">
    <w:pPr>
      <w:pStyle w:val="Header"/>
    </w:pPr>
    <w:r>
      <w:rPr>
        <w:noProof/>
      </w:rPr>
      <mc:AlternateContent>
        <mc:Choice Requires="wps">
          <w:drawing>
            <wp:anchor distT="0" distB="0" distL="114300" distR="114300" simplePos="0" relativeHeight="251657728" behindDoc="0" locked="0" layoutInCell="1" allowOverlap="1" wp14:anchorId="5072A859" wp14:editId="44B3B8A1">
              <wp:simplePos x="0" y="0"/>
              <wp:positionH relativeFrom="margin">
                <wp:align>right</wp:align>
              </wp:positionH>
              <wp:positionV relativeFrom="paragraph">
                <wp:posOffset>0</wp:posOffset>
              </wp:positionV>
              <wp:extent cx="200660" cy="270510"/>
              <wp:effectExtent l="0" t="0" r="2540" b="0"/>
              <wp:wrapNone/>
              <wp:docPr id="196731079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 cy="27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cmpd="sng">
                            <a:solidFill>
                              <a:srgbClr val="000000"/>
                            </a:solidFill>
                            <a:miter lim="800000"/>
                            <a:headEnd/>
                            <a:tailEnd/>
                          </a14:hiddenLine>
                        </a:ext>
                      </a:extLst>
                    </wps:spPr>
                    <wps:txbx>
                      <w:txbxContent>
                        <w:p w14:paraId="59B14056" w14:textId="77777777" w:rsidR="00126A56" w:rsidRDefault="00000000">
                          <w:pPr>
                            <w:pStyle w:val="PageNumber1"/>
                          </w:pPr>
                          <w:r>
                            <w:fldChar w:fldCharType="begin"/>
                          </w:r>
                          <w:r>
                            <w:instrText xml:space="preserve"> PAGE  \* MERGEFORMAT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72A859" id="_x0000_t202" coordsize="21600,21600" o:spt="202" path="m,l,21600r21600,l21600,xe">
              <v:stroke joinstyle="miter"/>
              <v:path gradientshapeok="t" o:connecttype="rect"/>
            </v:shapetype>
            <v:shape id="Text Box 1" o:spid="_x0000_s1026" type="#_x0000_t202" style="position:absolute;left:0;text-align:left;margin-left:-35.4pt;margin-top:0;width:15.8pt;height:21.3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" filled="f" stroked="f" strokeweight=".5pt">
              <v:textbox inset="0,0,0,0">
                <w:txbxContent>
                  <w:p w14:paraId="59B14056" w14:textId="77777777" w:rsidR="00000000" w:rsidRDefault="00000000">
                    <w:pPr>
                      <w:pStyle w:val="Pagenumber"/>
                    </w:pPr>
                    <w:r>
                      <w:fldChar w:fldCharType="begin"/>
                    </w:r>
                    <w:r>
                      <w:instrText xml:space="preserve"> PAGE  \* MERGEFORMAT </w:instrText>
                    </w:r>
                    <w:r>
                      <w:fldChar w:fldCharType="separate"/>
                    </w:r>
                    <w:r>
                      <w:t>1</w:t>
                    </w:r>
                    <w:r>
                      <w:fldChar w:fldCharType="end"/>
                    </w:r>
                  </w:p>
                </w:txbxContent>
              </v:textbox>
              <w10:wrap anchorx="margin"/>
            </v:shape>
          </w:pict>
        </mc:Fallback>
      </mc:AlternateContent>
    </w:r>
    <w:r>
      <w:t xml:space="preserve">                                               </w:t>
    </w:r>
    <w:r w:rsidRPr="00516608">
      <w:rPr>
        <w:szCs w:val="24"/>
        <w:lang w:val="en-G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3EF28" w14:textId="77777777" w:rsidR="00A7268B" w:rsidRDefault="00A726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15F5E51"/>
    <w:rsid w:val="00023E7E"/>
    <w:rsid w:val="00050A31"/>
    <w:rsid w:val="000716D2"/>
    <w:rsid w:val="00071AAB"/>
    <w:rsid w:val="000B76C4"/>
    <w:rsid w:val="000C5610"/>
    <w:rsid w:val="000E6552"/>
    <w:rsid w:val="000F3A4F"/>
    <w:rsid w:val="000F59AC"/>
    <w:rsid w:val="00126A56"/>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23FD"/>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25E8F"/>
    <w:rsid w:val="00746C14"/>
    <w:rsid w:val="007C2C59"/>
    <w:rsid w:val="00801F23"/>
    <w:rsid w:val="00805F94"/>
    <w:rsid w:val="00837632"/>
    <w:rsid w:val="0085640F"/>
    <w:rsid w:val="008567AA"/>
    <w:rsid w:val="00892712"/>
    <w:rsid w:val="008A680A"/>
    <w:rsid w:val="008B0BB0"/>
    <w:rsid w:val="008E6C4B"/>
    <w:rsid w:val="008F18C0"/>
    <w:rsid w:val="00901CD6"/>
    <w:rsid w:val="00907648"/>
    <w:rsid w:val="00930FDE"/>
    <w:rsid w:val="00975BE6"/>
    <w:rsid w:val="00984C93"/>
    <w:rsid w:val="00987CE1"/>
    <w:rsid w:val="0099405C"/>
    <w:rsid w:val="009C600F"/>
    <w:rsid w:val="009D1971"/>
    <w:rsid w:val="009D3723"/>
    <w:rsid w:val="009E04F2"/>
    <w:rsid w:val="00A03B7B"/>
    <w:rsid w:val="00A200C9"/>
    <w:rsid w:val="00A250D5"/>
    <w:rsid w:val="00A32F56"/>
    <w:rsid w:val="00A36028"/>
    <w:rsid w:val="00A7268B"/>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2043F"/>
    <w:rsid w:val="00C56C7E"/>
    <w:rsid w:val="00C73A09"/>
    <w:rsid w:val="00C776A4"/>
    <w:rsid w:val="00CA2C6C"/>
    <w:rsid w:val="00CC0600"/>
    <w:rsid w:val="00CC12BE"/>
    <w:rsid w:val="00CC78AC"/>
    <w:rsid w:val="00CF7953"/>
    <w:rsid w:val="00D03C7F"/>
    <w:rsid w:val="00D07232"/>
    <w:rsid w:val="00D10245"/>
    <w:rsid w:val="00D21BDD"/>
    <w:rsid w:val="00D65F07"/>
    <w:rsid w:val="00D92BB7"/>
    <w:rsid w:val="00DC76D2"/>
    <w:rsid w:val="00DD30ED"/>
    <w:rsid w:val="00E36223"/>
    <w:rsid w:val="00E64C21"/>
    <w:rsid w:val="00EC24C6"/>
    <w:rsid w:val="00EF2933"/>
    <w:rsid w:val="00F01D01"/>
    <w:rsid w:val="00F05146"/>
    <w:rsid w:val="00F1115D"/>
    <w:rsid w:val="00F3513C"/>
    <w:rsid w:val="00F465C5"/>
    <w:rsid w:val="00F5180D"/>
    <w:rsid w:val="00F51B21"/>
    <w:rsid w:val="00F51D87"/>
    <w:rsid w:val="00F8455C"/>
    <w:rsid w:val="515F5E51"/>
    <w:rsid w:val="7BFB4BDF"/>
    <w:rsid w:val="7CBEA89E"/>
    <w:rsid w:val="7EFF0817"/>
    <w:rsid w:val="BFEF728D"/>
    <w:rsid w:val="FEDB7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9E5195"/>
  <w15:chartTrackingRefBased/>
  <w15:docId w15:val="{C5D134C5-DC4B-4338-936D-7450E99B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1D01"/>
    <w:pPr>
      <w:widowControl w:val="0"/>
      <w:jc w:val="both"/>
    </w:pPr>
    <w:rPr>
      <w:kern w:val="2"/>
      <w:sz w:val="21"/>
      <w:szCs w:val="24"/>
      <w:lang w:val="en-US" w:eastAsia="zh-CN"/>
    </w:rPr>
  </w:style>
  <w:style w:type="paragraph" w:styleId="Heading1">
    <w:name w:val="heading 1"/>
    <w:basedOn w:val="Normal"/>
    <w:next w:val="Normal"/>
    <w:link w:val="Heading1Char"/>
    <w:uiPriority w:val="9"/>
    <w:qFormat/>
    <w:rsid w:val="00023E7E"/>
    <w:pPr>
      <w:keepNext/>
      <w:keepLines/>
      <w:widowControl/>
      <w:spacing w:before="360" w:after="80" w:line="278" w:lineRule="auto"/>
      <w:jc w:val="left"/>
      <w:outlineLvl w:val="0"/>
    </w:pPr>
    <w:rPr>
      <w:rFonts w:ascii="Calibri Light" w:eastAsia="Times New Roman" w:hAnsi="Calibri Light"/>
      <w:color w:val="2F5496"/>
      <w:sz w:val="40"/>
      <w:szCs w:val="40"/>
      <w:lang w:eastAsia="en-US"/>
    </w:rPr>
  </w:style>
  <w:style w:type="paragraph" w:styleId="Heading2">
    <w:name w:val="heading 2"/>
    <w:basedOn w:val="Normal"/>
    <w:next w:val="Normal"/>
    <w:link w:val="Heading2Char"/>
    <w:uiPriority w:val="9"/>
    <w:unhideWhenUsed/>
    <w:qFormat/>
    <w:rsid w:val="00023E7E"/>
    <w:pPr>
      <w:keepNext/>
      <w:keepLines/>
      <w:widowControl/>
      <w:spacing w:before="160" w:after="80" w:line="278" w:lineRule="auto"/>
      <w:jc w:val="left"/>
      <w:outlineLvl w:val="1"/>
    </w:pPr>
    <w:rPr>
      <w:rFonts w:ascii="Calibri Light" w:eastAsia="Times New Roman" w:hAnsi="Calibri Light"/>
      <w:color w:val="2F5496"/>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geNumber1">
    <w:name w:val="Page Number1"/>
    <w:basedOn w:val="Normal"/>
    <w:qFormat/>
    <w:rPr>
      <w:rFonts w:ascii="Times New Roman" w:eastAsia="Times New Roman" w:hAnsi="Times New Roman"/>
      <w:sz w:val="24"/>
    </w:rPr>
  </w:style>
  <w:style w:type="paragraph" w:styleId="Header">
    <w:name w:val="header"/>
    <w:basedOn w:val="Normal"/>
    <w:pPr>
      <w:tabs>
        <w:tab w:val="center" w:pos="4153"/>
        <w:tab w:val="right" w:pos="8306"/>
      </w:tabs>
      <w:snapToGrid w:val="0"/>
    </w:pPr>
    <w:rPr>
      <w:rFonts w:ascii="Times New Roman" w:hAnsi="Times New Roman"/>
      <w:sz w:val="24"/>
      <w:szCs w:val="18"/>
    </w:rPr>
  </w:style>
  <w:style w:type="paragraph" w:styleId="Footer">
    <w:name w:val="footer"/>
    <w:basedOn w:val="Normal"/>
    <w:pPr>
      <w:tabs>
        <w:tab w:val="center" w:pos="4153"/>
        <w:tab w:val="right" w:pos="8306"/>
      </w:tabs>
      <w:snapToGrid w:val="0"/>
      <w:jc w:val="left"/>
    </w:pPr>
    <w:rPr>
      <w:rFonts w:ascii="Times New Roman" w:hAnsi="Times New Roman"/>
      <w:sz w:val="24"/>
      <w:szCs w:val="18"/>
    </w:rPr>
  </w:style>
  <w:style w:type="character" w:customStyle="1" w:styleId="Heading1Char">
    <w:name w:val="Heading 1 Char"/>
    <w:basedOn w:val="DefaultParagraphFont"/>
    <w:link w:val="Heading1"/>
    <w:uiPriority w:val="9"/>
    <w:rsid w:val="00023E7E"/>
    <w:rPr>
      <w:rFonts w:ascii="Calibri Light" w:eastAsia="Times New Roman" w:hAnsi="Calibri Light"/>
      <w:color w:val="2F5496"/>
      <w:kern w:val="2"/>
      <w:sz w:val="40"/>
      <w:szCs w:val="40"/>
      <w:lang w:val="en-US" w:eastAsia="en-US"/>
    </w:rPr>
  </w:style>
  <w:style w:type="character" w:customStyle="1" w:styleId="Heading2Char">
    <w:name w:val="Heading 2 Char"/>
    <w:basedOn w:val="DefaultParagraphFont"/>
    <w:link w:val="Heading2"/>
    <w:uiPriority w:val="9"/>
    <w:rsid w:val="00023E7E"/>
    <w:rPr>
      <w:rFonts w:ascii="Calibri Light" w:eastAsia="Times New Roman" w:hAnsi="Calibri Light"/>
      <w:color w:val="2F5496"/>
      <w:kern w:val="2"/>
      <w:sz w:val="32"/>
      <w:szCs w:val="32"/>
      <w:lang w:val="en-US" w:eastAsia="en-US"/>
    </w:rPr>
  </w:style>
  <w:style w:type="character" w:styleId="Hyperlink">
    <w:name w:val="Hyperlink"/>
    <w:uiPriority w:val="99"/>
    <w:unhideWhenUsed/>
    <w:rsid w:val="00023E7E"/>
    <w:rPr>
      <w:color w:val="0563C1"/>
      <w:u w:val="single"/>
    </w:rPr>
  </w:style>
  <w:style w:type="paragraph" w:styleId="TOCHeading">
    <w:name w:val="TOC Heading"/>
    <w:basedOn w:val="Heading1"/>
    <w:next w:val="Normal"/>
    <w:uiPriority w:val="39"/>
    <w:unhideWhenUsed/>
    <w:qFormat/>
    <w:rsid w:val="00023E7E"/>
    <w:pPr>
      <w:spacing w:before="240" w:after="0" w:line="259" w:lineRule="auto"/>
      <w:outlineLvl w:val="9"/>
    </w:pPr>
    <w:rPr>
      <w:kern w:val="0"/>
      <w:sz w:val="32"/>
      <w:szCs w:val="32"/>
    </w:rPr>
  </w:style>
  <w:style w:type="paragraph" w:styleId="TOC1">
    <w:name w:val="toc 1"/>
    <w:basedOn w:val="Normal"/>
    <w:next w:val="Normal"/>
    <w:autoRedefine/>
    <w:uiPriority w:val="39"/>
    <w:rsid w:val="00023E7E"/>
  </w:style>
  <w:style w:type="paragraph" w:styleId="TOC2">
    <w:name w:val="toc 2"/>
    <w:basedOn w:val="Normal"/>
    <w:next w:val="Normal"/>
    <w:autoRedefine/>
    <w:uiPriority w:val="39"/>
    <w:rsid w:val="00023E7E"/>
    <w:pPr>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pixelsPerInch w:val="192"/>
</w:webSettings>
</file>

<file path=word/_rels/document.xml.rels><?xml version="1.0" encoding="UTF-8" standalone="yes"?>
<Relationships xmlns="http://schemas.openxmlformats.org/package/2006/relationships"><Relationship Id="rId8" Type="http://schemas.openxmlformats.org/officeDocument/2006/relationships/hyperlink" Target="https://indiantelevision.com/mam/toyota-ceo-koji-sato-to-step-down/" TargetMode="External"/><Relationship Id="rId13" Type="http://schemas.openxmlformats.org/officeDocument/2006/relationships/hyperlink" Target="https://global.toyota/en/newsroom/corporate/43951723.html" TargetMode="External"/><Relationship Id="rId18"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header" Target="header3.xml"/><Relationship Id="rId7" Type="http://schemas.openxmlformats.org/officeDocument/2006/relationships/hyperlink" Target="https://www.dongchedi.com/article/7603943697884938777" TargetMode="External"/><Relationship Id="rId12" Type="http://schemas.openxmlformats.org/officeDocument/2006/relationships/hyperlink" Target="https://chejiahao.autohome.com.cn/info/24771004"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news.yiche.com/hao/wenzhang/106904123/"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www.cipd.org/uk/knowledge/case-studies/toyota-culture-continuous-improvement/" TargetMode="External"/><Relationship Id="rId11" Type="http://schemas.openxmlformats.org/officeDocument/2006/relationships/hyperlink" Target="https://www.marketscreener.com/news/toyota-appoints-koji-sato-as-vice-chairman-and-chief-industry-officer-effective-february-6-2026-ce7e5ad9d88bf721"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oyota.co.za/connect/article/toyota-future-mobility-japan-innovation" TargetMode="External"/><Relationship Id="rId23" Type="http://schemas.openxmlformats.org/officeDocument/2006/relationships/fontTable" Target="fontTable.xml"/><Relationship Id="rId10" Type="http://schemas.openxmlformats.org/officeDocument/2006/relationships/hyperlink" Target="https://www.marketing-interactive.com/toyota-motor-asia-spotlights-reliability-service-and-innovation-in-regional-push"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marketing-interactive.com/toyota-motor-asia-move-your-world" TargetMode="External"/><Relationship Id="rId14" Type="http://schemas.openxmlformats.org/officeDocument/2006/relationships/hyperlink" Target="https://toyotatimes.jp/en/toyota_news/1093_1.html"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16</Pages>
  <Words>3713</Words>
  <Characters>21166</Characters>
  <Application>Microsoft Office Word</Application>
  <DocSecurity>0</DocSecurity>
  <Lines>176</Lines>
  <Paragraphs>49</Paragraphs>
  <ScaleCrop>false</ScaleCrop>
  <Company/>
  <LinksUpToDate>false</LinksUpToDate>
  <CharactersWithSpaces>24830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dc:creator>
  <cp:keywords/>
  <cp:lastModifiedBy>Petre Stancu (2330348)</cp:lastModifiedBy>
  <cp:revision>19</cp:revision>
  <dcterms:created xsi:type="dcterms:W3CDTF">2026-03-02T22:25:00Z</dcterms:created>
  <dcterms:modified xsi:type="dcterms:W3CDTF">2026-03-15T10:19:00Z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1033-2.6.0.4284</vt:lpwstr>
  </property>
</Properties>
</file>