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BBB8C" w14:textId="3E173FBF" w:rsidR="008636F2" w:rsidRPr="00FD7CD4" w:rsidRDefault="008636F2" w:rsidP="00FD7CD4">
      <w:pPr>
        <w:spacing w:line="480" w:lineRule="auto"/>
        <w:jc w:val="center"/>
        <w:rPr>
          <w:rFonts w:cstheme="minorHAnsi"/>
          <w:u w:val="single"/>
        </w:rPr>
      </w:pPr>
      <w:r w:rsidRPr="00FD7CD4">
        <w:rPr>
          <w:rFonts w:cstheme="minorHAnsi"/>
          <w:u w:val="single"/>
        </w:rPr>
        <w:t>2,000 Word Essay – 12</w:t>
      </w:r>
      <w:r w:rsidRPr="00FD7CD4">
        <w:rPr>
          <w:rFonts w:cstheme="minorHAnsi"/>
          <w:u w:val="single"/>
          <w:vertAlign w:val="superscript"/>
        </w:rPr>
        <w:t>th</w:t>
      </w:r>
      <w:r w:rsidRPr="00FD7CD4">
        <w:rPr>
          <w:rFonts w:cstheme="minorHAnsi"/>
          <w:u w:val="single"/>
        </w:rPr>
        <w:t xml:space="preserve"> Century Herbalism and the Nun</w:t>
      </w:r>
    </w:p>
    <w:p w14:paraId="4054C122" w14:textId="0FB7D05B" w:rsidR="00FC0972" w:rsidRPr="00FD7CD4" w:rsidRDefault="004D0A21" w:rsidP="00FD7CD4">
      <w:pPr>
        <w:spacing w:line="480" w:lineRule="auto"/>
        <w:rPr>
          <w:rFonts w:cstheme="minorHAnsi"/>
          <w:color w:val="4472C4" w:themeColor="accent1"/>
        </w:rPr>
      </w:pPr>
      <w:r w:rsidRPr="00FD7CD4">
        <w:rPr>
          <w:rFonts w:cstheme="minorHAnsi"/>
        </w:rPr>
        <w:t xml:space="preserve">Herbalism is a subsection of medical practice with roots stretching back the length of human </w:t>
      </w:r>
      <w:r w:rsidR="009753C9" w:rsidRPr="00FD7CD4">
        <w:rPr>
          <w:rFonts w:cstheme="minorHAnsi"/>
        </w:rPr>
        <w:t>history and</w:t>
      </w:r>
      <w:r w:rsidR="003942CA" w:rsidRPr="00FD7CD4">
        <w:rPr>
          <w:rFonts w:cstheme="minorHAnsi"/>
        </w:rPr>
        <w:t xml:space="preserve"> dedicated to using predominantly sections of plants to treat illnesses. </w:t>
      </w:r>
      <w:r w:rsidR="0056678B" w:rsidRPr="00FD7CD4">
        <w:rPr>
          <w:rFonts w:cstheme="minorHAnsi"/>
        </w:rPr>
        <w:t xml:space="preserve">In the twelfth century, </w:t>
      </w:r>
      <w:r w:rsidR="00FC0972" w:rsidRPr="00FD7CD4">
        <w:rPr>
          <w:rFonts w:cstheme="minorHAnsi"/>
        </w:rPr>
        <w:t xml:space="preserve">herbal medicine was used by both the common person and the church as an organisation. </w:t>
      </w:r>
      <w:r w:rsidRPr="00FD7CD4">
        <w:rPr>
          <w:rFonts w:cstheme="minorHAnsi"/>
        </w:rPr>
        <w:t xml:space="preserve">Herbal medicine holds a lot of importance in the Medieval period, being the main way of treating illness, alongside surgery. </w:t>
      </w:r>
      <w:r w:rsidR="00FC0972" w:rsidRPr="00FD7CD4">
        <w:rPr>
          <w:rFonts w:cstheme="minorHAnsi"/>
        </w:rPr>
        <w:t xml:space="preserve">This essay aims to discuss the practice of herbalism in the twelfth century, how it differs from modern herbalism, and how it was practised and used to treat the sick, with a focus on the nuns of the twelfth century and their practices for treatment of illness. </w:t>
      </w:r>
    </w:p>
    <w:p w14:paraId="2EFD7EA2" w14:textId="77777777" w:rsidR="009753C9" w:rsidRPr="00FD7CD4" w:rsidRDefault="009753C9" w:rsidP="00FD7CD4">
      <w:pPr>
        <w:spacing w:line="480" w:lineRule="auto"/>
        <w:rPr>
          <w:rFonts w:cstheme="minorHAnsi"/>
          <w:b/>
          <w:bCs/>
        </w:rPr>
      </w:pPr>
    </w:p>
    <w:p w14:paraId="313DB586" w14:textId="7265305E" w:rsidR="003013AB" w:rsidRPr="00FD7CD4" w:rsidRDefault="0056678B" w:rsidP="00FD7CD4">
      <w:pPr>
        <w:spacing w:line="480" w:lineRule="auto"/>
        <w:rPr>
          <w:rFonts w:cstheme="minorHAnsi"/>
        </w:rPr>
      </w:pPr>
      <w:r w:rsidRPr="00FD7CD4">
        <w:rPr>
          <w:rFonts w:cstheme="minorHAnsi"/>
        </w:rPr>
        <w:t xml:space="preserve">Medieval Herbalism and Modern Herbalism share </w:t>
      </w:r>
      <w:r w:rsidR="0039284E" w:rsidRPr="00FD7CD4">
        <w:rPr>
          <w:rFonts w:cstheme="minorHAnsi"/>
        </w:rPr>
        <w:t xml:space="preserve">many similarities. </w:t>
      </w:r>
      <w:proofErr w:type="gramStart"/>
      <w:r w:rsidR="00D9586E" w:rsidRPr="00FD7CD4">
        <w:rPr>
          <w:rFonts w:cstheme="minorHAnsi"/>
        </w:rPr>
        <w:t>The majority of</w:t>
      </w:r>
      <w:proofErr w:type="gramEnd"/>
      <w:r w:rsidR="00D9586E" w:rsidRPr="00FD7CD4">
        <w:rPr>
          <w:rFonts w:cstheme="minorHAnsi"/>
        </w:rPr>
        <w:t xml:space="preserve"> medieval herbal texts follow a process of describing a condition, which plant can be used to treat it, </w:t>
      </w:r>
      <w:r w:rsidR="002C6422" w:rsidRPr="00FD7CD4">
        <w:rPr>
          <w:rFonts w:cstheme="minorHAnsi"/>
        </w:rPr>
        <w:t>and how to prepare and use the plant.</w:t>
      </w:r>
      <w:r w:rsidR="002C6422" w:rsidRPr="00FD7CD4">
        <w:rPr>
          <w:rStyle w:val="FootnoteReference"/>
          <w:rFonts w:cstheme="minorHAnsi"/>
        </w:rPr>
        <w:footnoteReference w:id="1"/>
      </w:r>
      <w:r w:rsidR="002C6422" w:rsidRPr="00FD7CD4">
        <w:rPr>
          <w:rFonts w:cstheme="minorHAnsi"/>
        </w:rPr>
        <w:t xml:space="preserve"> </w:t>
      </w:r>
      <w:r w:rsidR="003013AB" w:rsidRPr="00FD7CD4">
        <w:rPr>
          <w:rFonts w:cstheme="minorHAnsi"/>
        </w:rPr>
        <w:t xml:space="preserve">These simplistic and often-times vague recipes are, surprisingly to the modern audience, based on previous written sources or empirical knowledge gathered by the author(s) of the text. </w:t>
      </w:r>
      <w:r w:rsidR="009753C9" w:rsidRPr="00FD7CD4">
        <w:rPr>
          <w:rFonts w:cstheme="minorHAnsi"/>
        </w:rPr>
        <w:t>These manuscripts show how pre-Christian and empirical knowledge have mixed with Graeco-Roman classical knowledge to create twelfth century medical practice in Europe.</w:t>
      </w:r>
      <w:r w:rsidR="009753C9" w:rsidRPr="00FD7CD4">
        <w:rPr>
          <w:rStyle w:val="FootnoteReference"/>
          <w:rFonts w:cstheme="minorHAnsi"/>
        </w:rPr>
        <w:footnoteReference w:id="2"/>
      </w:r>
      <w:r w:rsidR="009753C9" w:rsidRPr="00FD7CD4">
        <w:rPr>
          <w:rFonts w:cstheme="minorHAnsi"/>
        </w:rPr>
        <w:t xml:space="preserve"> The classical knowledge that was left recorded in the eastern Roman empire is traded through medical port towns, such as Salerno, and chained into monasteries across Europe, where it is then combined with pre-Christian and empirical knowledge that is passed into the monastery through the lay-practitioner. </w:t>
      </w:r>
      <w:r w:rsidR="00CF4914" w:rsidRPr="00FD7CD4">
        <w:rPr>
          <w:rFonts w:cstheme="minorHAnsi"/>
        </w:rPr>
        <w:t>While these surviving manuscripts are our best insight into how medieval herbal medicine works, many of them are vague in their descriptions, leaving out specific measurements of ingredients in the majority of remedies, and their directions are never precise.</w:t>
      </w:r>
      <w:r w:rsidR="00CF4914" w:rsidRPr="00FD7CD4">
        <w:rPr>
          <w:rStyle w:val="FootnoteReference"/>
          <w:rFonts w:cstheme="minorHAnsi"/>
        </w:rPr>
        <w:footnoteReference w:id="3"/>
      </w:r>
      <w:r w:rsidR="00CF4914" w:rsidRPr="00FD7CD4">
        <w:rPr>
          <w:rFonts w:cstheme="minorHAnsi"/>
        </w:rPr>
        <w:t xml:space="preserve"> </w:t>
      </w:r>
      <w:r w:rsidR="008B3F3E" w:rsidRPr="00FD7CD4">
        <w:rPr>
          <w:rFonts w:cstheme="minorHAnsi"/>
        </w:rPr>
        <w:t xml:space="preserve">This is most likely </w:t>
      </w:r>
      <w:r w:rsidR="008B3F3E" w:rsidRPr="00FD7CD4">
        <w:rPr>
          <w:rFonts w:cstheme="minorHAnsi"/>
        </w:rPr>
        <w:lastRenderedPageBreak/>
        <w:t xml:space="preserve">because these manuscripts are intended to be a supplement to already existing and passed down knowledge within a community of people </w:t>
      </w:r>
      <w:r w:rsidR="00D464B5" w:rsidRPr="00FD7CD4">
        <w:rPr>
          <w:rFonts w:cstheme="minorHAnsi"/>
        </w:rPr>
        <w:t>who can understand and utilise these recipes.</w:t>
      </w:r>
      <w:r w:rsidR="00D464B5" w:rsidRPr="00FD7CD4">
        <w:rPr>
          <w:rStyle w:val="FootnoteReference"/>
          <w:rFonts w:cstheme="minorHAnsi"/>
        </w:rPr>
        <w:footnoteReference w:id="4"/>
      </w:r>
      <w:r w:rsidR="00D464B5" w:rsidRPr="00FD7CD4">
        <w:rPr>
          <w:rFonts w:cstheme="minorHAnsi"/>
        </w:rPr>
        <w:t xml:space="preserve"> </w:t>
      </w:r>
    </w:p>
    <w:p w14:paraId="191B3A0C" w14:textId="77777777" w:rsidR="003013AB" w:rsidRPr="00FD7CD4" w:rsidRDefault="003013AB" w:rsidP="00FD7CD4">
      <w:pPr>
        <w:spacing w:line="480" w:lineRule="auto"/>
        <w:rPr>
          <w:rFonts w:cstheme="minorHAnsi"/>
        </w:rPr>
      </w:pPr>
    </w:p>
    <w:p w14:paraId="5EFA7823" w14:textId="0DA2A28E" w:rsidR="00016286" w:rsidRPr="00FD7CD4" w:rsidRDefault="003013AB" w:rsidP="00FD7CD4">
      <w:pPr>
        <w:spacing w:line="480" w:lineRule="auto"/>
        <w:rPr>
          <w:rFonts w:cstheme="minorHAnsi"/>
        </w:rPr>
      </w:pPr>
      <w:r w:rsidRPr="00FD7CD4">
        <w:rPr>
          <w:rFonts w:cstheme="minorHAnsi"/>
        </w:rPr>
        <w:t>Many of the surviving herbal texts are also a sort of ‘</w:t>
      </w:r>
      <w:r w:rsidR="00E94430" w:rsidRPr="00FD7CD4">
        <w:rPr>
          <w:rFonts w:cstheme="minorHAnsi"/>
        </w:rPr>
        <w:t>mishmash</w:t>
      </w:r>
      <w:r w:rsidRPr="00FD7CD4">
        <w:rPr>
          <w:rFonts w:cstheme="minorHAnsi"/>
        </w:rPr>
        <w:t xml:space="preserve">’ of different treatments for a wide range of ailments using a wide range of plant, or indeed animal, substances. </w:t>
      </w:r>
      <w:r w:rsidR="00F63F61" w:rsidRPr="00FD7CD4">
        <w:rPr>
          <w:rFonts w:cstheme="minorHAnsi"/>
        </w:rPr>
        <w:t xml:space="preserve">While this may not seem significant, it </w:t>
      </w:r>
      <w:r w:rsidR="00E94430" w:rsidRPr="00FD7CD4">
        <w:rPr>
          <w:rFonts w:cstheme="minorHAnsi"/>
        </w:rPr>
        <w:t>tells</w:t>
      </w:r>
      <w:r w:rsidR="00F63F61" w:rsidRPr="00FD7CD4">
        <w:rPr>
          <w:rFonts w:cstheme="minorHAnsi"/>
        </w:rPr>
        <w:t xml:space="preserve"> us that </w:t>
      </w:r>
      <w:proofErr w:type="gramStart"/>
      <w:r w:rsidR="00F63F61" w:rsidRPr="00FD7CD4">
        <w:rPr>
          <w:rFonts w:cstheme="minorHAnsi"/>
        </w:rPr>
        <w:t>the majority of</w:t>
      </w:r>
      <w:proofErr w:type="gramEnd"/>
      <w:r w:rsidR="00F63F61" w:rsidRPr="00FD7CD4">
        <w:rPr>
          <w:rFonts w:cstheme="minorHAnsi"/>
        </w:rPr>
        <w:t xml:space="preserve"> authors </w:t>
      </w:r>
      <w:r w:rsidR="00864F23" w:rsidRPr="00FD7CD4">
        <w:rPr>
          <w:rFonts w:cstheme="minorHAnsi"/>
        </w:rPr>
        <w:t xml:space="preserve">are pulling from a wider range of sources than just their surroundings, taking ideas from classical Greek and Roman sources alongside their empirical knowledge. One source, known colloquially as the ‘Medieval Welsh Medical Texts’, contains </w:t>
      </w:r>
      <w:proofErr w:type="gramStart"/>
      <w:r w:rsidR="00864F23" w:rsidRPr="00FD7CD4">
        <w:rPr>
          <w:rFonts w:cstheme="minorHAnsi"/>
        </w:rPr>
        <w:t>a number of</w:t>
      </w:r>
      <w:proofErr w:type="gramEnd"/>
      <w:r w:rsidR="00864F23" w:rsidRPr="00FD7CD4">
        <w:rPr>
          <w:rFonts w:cstheme="minorHAnsi"/>
        </w:rPr>
        <w:t xml:space="preserve"> treatments which involve substances taken from animals, such as fur, bone, and blood, which has been traced back to a </w:t>
      </w:r>
      <w:r w:rsidR="00E94430" w:rsidRPr="00FD7CD4">
        <w:rPr>
          <w:rFonts w:cstheme="minorHAnsi"/>
        </w:rPr>
        <w:t>Latin</w:t>
      </w:r>
      <w:r w:rsidR="00864F23" w:rsidRPr="00FD7CD4">
        <w:rPr>
          <w:rFonts w:cstheme="minorHAnsi"/>
        </w:rPr>
        <w:t xml:space="preserve"> source known as </w:t>
      </w:r>
      <w:r w:rsidR="00864F23" w:rsidRPr="00FD7CD4">
        <w:rPr>
          <w:rFonts w:cstheme="minorHAnsi"/>
          <w:i/>
          <w:iCs/>
        </w:rPr>
        <w:t xml:space="preserve">Medicine de </w:t>
      </w:r>
      <w:proofErr w:type="spellStart"/>
      <w:r w:rsidR="00864F23" w:rsidRPr="00FD7CD4">
        <w:rPr>
          <w:rFonts w:cstheme="minorHAnsi"/>
          <w:i/>
          <w:iCs/>
        </w:rPr>
        <w:t>Quadrupedibus</w:t>
      </w:r>
      <w:proofErr w:type="spellEnd"/>
      <w:r w:rsidR="00864F23" w:rsidRPr="00FD7CD4">
        <w:rPr>
          <w:rFonts w:cstheme="minorHAnsi"/>
        </w:rPr>
        <w:t>.</w:t>
      </w:r>
      <w:r w:rsidR="00864F23" w:rsidRPr="00FD7CD4">
        <w:rPr>
          <w:rStyle w:val="FootnoteReference"/>
          <w:rFonts w:cstheme="minorHAnsi"/>
        </w:rPr>
        <w:footnoteReference w:id="5"/>
      </w:r>
      <w:r w:rsidR="00864F23" w:rsidRPr="00FD7CD4">
        <w:rPr>
          <w:rFonts w:cstheme="minorHAnsi"/>
        </w:rPr>
        <w:t xml:space="preserve"> </w:t>
      </w:r>
    </w:p>
    <w:p w14:paraId="5E9787ED" w14:textId="77777777" w:rsidR="00E94430" w:rsidRPr="00FD7CD4" w:rsidRDefault="00E94430" w:rsidP="00FD7CD4">
      <w:pPr>
        <w:spacing w:line="480" w:lineRule="auto"/>
        <w:rPr>
          <w:rFonts w:cstheme="minorHAnsi"/>
        </w:rPr>
      </w:pPr>
    </w:p>
    <w:p w14:paraId="0908F046" w14:textId="576C8CF3" w:rsidR="00E94430" w:rsidRPr="00FD7CD4" w:rsidRDefault="00E94430" w:rsidP="00FD7CD4">
      <w:pPr>
        <w:spacing w:line="480" w:lineRule="auto"/>
        <w:rPr>
          <w:rFonts w:cstheme="minorHAnsi"/>
        </w:rPr>
      </w:pPr>
      <w:r w:rsidRPr="00FD7CD4">
        <w:rPr>
          <w:rFonts w:cstheme="minorHAnsi"/>
        </w:rPr>
        <w:t>However, there is one issue with these written herbal texts, in that we cannot assume how often and when they were used by the common person.</w:t>
      </w:r>
      <w:r w:rsidR="00264B9A" w:rsidRPr="00FD7CD4">
        <w:rPr>
          <w:rStyle w:val="FootnoteReference"/>
          <w:rFonts w:cstheme="minorHAnsi"/>
        </w:rPr>
        <w:footnoteReference w:id="6"/>
      </w:r>
      <w:r w:rsidRPr="00FD7CD4">
        <w:rPr>
          <w:rFonts w:cstheme="minorHAnsi"/>
        </w:rPr>
        <w:t xml:space="preserve"> Medical collections would have been hard to come by, due to the nature of their existence and the period of study being before the invention of the printing press, the herbal would have to be handwritten and handbound, thus being incredibly expensive to the common layperson. </w:t>
      </w:r>
      <w:r w:rsidR="00264B9A" w:rsidRPr="00FD7CD4">
        <w:rPr>
          <w:rFonts w:cstheme="minorHAnsi"/>
        </w:rPr>
        <w:t xml:space="preserve">The surviving medical texts we have access to would have been preserved, most likely by the monastic houses of the country, and are unlikely to </w:t>
      </w:r>
      <w:r w:rsidR="00FE41B7" w:rsidRPr="00FD7CD4">
        <w:rPr>
          <w:rFonts w:cstheme="minorHAnsi"/>
        </w:rPr>
        <w:t>have been seen or used by anyone outside of the monastery, as it is unlikely the nobility had an interest in medicine, especially of the herbal kind</w:t>
      </w:r>
      <w:r w:rsidR="008865A9" w:rsidRPr="00FD7CD4">
        <w:rPr>
          <w:rFonts w:cstheme="minorHAnsi"/>
        </w:rPr>
        <w:t>,</w:t>
      </w:r>
      <w:r w:rsidR="00FE41B7" w:rsidRPr="00FD7CD4">
        <w:rPr>
          <w:rFonts w:cstheme="minorHAnsi"/>
        </w:rPr>
        <w:t xml:space="preserve"> as it was seen as the common person’s work. </w:t>
      </w:r>
      <w:r w:rsidR="008865A9" w:rsidRPr="00FD7CD4">
        <w:rPr>
          <w:rFonts w:cstheme="minorHAnsi"/>
        </w:rPr>
        <w:t xml:space="preserve">Furthermore, there is the </w:t>
      </w:r>
      <w:proofErr w:type="gramStart"/>
      <w:r w:rsidR="008865A9" w:rsidRPr="00FD7CD4">
        <w:rPr>
          <w:rFonts w:cstheme="minorHAnsi"/>
        </w:rPr>
        <w:t>hand-in-hand</w:t>
      </w:r>
      <w:proofErr w:type="gramEnd"/>
      <w:r w:rsidR="008865A9" w:rsidRPr="00FD7CD4">
        <w:rPr>
          <w:rFonts w:cstheme="minorHAnsi"/>
        </w:rPr>
        <w:t xml:space="preserve"> issue of who the twelfth century medical text was intended for. While we know, due to their phrasing and commentary, that the Latin translations of the majority of Hippocratic gynaecological texts were intended for and directed to the male audience, most likely in the stage of </w:t>
      </w:r>
      <w:r w:rsidR="008865A9" w:rsidRPr="00FD7CD4">
        <w:rPr>
          <w:rFonts w:cstheme="minorHAnsi"/>
        </w:rPr>
        <w:lastRenderedPageBreak/>
        <w:t>the medical school, can the same be said for the herbal texts?</w:t>
      </w:r>
      <w:r w:rsidR="008865A9" w:rsidRPr="00FD7CD4">
        <w:rPr>
          <w:rStyle w:val="FootnoteReference"/>
          <w:rFonts w:cstheme="minorHAnsi"/>
        </w:rPr>
        <w:footnoteReference w:id="7"/>
      </w:r>
      <w:r w:rsidR="008865A9" w:rsidRPr="00FD7CD4">
        <w:rPr>
          <w:rFonts w:cstheme="minorHAnsi"/>
        </w:rPr>
        <w:t xml:space="preserve"> </w:t>
      </w:r>
      <w:r w:rsidR="00AA09CC" w:rsidRPr="00FD7CD4">
        <w:rPr>
          <w:rFonts w:cstheme="minorHAnsi"/>
        </w:rPr>
        <w:t xml:space="preserve">While it is mostly unlikely, as herb medicine exists as a majority in the laity’s social sphere, there is the genuine possibility that these collections were gathered as a way of explaining and teaching herbal medicine as a concept within the medical school, or perhaps in the monastery. It is hard to say given our current body of evidence where these herbal texts were intended to go. </w:t>
      </w:r>
    </w:p>
    <w:p w14:paraId="4C77D160" w14:textId="77777777" w:rsidR="00CB5A21" w:rsidRPr="00FD7CD4" w:rsidRDefault="00CB5A21" w:rsidP="00FD7CD4">
      <w:pPr>
        <w:spacing w:line="480" w:lineRule="auto"/>
        <w:rPr>
          <w:rFonts w:cstheme="minorHAnsi"/>
          <w:b/>
          <w:bCs/>
        </w:rPr>
      </w:pPr>
    </w:p>
    <w:p w14:paraId="78FDABDA" w14:textId="1E8E1993" w:rsidR="00910719" w:rsidRPr="00FD7CD4" w:rsidRDefault="000A05D8" w:rsidP="00FD7CD4">
      <w:pPr>
        <w:spacing w:line="480" w:lineRule="auto"/>
        <w:rPr>
          <w:rFonts w:cstheme="minorHAnsi"/>
        </w:rPr>
      </w:pPr>
      <w:r w:rsidRPr="00FD7CD4">
        <w:rPr>
          <w:rFonts w:cstheme="minorHAnsi"/>
        </w:rPr>
        <w:t xml:space="preserve">Herbalism in the twelfth century </w:t>
      </w:r>
      <w:r w:rsidR="00920914" w:rsidRPr="00FD7CD4">
        <w:rPr>
          <w:rFonts w:cstheme="minorHAnsi"/>
        </w:rPr>
        <w:t xml:space="preserve">is socially confined mainly to two institutions, the common person working as a physician, and the infirmarians of the monasteries. </w:t>
      </w:r>
      <w:r w:rsidR="008631D4" w:rsidRPr="00FD7CD4">
        <w:rPr>
          <w:rFonts w:cstheme="minorHAnsi"/>
        </w:rPr>
        <w:t xml:space="preserve">The </w:t>
      </w:r>
      <w:r w:rsidR="00920914" w:rsidRPr="00FD7CD4">
        <w:rPr>
          <w:rFonts w:cstheme="minorHAnsi"/>
        </w:rPr>
        <w:t>m</w:t>
      </w:r>
      <w:r w:rsidR="008631D4" w:rsidRPr="00FD7CD4">
        <w:rPr>
          <w:rFonts w:cstheme="minorHAnsi"/>
        </w:rPr>
        <w:t>edical knowledge of the medieval period often originates from both generation-to-generation knowledge, showcased in the laity and its “popular” herbalism, and from medical texts derived from classical medical knowledge. These classical texts originated from southern Europe, around the Mediterranean Sea, and were passed through monastic institutions to the north.</w:t>
      </w:r>
      <w:r w:rsidR="008631D4" w:rsidRPr="00FD7CD4">
        <w:rPr>
          <w:rStyle w:val="FootnoteReference"/>
          <w:rFonts w:cstheme="minorHAnsi"/>
        </w:rPr>
        <w:footnoteReference w:id="8"/>
      </w:r>
      <w:r w:rsidR="008631D4" w:rsidRPr="00FD7CD4">
        <w:rPr>
          <w:rFonts w:cstheme="minorHAnsi"/>
        </w:rPr>
        <w:t xml:space="preserve"> As such, medicine and herbalism in the common people deviates from the surviving medical records such as instructional texts kept by the monasteries and later universities. </w:t>
      </w:r>
      <w:r w:rsidR="00191212" w:rsidRPr="00FD7CD4">
        <w:rPr>
          <w:rFonts w:cstheme="minorHAnsi"/>
        </w:rPr>
        <w:t>Her</w:t>
      </w:r>
      <w:r w:rsidR="00635690" w:rsidRPr="00FD7CD4">
        <w:rPr>
          <w:rFonts w:cstheme="minorHAnsi"/>
        </w:rPr>
        <w:t xml:space="preserve">balism </w:t>
      </w:r>
      <w:r w:rsidR="00920914" w:rsidRPr="00FD7CD4">
        <w:rPr>
          <w:rFonts w:cstheme="minorHAnsi"/>
        </w:rPr>
        <w:t xml:space="preserve">also </w:t>
      </w:r>
      <w:r w:rsidR="00635690" w:rsidRPr="00FD7CD4">
        <w:rPr>
          <w:rFonts w:cstheme="minorHAnsi"/>
        </w:rPr>
        <w:t>exists in the 12</w:t>
      </w:r>
      <w:r w:rsidR="00635690" w:rsidRPr="00FD7CD4">
        <w:rPr>
          <w:rFonts w:cstheme="minorHAnsi"/>
          <w:vertAlign w:val="superscript"/>
        </w:rPr>
        <w:t>th</w:t>
      </w:r>
      <w:r w:rsidR="00635690" w:rsidRPr="00FD7CD4">
        <w:rPr>
          <w:rFonts w:cstheme="minorHAnsi"/>
        </w:rPr>
        <w:t xml:space="preserve"> century as a form of “women’s work”, popular with the women of the laity.</w:t>
      </w:r>
      <w:r w:rsidR="00635690" w:rsidRPr="00FD7CD4">
        <w:rPr>
          <w:rStyle w:val="FootnoteReference"/>
          <w:rFonts w:cstheme="minorHAnsi"/>
        </w:rPr>
        <w:footnoteReference w:id="9"/>
      </w:r>
      <w:r w:rsidR="00635690" w:rsidRPr="00FD7CD4">
        <w:rPr>
          <w:rFonts w:cstheme="minorHAnsi"/>
        </w:rPr>
        <w:t xml:space="preserve"> </w:t>
      </w:r>
      <w:r w:rsidR="00C20609" w:rsidRPr="00FD7CD4">
        <w:rPr>
          <w:rFonts w:cstheme="minorHAnsi"/>
        </w:rPr>
        <w:t xml:space="preserve">References to women in medical practise, while uncommon, </w:t>
      </w:r>
      <w:r w:rsidR="00920914" w:rsidRPr="00FD7CD4">
        <w:rPr>
          <w:rFonts w:cstheme="minorHAnsi"/>
        </w:rPr>
        <w:t xml:space="preserve">do </w:t>
      </w:r>
      <w:r w:rsidR="00C20609" w:rsidRPr="00FD7CD4">
        <w:rPr>
          <w:rFonts w:cstheme="minorHAnsi"/>
        </w:rPr>
        <w:t>exist within a variety of legal records.</w:t>
      </w:r>
      <w:r w:rsidR="00C20609" w:rsidRPr="00FD7CD4">
        <w:rPr>
          <w:rStyle w:val="FootnoteReference"/>
          <w:rFonts w:cstheme="minorHAnsi"/>
        </w:rPr>
        <w:footnoteReference w:id="10"/>
      </w:r>
      <w:r w:rsidR="00C20609" w:rsidRPr="00FD7CD4">
        <w:rPr>
          <w:rFonts w:cstheme="minorHAnsi"/>
        </w:rPr>
        <w:t xml:space="preserve"> </w:t>
      </w:r>
    </w:p>
    <w:p w14:paraId="2F519B95" w14:textId="77777777" w:rsidR="000E0DBC" w:rsidRPr="00FD7CD4" w:rsidRDefault="000E0DBC" w:rsidP="00FD7CD4">
      <w:pPr>
        <w:spacing w:line="480" w:lineRule="auto"/>
        <w:rPr>
          <w:rFonts w:cstheme="minorHAnsi"/>
        </w:rPr>
      </w:pPr>
    </w:p>
    <w:p w14:paraId="30829F73" w14:textId="18B4CF4D" w:rsidR="005B59C9" w:rsidRPr="00FD7CD4" w:rsidRDefault="000E0DBC" w:rsidP="00FD7CD4">
      <w:pPr>
        <w:spacing w:line="480" w:lineRule="auto"/>
        <w:rPr>
          <w:rFonts w:cstheme="minorHAnsi"/>
        </w:rPr>
      </w:pPr>
      <w:r w:rsidRPr="00FD7CD4">
        <w:rPr>
          <w:rFonts w:cstheme="minorHAnsi"/>
        </w:rPr>
        <w:t>It is clear from the textual evidence available to us that</w:t>
      </w:r>
      <w:r w:rsidR="00C20609" w:rsidRPr="00FD7CD4">
        <w:rPr>
          <w:rFonts w:cstheme="minorHAnsi"/>
        </w:rPr>
        <w:t xml:space="preserve"> women’s engagement with the field of medicine declined further into the Medieval Period, with the more prominent medical practice being relegated to male physicians in monasteries and universities.</w:t>
      </w:r>
      <w:r w:rsidR="00C20609" w:rsidRPr="00FD7CD4">
        <w:rPr>
          <w:rStyle w:val="FootnoteReference"/>
          <w:rFonts w:cstheme="minorHAnsi"/>
        </w:rPr>
        <w:footnoteReference w:id="11"/>
      </w:r>
      <w:r w:rsidR="00C20609" w:rsidRPr="00FD7CD4">
        <w:rPr>
          <w:rFonts w:cstheme="minorHAnsi"/>
        </w:rPr>
        <w:t xml:space="preserve"> </w:t>
      </w:r>
      <w:r w:rsidR="009331AB" w:rsidRPr="00FD7CD4">
        <w:rPr>
          <w:rFonts w:cstheme="minorHAnsi"/>
        </w:rPr>
        <w:t xml:space="preserve">The twelfth century does </w:t>
      </w:r>
      <w:r w:rsidRPr="00FD7CD4">
        <w:rPr>
          <w:rFonts w:cstheme="minorHAnsi"/>
        </w:rPr>
        <w:t xml:space="preserve">however </w:t>
      </w:r>
      <w:r w:rsidR="009331AB" w:rsidRPr="00FD7CD4">
        <w:rPr>
          <w:rFonts w:cstheme="minorHAnsi"/>
        </w:rPr>
        <w:t xml:space="preserve">have the advantage of several medical texts authored by supposed female practising physicians. </w:t>
      </w:r>
      <w:r w:rsidR="003C18E8" w:rsidRPr="00FD7CD4">
        <w:rPr>
          <w:rFonts w:cstheme="minorHAnsi"/>
        </w:rPr>
        <w:t xml:space="preserve">Entries such as </w:t>
      </w:r>
      <w:r w:rsidR="003C18E8" w:rsidRPr="00FD7CD4">
        <w:rPr>
          <w:rFonts w:cstheme="minorHAnsi"/>
          <w:i/>
          <w:iCs/>
        </w:rPr>
        <w:t>The Trotula</w:t>
      </w:r>
      <w:r w:rsidR="003C18E8" w:rsidRPr="00FD7CD4">
        <w:rPr>
          <w:rFonts w:cstheme="minorHAnsi"/>
        </w:rPr>
        <w:t xml:space="preserve">, by the Salerno physician </w:t>
      </w:r>
      <w:proofErr w:type="spellStart"/>
      <w:r w:rsidR="003C18E8" w:rsidRPr="00FD7CD4">
        <w:rPr>
          <w:rFonts w:cstheme="minorHAnsi"/>
        </w:rPr>
        <w:t>Trota</w:t>
      </w:r>
      <w:proofErr w:type="spellEnd"/>
      <w:r w:rsidR="003C18E8" w:rsidRPr="00FD7CD4">
        <w:rPr>
          <w:rFonts w:cstheme="minorHAnsi"/>
        </w:rPr>
        <w:t xml:space="preserve">, or Hildegard of </w:t>
      </w:r>
      <w:proofErr w:type="spellStart"/>
      <w:r w:rsidR="003C18E8" w:rsidRPr="00FD7CD4">
        <w:rPr>
          <w:rFonts w:cstheme="minorHAnsi"/>
        </w:rPr>
        <w:t>Bingen’s</w:t>
      </w:r>
      <w:proofErr w:type="spellEnd"/>
      <w:r w:rsidR="003C18E8" w:rsidRPr="00FD7CD4">
        <w:rPr>
          <w:rFonts w:cstheme="minorHAnsi"/>
        </w:rPr>
        <w:t xml:space="preserve"> </w:t>
      </w:r>
      <w:proofErr w:type="spellStart"/>
      <w:r w:rsidR="003C18E8" w:rsidRPr="00FD7CD4">
        <w:rPr>
          <w:rFonts w:cstheme="minorHAnsi"/>
          <w:i/>
          <w:iCs/>
        </w:rPr>
        <w:t>Physica</w:t>
      </w:r>
      <w:proofErr w:type="spellEnd"/>
      <w:r w:rsidR="003C18E8" w:rsidRPr="00FD7CD4">
        <w:rPr>
          <w:rFonts w:cstheme="minorHAnsi"/>
        </w:rPr>
        <w:t xml:space="preserve"> and </w:t>
      </w:r>
      <w:proofErr w:type="spellStart"/>
      <w:r w:rsidR="003C18E8" w:rsidRPr="00FD7CD4">
        <w:rPr>
          <w:rFonts w:cstheme="minorHAnsi"/>
          <w:i/>
          <w:iCs/>
        </w:rPr>
        <w:lastRenderedPageBreak/>
        <w:t>Causae</w:t>
      </w:r>
      <w:proofErr w:type="spellEnd"/>
      <w:r w:rsidR="003C18E8" w:rsidRPr="00FD7CD4">
        <w:rPr>
          <w:rFonts w:cstheme="minorHAnsi"/>
          <w:i/>
          <w:iCs/>
        </w:rPr>
        <w:t xml:space="preserve"> et Curae</w:t>
      </w:r>
      <w:r w:rsidR="003C18E8" w:rsidRPr="00FD7CD4">
        <w:rPr>
          <w:rFonts w:cstheme="minorHAnsi"/>
        </w:rPr>
        <w:t xml:space="preserve"> are some of our best insights for the world of twelfth century medicine and the role it plays in women’s lives. However, there are some problems with these insights, as there are with any documentary evidence source. To begin, </w:t>
      </w:r>
      <w:proofErr w:type="spellStart"/>
      <w:r w:rsidR="003C18E8" w:rsidRPr="00FD7CD4">
        <w:rPr>
          <w:rFonts w:cstheme="minorHAnsi"/>
        </w:rPr>
        <w:t>Trota</w:t>
      </w:r>
      <w:proofErr w:type="spellEnd"/>
      <w:r w:rsidR="003C18E8" w:rsidRPr="00FD7CD4">
        <w:rPr>
          <w:rFonts w:cstheme="minorHAnsi"/>
        </w:rPr>
        <w:t xml:space="preserve"> of Salerno as a figure is problematic, due in part to the nature of her work and our uncertainty of her figure. While the Trotula is attributed to a physician named </w:t>
      </w:r>
      <w:proofErr w:type="spellStart"/>
      <w:r w:rsidR="003C18E8" w:rsidRPr="00FD7CD4">
        <w:rPr>
          <w:rFonts w:cstheme="minorHAnsi"/>
        </w:rPr>
        <w:t>Trota</w:t>
      </w:r>
      <w:proofErr w:type="spellEnd"/>
      <w:r w:rsidR="003C18E8" w:rsidRPr="00FD7CD4">
        <w:rPr>
          <w:rFonts w:cstheme="minorHAnsi"/>
        </w:rPr>
        <w:t>, this attribution is uncertain and comes from an unsteady source. Indeed, there have been many debates on who wrote the Trotula, with some suggesting a woman named ‘</w:t>
      </w:r>
      <w:proofErr w:type="spellStart"/>
      <w:r w:rsidR="003C18E8" w:rsidRPr="00FD7CD4">
        <w:rPr>
          <w:rFonts w:cstheme="minorHAnsi"/>
        </w:rPr>
        <w:t>Trota</w:t>
      </w:r>
      <w:proofErr w:type="spellEnd"/>
      <w:r w:rsidR="003C18E8" w:rsidRPr="00FD7CD4">
        <w:rPr>
          <w:rFonts w:cstheme="minorHAnsi"/>
        </w:rPr>
        <w:t xml:space="preserve"> of Salerno’, also referred to as Trotula de </w:t>
      </w:r>
      <w:proofErr w:type="spellStart"/>
      <w:r w:rsidR="003C18E8" w:rsidRPr="00FD7CD4">
        <w:rPr>
          <w:rFonts w:cstheme="minorHAnsi"/>
        </w:rPr>
        <w:t>Ruggerio</w:t>
      </w:r>
      <w:proofErr w:type="spellEnd"/>
      <w:r w:rsidR="003C18E8" w:rsidRPr="00FD7CD4">
        <w:rPr>
          <w:rFonts w:cstheme="minorHAnsi"/>
        </w:rPr>
        <w:t xml:space="preserve">, who was descended supposedly from Roger of Parma and married to John </w:t>
      </w:r>
      <w:proofErr w:type="spellStart"/>
      <w:r w:rsidR="003C18E8" w:rsidRPr="00FD7CD4">
        <w:rPr>
          <w:rFonts w:cstheme="minorHAnsi"/>
        </w:rPr>
        <w:t>Platerius</w:t>
      </w:r>
      <w:proofErr w:type="spellEnd"/>
      <w:r w:rsidR="003C18E8" w:rsidRPr="00FD7CD4">
        <w:rPr>
          <w:rFonts w:cstheme="minorHAnsi"/>
        </w:rPr>
        <w:t>, who was another physician.</w:t>
      </w:r>
      <w:r w:rsidR="003C18E8" w:rsidRPr="00FD7CD4">
        <w:rPr>
          <w:rStyle w:val="FootnoteReference"/>
          <w:rFonts w:cstheme="minorHAnsi"/>
        </w:rPr>
        <w:footnoteReference w:id="12"/>
      </w:r>
      <w:r w:rsidR="003C18E8" w:rsidRPr="00FD7CD4">
        <w:rPr>
          <w:rFonts w:cstheme="minorHAnsi"/>
        </w:rPr>
        <w:t xml:space="preserve"> Others </w:t>
      </w:r>
      <w:r w:rsidR="005614EA" w:rsidRPr="00FD7CD4">
        <w:rPr>
          <w:rFonts w:cstheme="minorHAnsi"/>
        </w:rPr>
        <w:t xml:space="preserve">argue that the Trotula was written by a male scholar, a council of physicians working at Salerno’s medical school, or that </w:t>
      </w:r>
      <w:proofErr w:type="spellStart"/>
      <w:r w:rsidR="005614EA" w:rsidRPr="00FD7CD4">
        <w:rPr>
          <w:rFonts w:cstheme="minorHAnsi"/>
        </w:rPr>
        <w:t>Trota</w:t>
      </w:r>
      <w:proofErr w:type="spellEnd"/>
      <w:r w:rsidR="005614EA" w:rsidRPr="00FD7CD4">
        <w:rPr>
          <w:rFonts w:cstheme="minorHAnsi"/>
        </w:rPr>
        <w:t xml:space="preserve"> was a made-up anecdote for another text, </w:t>
      </w:r>
      <w:proofErr w:type="spellStart"/>
      <w:r w:rsidR="005614EA" w:rsidRPr="00FD7CD4">
        <w:rPr>
          <w:rFonts w:cstheme="minorHAnsi"/>
          <w:i/>
          <w:iCs/>
        </w:rPr>
        <w:t>Ornatus</w:t>
      </w:r>
      <w:proofErr w:type="spellEnd"/>
      <w:r w:rsidR="005614EA" w:rsidRPr="00FD7CD4">
        <w:rPr>
          <w:rFonts w:cstheme="minorHAnsi"/>
          <w:i/>
          <w:iCs/>
        </w:rPr>
        <w:t xml:space="preserve"> </w:t>
      </w:r>
      <w:proofErr w:type="spellStart"/>
      <w:r w:rsidR="005614EA" w:rsidRPr="00FD7CD4">
        <w:rPr>
          <w:rFonts w:cstheme="minorHAnsi"/>
          <w:i/>
          <w:iCs/>
        </w:rPr>
        <w:t>mulierum</w:t>
      </w:r>
      <w:proofErr w:type="spellEnd"/>
      <w:r w:rsidR="005614EA" w:rsidRPr="00FD7CD4">
        <w:rPr>
          <w:rFonts w:cstheme="minorHAnsi"/>
          <w:i/>
          <w:iCs/>
        </w:rPr>
        <w:t xml:space="preserve"> </w:t>
      </w:r>
      <w:r w:rsidR="005614EA" w:rsidRPr="00FD7CD4">
        <w:rPr>
          <w:rFonts w:cstheme="minorHAnsi"/>
        </w:rPr>
        <w:t>(On the Adornment of Women), written in the 13</w:t>
      </w:r>
      <w:r w:rsidR="005614EA" w:rsidRPr="00FD7CD4">
        <w:rPr>
          <w:rFonts w:cstheme="minorHAnsi"/>
          <w:vertAlign w:val="superscript"/>
        </w:rPr>
        <w:t>th</w:t>
      </w:r>
      <w:r w:rsidR="005614EA" w:rsidRPr="00FD7CD4">
        <w:rPr>
          <w:rFonts w:cstheme="minorHAnsi"/>
        </w:rPr>
        <w:t xml:space="preserve"> century which references a ‘Dame </w:t>
      </w:r>
      <w:proofErr w:type="spellStart"/>
      <w:r w:rsidR="005614EA" w:rsidRPr="00FD7CD4">
        <w:rPr>
          <w:rFonts w:cstheme="minorHAnsi"/>
        </w:rPr>
        <w:t>Trote</w:t>
      </w:r>
      <w:proofErr w:type="spellEnd"/>
      <w:r w:rsidR="005614EA" w:rsidRPr="00FD7CD4">
        <w:rPr>
          <w:rFonts w:cstheme="minorHAnsi"/>
        </w:rPr>
        <w:t>’ twelve separate times.</w:t>
      </w:r>
      <w:r w:rsidR="005614EA" w:rsidRPr="00FD7CD4">
        <w:rPr>
          <w:rStyle w:val="FootnoteReference"/>
          <w:rFonts w:cstheme="minorHAnsi"/>
        </w:rPr>
        <w:footnoteReference w:id="13"/>
      </w:r>
      <w:r w:rsidR="00F42CBC" w:rsidRPr="00FD7CD4">
        <w:rPr>
          <w:rFonts w:cstheme="minorHAnsi"/>
        </w:rPr>
        <w:t xml:space="preserve"> </w:t>
      </w:r>
      <w:r w:rsidR="005B59C9" w:rsidRPr="00FD7CD4">
        <w:rPr>
          <w:rFonts w:cstheme="minorHAnsi"/>
        </w:rPr>
        <w:t xml:space="preserve">Furthermore, the Trotula does describe remedies for ailments that would be extremely hard to procure for the common English layperson. It is very likely that the Trotula was written for a specific sect of people, namely those living in Salerno, or perhaps just Italy or around the Mediterranean, and for those who could afford the ingredients described in </w:t>
      </w:r>
      <w:proofErr w:type="spellStart"/>
      <w:r w:rsidR="005B59C9" w:rsidRPr="00FD7CD4">
        <w:rPr>
          <w:rFonts w:cstheme="minorHAnsi"/>
        </w:rPr>
        <w:t>Trotula’s</w:t>
      </w:r>
      <w:proofErr w:type="spellEnd"/>
      <w:r w:rsidR="005B59C9" w:rsidRPr="00FD7CD4">
        <w:rPr>
          <w:rFonts w:cstheme="minorHAnsi"/>
        </w:rPr>
        <w:t xml:space="preserve"> cures. Therefore, it is hard to connect the Trotula to both England and the Church, the themes discussed in this essay. Hildegard of </w:t>
      </w:r>
      <w:proofErr w:type="spellStart"/>
      <w:r w:rsidR="005B59C9" w:rsidRPr="00FD7CD4">
        <w:rPr>
          <w:rFonts w:cstheme="minorHAnsi"/>
        </w:rPr>
        <w:t>Bingen</w:t>
      </w:r>
      <w:proofErr w:type="spellEnd"/>
      <w:r w:rsidR="005B59C9" w:rsidRPr="00FD7CD4">
        <w:rPr>
          <w:rFonts w:cstheme="minorHAnsi"/>
        </w:rPr>
        <w:t xml:space="preserve">, on the other hand, </w:t>
      </w:r>
      <w:r w:rsidRPr="00FD7CD4">
        <w:rPr>
          <w:rFonts w:cstheme="minorHAnsi"/>
        </w:rPr>
        <w:t xml:space="preserve">developed an extensive herbarium within her </w:t>
      </w:r>
      <w:proofErr w:type="spellStart"/>
      <w:r w:rsidRPr="00FD7CD4">
        <w:rPr>
          <w:rFonts w:cstheme="minorHAnsi"/>
          <w:i/>
          <w:iCs/>
        </w:rPr>
        <w:t>Physica</w:t>
      </w:r>
      <w:proofErr w:type="spellEnd"/>
      <w:r w:rsidRPr="00FD7CD4">
        <w:rPr>
          <w:rFonts w:cstheme="minorHAnsi"/>
        </w:rPr>
        <w:t xml:space="preserve"> work, and is a well-known figure of the twelfth century. Therefore, she exists and can be used as an example of herbal medicine existing within the secular laity, even though she herself was a member of the nobility.</w:t>
      </w:r>
      <w:r w:rsidRPr="00FD7CD4">
        <w:rPr>
          <w:rStyle w:val="FootnoteReference"/>
          <w:rFonts w:cstheme="minorHAnsi"/>
        </w:rPr>
        <w:footnoteReference w:id="14"/>
      </w:r>
      <w:r w:rsidRPr="00FD7CD4">
        <w:rPr>
          <w:rFonts w:cstheme="minorHAnsi"/>
        </w:rPr>
        <w:t xml:space="preserve"> </w:t>
      </w:r>
      <w:r w:rsidR="00D64325" w:rsidRPr="00FD7CD4">
        <w:rPr>
          <w:rFonts w:cstheme="minorHAnsi"/>
        </w:rPr>
        <w:t>Furthermore, o</w:t>
      </w:r>
      <w:r w:rsidR="005B59C9" w:rsidRPr="00FD7CD4">
        <w:rPr>
          <w:rFonts w:cstheme="minorHAnsi"/>
        </w:rPr>
        <w:t xml:space="preserve">ne figure that connects these two themes of Women and the Church is Elizabeth of Hungary. </w:t>
      </w:r>
      <w:r w:rsidR="00B312AF" w:rsidRPr="00FD7CD4">
        <w:rPr>
          <w:rFonts w:cstheme="minorHAnsi"/>
        </w:rPr>
        <w:t>Deemed a saint by the church, she is described by the author Caxton as both a ‘chamberer’ and a ‘hospitaller’, a common term used to denote religious people dedicated to caring for the sick. Caxton was working on English translations in the 15</w:t>
      </w:r>
      <w:r w:rsidR="00B312AF" w:rsidRPr="00FD7CD4">
        <w:rPr>
          <w:rFonts w:cstheme="minorHAnsi"/>
          <w:vertAlign w:val="superscript"/>
        </w:rPr>
        <w:t>th</w:t>
      </w:r>
      <w:r w:rsidR="00B312AF" w:rsidRPr="00FD7CD4">
        <w:rPr>
          <w:rFonts w:cstheme="minorHAnsi"/>
        </w:rPr>
        <w:t xml:space="preserve"> century, and he seems in his work to be uncomfortable with Elizabeth undermining both her aristocratic status, and with what he perceives </w:t>
      </w:r>
      <w:r w:rsidR="00B312AF" w:rsidRPr="00FD7CD4">
        <w:rPr>
          <w:rFonts w:cstheme="minorHAnsi"/>
        </w:rPr>
        <w:lastRenderedPageBreak/>
        <w:t>to be a ‘low role’ as a nurse, and thus he elevates her to the title of hospitaller.</w:t>
      </w:r>
      <w:r w:rsidR="00B312AF" w:rsidRPr="00FD7CD4">
        <w:rPr>
          <w:rStyle w:val="FootnoteReference"/>
          <w:rFonts w:cstheme="minorHAnsi"/>
        </w:rPr>
        <w:footnoteReference w:id="15"/>
      </w:r>
      <w:r w:rsidR="00B312AF" w:rsidRPr="00FD7CD4">
        <w:rPr>
          <w:rFonts w:cstheme="minorHAnsi"/>
        </w:rPr>
        <w:t xml:space="preserve"> This highlights the development of medicine, shifting from a feminine role allocated to the practitioner in the laity and to the infirmarian in the monastery, to the masculine role of the medical school and the university. </w:t>
      </w:r>
    </w:p>
    <w:p w14:paraId="6915239C" w14:textId="77777777" w:rsidR="00910719" w:rsidRPr="00FD7CD4" w:rsidRDefault="00910719" w:rsidP="00FD7CD4">
      <w:pPr>
        <w:spacing w:line="480" w:lineRule="auto"/>
        <w:rPr>
          <w:rFonts w:cstheme="minorHAnsi"/>
        </w:rPr>
      </w:pPr>
    </w:p>
    <w:p w14:paraId="6BBBAB86" w14:textId="6864E80A" w:rsidR="0039284E" w:rsidRPr="00FD7CD4" w:rsidRDefault="003C18E8" w:rsidP="00FD7CD4">
      <w:pPr>
        <w:spacing w:line="480" w:lineRule="auto"/>
        <w:rPr>
          <w:rFonts w:cstheme="minorHAnsi"/>
        </w:rPr>
      </w:pPr>
      <w:r w:rsidRPr="00FD7CD4">
        <w:rPr>
          <w:rFonts w:cstheme="minorHAnsi"/>
        </w:rPr>
        <w:t xml:space="preserve">The role of herbal medicine within the institution of the church is simultaneously harder and easier to define than within the secular lay-peoples. </w:t>
      </w:r>
      <w:r w:rsidR="004D0A21" w:rsidRPr="00FD7CD4">
        <w:rPr>
          <w:rFonts w:cstheme="minorHAnsi"/>
        </w:rPr>
        <w:t>The twelfth century Church</w:t>
      </w:r>
      <w:r w:rsidR="009753C9" w:rsidRPr="00FD7CD4">
        <w:rPr>
          <w:rFonts w:cstheme="minorHAnsi"/>
        </w:rPr>
        <w:t xml:space="preserve"> did</w:t>
      </w:r>
      <w:r w:rsidR="004D0A21" w:rsidRPr="00FD7CD4">
        <w:rPr>
          <w:rFonts w:cstheme="minorHAnsi"/>
        </w:rPr>
        <w:t xml:space="preserve"> </w:t>
      </w:r>
      <w:r w:rsidR="0039284E" w:rsidRPr="00FD7CD4">
        <w:rPr>
          <w:rFonts w:cstheme="minorHAnsi"/>
        </w:rPr>
        <w:t>support</w:t>
      </w:r>
      <w:r w:rsidR="009753C9" w:rsidRPr="00FD7CD4">
        <w:rPr>
          <w:rFonts w:cstheme="minorHAnsi"/>
        </w:rPr>
        <w:t xml:space="preserve"> </w:t>
      </w:r>
      <w:r w:rsidR="0039284E" w:rsidRPr="00FD7CD4">
        <w:rPr>
          <w:rFonts w:cstheme="minorHAnsi"/>
        </w:rPr>
        <w:t>and continue the practice of herbalism as medicine</w:t>
      </w:r>
      <w:r w:rsidR="009753C9" w:rsidRPr="00FD7CD4">
        <w:rPr>
          <w:rFonts w:cstheme="minorHAnsi"/>
        </w:rPr>
        <w:t xml:space="preserve"> through its prolonging of classical and modern herbal texts through </w:t>
      </w:r>
      <w:r w:rsidR="0039284E" w:rsidRPr="00FD7CD4">
        <w:rPr>
          <w:rFonts w:cstheme="minorHAnsi"/>
        </w:rPr>
        <w:t xml:space="preserve">the </w:t>
      </w:r>
      <w:r w:rsidR="005142F7" w:rsidRPr="00FD7CD4">
        <w:rPr>
          <w:rFonts w:cstheme="minorHAnsi"/>
        </w:rPr>
        <w:t xml:space="preserve">copying, transcribing, and adding to classical </w:t>
      </w:r>
      <w:r w:rsidR="00465B21" w:rsidRPr="00FD7CD4">
        <w:rPr>
          <w:rFonts w:cstheme="minorHAnsi"/>
        </w:rPr>
        <w:t xml:space="preserve">medical texts that they </w:t>
      </w:r>
      <w:r w:rsidR="009753C9" w:rsidRPr="00FD7CD4">
        <w:rPr>
          <w:rFonts w:cstheme="minorHAnsi"/>
        </w:rPr>
        <w:t xml:space="preserve">did </w:t>
      </w:r>
      <w:r w:rsidR="00465B21" w:rsidRPr="00FD7CD4">
        <w:rPr>
          <w:rFonts w:cstheme="minorHAnsi"/>
        </w:rPr>
        <w:t>have access to</w:t>
      </w:r>
      <w:r w:rsidR="009753C9" w:rsidRPr="00FD7CD4">
        <w:rPr>
          <w:rFonts w:cstheme="minorHAnsi"/>
        </w:rPr>
        <w:t xml:space="preserve"> and responsibility over</w:t>
      </w:r>
      <w:r w:rsidR="00465B21" w:rsidRPr="00FD7CD4">
        <w:rPr>
          <w:rFonts w:cstheme="minorHAnsi"/>
        </w:rPr>
        <w:t>.</w:t>
      </w:r>
      <w:r w:rsidR="00465B21" w:rsidRPr="00FD7CD4">
        <w:rPr>
          <w:rStyle w:val="FootnoteReference"/>
          <w:rFonts w:cstheme="minorHAnsi"/>
        </w:rPr>
        <w:footnoteReference w:id="16"/>
      </w:r>
      <w:r w:rsidR="00465B21" w:rsidRPr="00FD7CD4">
        <w:rPr>
          <w:rFonts w:cstheme="minorHAnsi"/>
        </w:rPr>
        <w:t xml:space="preserve"> </w:t>
      </w:r>
      <w:r w:rsidR="009753C9" w:rsidRPr="00FD7CD4">
        <w:rPr>
          <w:rFonts w:cstheme="minorHAnsi"/>
        </w:rPr>
        <w:t xml:space="preserve">Furthermore, the practice of both herbal medicine and surgery was promoted within the church due to its infirmaries. </w:t>
      </w:r>
      <w:r w:rsidR="00695E24" w:rsidRPr="00FD7CD4">
        <w:rPr>
          <w:rFonts w:cstheme="minorHAnsi"/>
        </w:rPr>
        <w:t>However, it has been argued that the main purpose of providing this care was not the continuation of traditional practices or the treatment of the sick, but rather to allow the inhabitants of the monastery to perform acts of charity through the act of healing those who could not care for themselves.</w:t>
      </w:r>
      <w:r w:rsidR="00695E24" w:rsidRPr="00FD7CD4">
        <w:rPr>
          <w:rStyle w:val="FootnoteReference"/>
          <w:rFonts w:cstheme="minorHAnsi"/>
        </w:rPr>
        <w:footnoteReference w:id="17"/>
      </w:r>
      <w:r w:rsidR="00695E24" w:rsidRPr="00FD7CD4">
        <w:rPr>
          <w:rFonts w:cstheme="minorHAnsi"/>
        </w:rPr>
        <w:t xml:space="preserve"> However, there are contradictions within our sources. While it is known that nuns practiced medicine, one set of rules for the nuns of Syon Abbey, in Surrey, stated that the </w:t>
      </w:r>
      <w:proofErr w:type="spellStart"/>
      <w:r w:rsidR="00695E24" w:rsidRPr="00FD7CD4">
        <w:rPr>
          <w:rFonts w:cstheme="minorHAnsi"/>
        </w:rPr>
        <w:t>infirmaress</w:t>
      </w:r>
      <w:proofErr w:type="spellEnd"/>
      <w:r w:rsidR="00695E24" w:rsidRPr="00FD7CD4">
        <w:rPr>
          <w:rFonts w:cstheme="minorHAnsi"/>
        </w:rPr>
        <w:t xml:space="preserve"> must tend to the needs of the sick as per the instructions of physicians.</w:t>
      </w:r>
      <w:r w:rsidR="00695E24" w:rsidRPr="00FD7CD4">
        <w:rPr>
          <w:rStyle w:val="FootnoteReference"/>
          <w:rFonts w:cstheme="minorHAnsi"/>
        </w:rPr>
        <w:footnoteReference w:id="18"/>
      </w:r>
      <w:r w:rsidR="00695E24" w:rsidRPr="00FD7CD4">
        <w:rPr>
          <w:rFonts w:cstheme="minorHAnsi"/>
        </w:rPr>
        <w:t xml:space="preserve"> Whether this means medicine can be practiced unaided is unclear, and while this is from the 15</w:t>
      </w:r>
      <w:r w:rsidR="00695E24" w:rsidRPr="00FD7CD4">
        <w:rPr>
          <w:rFonts w:cstheme="minorHAnsi"/>
          <w:vertAlign w:val="superscript"/>
        </w:rPr>
        <w:t>th</w:t>
      </w:r>
      <w:r w:rsidR="00695E24" w:rsidRPr="00FD7CD4">
        <w:rPr>
          <w:rFonts w:cstheme="minorHAnsi"/>
        </w:rPr>
        <w:t xml:space="preserve"> century, </w:t>
      </w:r>
      <w:r w:rsidR="00087060" w:rsidRPr="00FD7CD4">
        <w:rPr>
          <w:rFonts w:cstheme="minorHAnsi"/>
        </w:rPr>
        <w:t>it is not hard to imagine it stemming back to the 12</w:t>
      </w:r>
      <w:r w:rsidR="00087060" w:rsidRPr="00FD7CD4">
        <w:rPr>
          <w:rFonts w:cstheme="minorHAnsi"/>
          <w:vertAlign w:val="superscript"/>
        </w:rPr>
        <w:t>th</w:t>
      </w:r>
      <w:r w:rsidR="00087060" w:rsidRPr="00FD7CD4">
        <w:rPr>
          <w:rFonts w:cstheme="minorHAnsi"/>
        </w:rPr>
        <w:t xml:space="preserve"> century. </w:t>
      </w:r>
      <w:r w:rsidR="00CB5A21" w:rsidRPr="00FD7CD4">
        <w:rPr>
          <w:rFonts w:cstheme="minorHAnsi"/>
        </w:rPr>
        <w:t>Furthermore, religious houses of the 15</w:t>
      </w:r>
      <w:r w:rsidR="00CB5A21" w:rsidRPr="00FD7CD4">
        <w:rPr>
          <w:rFonts w:cstheme="minorHAnsi"/>
          <w:vertAlign w:val="superscript"/>
        </w:rPr>
        <w:t>th</w:t>
      </w:r>
      <w:r w:rsidR="00CB5A21" w:rsidRPr="00FD7CD4">
        <w:rPr>
          <w:rFonts w:cstheme="minorHAnsi"/>
        </w:rPr>
        <w:t xml:space="preserve"> century often paid independent medical practitioners for their assistance, adding further to the contradictions presented by the sources.</w:t>
      </w:r>
      <w:r w:rsidR="00CB5A21" w:rsidRPr="00FD7CD4">
        <w:rPr>
          <w:rStyle w:val="FootnoteReference"/>
          <w:rFonts w:cstheme="minorHAnsi"/>
        </w:rPr>
        <w:footnoteReference w:id="19"/>
      </w:r>
      <w:r w:rsidR="00CB5A21" w:rsidRPr="00FD7CD4">
        <w:rPr>
          <w:rFonts w:cstheme="minorHAnsi"/>
        </w:rPr>
        <w:t xml:space="preserve"> This could simply be a stipulation relating to the transfer of societal medical duties from feminine to masculine, or a reflection of a change in religious ruling, either way it is uncertain what it means for the idea of the nun in medicine. Furthermore</w:t>
      </w:r>
      <w:r w:rsidR="0039284E" w:rsidRPr="00FD7CD4">
        <w:rPr>
          <w:rFonts w:cstheme="minorHAnsi"/>
        </w:rPr>
        <w:t xml:space="preserve">, </w:t>
      </w:r>
      <w:r w:rsidR="00D505FF" w:rsidRPr="00FD7CD4">
        <w:rPr>
          <w:rFonts w:cstheme="minorHAnsi"/>
        </w:rPr>
        <w:t xml:space="preserve">the church itself had some views on illness and treatment that are </w:t>
      </w:r>
      <w:r w:rsidR="00D505FF" w:rsidRPr="00FD7CD4">
        <w:rPr>
          <w:rFonts w:cstheme="minorHAnsi"/>
        </w:rPr>
        <w:lastRenderedPageBreak/>
        <w:t>not passed along to the modern day. For example, physical illness in this period was associated with sinfulness.</w:t>
      </w:r>
      <w:r w:rsidR="00D505FF" w:rsidRPr="00FD7CD4">
        <w:rPr>
          <w:rStyle w:val="FootnoteReference"/>
          <w:rFonts w:cstheme="minorHAnsi"/>
        </w:rPr>
        <w:footnoteReference w:id="20"/>
      </w:r>
      <w:r w:rsidR="00A557E9" w:rsidRPr="00FD7CD4">
        <w:rPr>
          <w:rFonts w:cstheme="minorHAnsi"/>
        </w:rPr>
        <w:t xml:space="preserve"> </w:t>
      </w:r>
      <w:r w:rsidR="00CB5A21" w:rsidRPr="00FD7CD4">
        <w:rPr>
          <w:rFonts w:cstheme="minorHAnsi"/>
        </w:rPr>
        <w:t xml:space="preserve">While </w:t>
      </w:r>
      <w:proofErr w:type="gramStart"/>
      <w:r w:rsidR="00CB5A21" w:rsidRPr="00FD7CD4">
        <w:rPr>
          <w:rFonts w:cstheme="minorHAnsi"/>
        </w:rPr>
        <w:t>this ties</w:t>
      </w:r>
      <w:proofErr w:type="gramEnd"/>
      <w:r w:rsidR="00CB5A21" w:rsidRPr="00FD7CD4">
        <w:rPr>
          <w:rFonts w:cstheme="minorHAnsi"/>
        </w:rPr>
        <w:t xml:space="preserve"> in to the ideas of medicine as an exercise in charity over care, it is uncertain what kind of implication this idea would have on the monastery, and society in the twelfth century as a whole. </w:t>
      </w:r>
    </w:p>
    <w:p w14:paraId="1FE7E6CD" w14:textId="77777777" w:rsidR="00CB5A21" w:rsidRPr="00FD7CD4" w:rsidRDefault="00CB5A21" w:rsidP="00FD7CD4">
      <w:pPr>
        <w:spacing w:line="480" w:lineRule="auto"/>
        <w:rPr>
          <w:rFonts w:cstheme="minorHAnsi"/>
        </w:rPr>
      </w:pPr>
    </w:p>
    <w:p w14:paraId="6DFBA8FD" w14:textId="0226A72C" w:rsidR="00864F23" w:rsidRPr="00FD7CD4" w:rsidRDefault="00864F23" w:rsidP="00FD7CD4">
      <w:pPr>
        <w:spacing w:line="480" w:lineRule="auto"/>
        <w:rPr>
          <w:rFonts w:cstheme="minorHAnsi"/>
          <w:b/>
          <w:bCs/>
        </w:rPr>
      </w:pPr>
      <w:r w:rsidRPr="00FD7CD4">
        <w:rPr>
          <w:rFonts w:cstheme="minorHAnsi"/>
        </w:rPr>
        <w:t xml:space="preserve">Our understanding of the twelfth century medieval medical world is still quite limited. While we have some surviving medical texts prior to the 1000s, and more from the 1400s onwards, it is still not quite enough to get a complete picture of the medical knowledge available to the practitioner during this period. While we know that medical schools such as Salerno were most likely operating during this time as well, </w:t>
      </w:r>
      <w:proofErr w:type="gramStart"/>
      <w:r w:rsidRPr="00FD7CD4">
        <w:rPr>
          <w:rFonts w:cstheme="minorHAnsi"/>
        </w:rPr>
        <w:t>the majority of</w:t>
      </w:r>
      <w:proofErr w:type="gramEnd"/>
      <w:r w:rsidRPr="00FD7CD4">
        <w:rPr>
          <w:rFonts w:cstheme="minorHAnsi"/>
        </w:rPr>
        <w:t xml:space="preserve"> documentary evidence comes from much later in the medieval period. Furthermore, any image of the infirmarian nun, operating from her priory in twelfth century England is also hard to understand, due to how little evidence we </w:t>
      </w:r>
      <w:proofErr w:type="gramStart"/>
      <w:r w:rsidRPr="00FD7CD4">
        <w:rPr>
          <w:rFonts w:cstheme="minorHAnsi"/>
        </w:rPr>
        <w:t>have to</w:t>
      </w:r>
      <w:proofErr w:type="gramEnd"/>
      <w:r w:rsidRPr="00FD7CD4">
        <w:rPr>
          <w:rFonts w:cstheme="minorHAnsi"/>
        </w:rPr>
        <w:t xml:space="preserve"> work with. </w:t>
      </w:r>
    </w:p>
    <w:p w14:paraId="08417BD7" w14:textId="77777777" w:rsidR="00864F23" w:rsidRPr="00FD7CD4" w:rsidRDefault="00864F23" w:rsidP="00FD7CD4">
      <w:pPr>
        <w:spacing w:line="480" w:lineRule="auto"/>
        <w:rPr>
          <w:rFonts w:cstheme="minorHAnsi"/>
        </w:rPr>
      </w:pPr>
    </w:p>
    <w:p w14:paraId="222A6C9C" w14:textId="61C01DC3" w:rsidR="00B977B6" w:rsidRPr="00FD7CD4" w:rsidRDefault="00864F23" w:rsidP="00FD7CD4">
      <w:pPr>
        <w:spacing w:line="480" w:lineRule="auto"/>
        <w:rPr>
          <w:rFonts w:cstheme="minorHAnsi"/>
        </w:rPr>
      </w:pPr>
      <w:r w:rsidRPr="00FD7CD4">
        <w:rPr>
          <w:rFonts w:cstheme="minorHAnsi"/>
        </w:rPr>
        <w:t xml:space="preserve">However, this is not to say that we cannot explore the theoretical layout of the medical world in the twelfth century. </w:t>
      </w:r>
      <w:r w:rsidR="00B26CD6" w:rsidRPr="00FD7CD4">
        <w:rPr>
          <w:rFonts w:cstheme="minorHAnsi"/>
        </w:rPr>
        <w:t xml:space="preserve">Using what </w:t>
      </w:r>
      <w:proofErr w:type="gramStart"/>
      <w:r w:rsidR="00B26CD6" w:rsidRPr="00FD7CD4">
        <w:rPr>
          <w:rFonts w:cstheme="minorHAnsi"/>
        </w:rPr>
        <w:t>evidence</w:t>
      </w:r>
      <w:proofErr w:type="gramEnd"/>
      <w:r w:rsidR="00B26CD6" w:rsidRPr="00FD7CD4">
        <w:rPr>
          <w:rFonts w:cstheme="minorHAnsi"/>
        </w:rPr>
        <w:t xml:space="preserve"> we have from just before, within, and just after this century, we can gain an understanding of some of the treatments used in the period, due to the medical texts classed as herbals which originated from around the twelfth century. Furthermore, what written evidence we have of religious houses can be used to gain a picture of monastic herbalism, such as legal documents and monastic doctrine where it is relevant. </w:t>
      </w:r>
      <w:r w:rsidR="009331AB" w:rsidRPr="00FD7CD4">
        <w:rPr>
          <w:rFonts w:cstheme="minorHAnsi"/>
        </w:rPr>
        <w:t xml:space="preserve">While the students of the medieval have a long way to go in terms of understanding the position of twelfth century medieval medicine and the position of the nun, it is still entirely possible to extract a plausible figurative image from the evidence we currently have access to. </w:t>
      </w:r>
    </w:p>
    <w:p w14:paraId="0BC97191" w14:textId="77777777" w:rsidR="00FD7CD4" w:rsidRPr="00FD7CD4" w:rsidRDefault="00FD7CD4" w:rsidP="00FD7CD4">
      <w:pPr>
        <w:spacing w:line="480" w:lineRule="auto"/>
        <w:rPr>
          <w:rFonts w:cstheme="minorHAnsi"/>
        </w:rPr>
      </w:pPr>
    </w:p>
    <w:p w14:paraId="5E7356D3" w14:textId="152B75F9" w:rsidR="00FD7CD4" w:rsidRPr="00FD7CD4" w:rsidRDefault="00FD7CD4" w:rsidP="00FD7CD4">
      <w:pPr>
        <w:spacing w:line="480" w:lineRule="auto"/>
        <w:rPr>
          <w:rFonts w:cstheme="minorHAnsi"/>
        </w:rPr>
      </w:pPr>
      <w:r w:rsidRPr="00FD7CD4">
        <w:rPr>
          <w:rFonts w:cstheme="minorHAnsi"/>
        </w:rPr>
        <w:lastRenderedPageBreak/>
        <w:t xml:space="preserve">[Word Count – 2,057] </w:t>
      </w:r>
    </w:p>
    <w:p w14:paraId="6BA62FF4" w14:textId="77777777" w:rsidR="00FD7CD4" w:rsidRPr="00FD7CD4" w:rsidRDefault="00FD7CD4" w:rsidP="00FD7CD4">
      <w:pPr>
        <w:spacing w:line="480" w:lineRule="auto"/>
        <w:rPr>
          <w:rFonts w:cstheme="minorHAnsi"/>
        </w:rPr>
      </w:pPr>
    </w:p>
    <w:p w14:paraId="1E99E8C5" w14:textId="22086FD6" w:rsidR="00FD7CD4" w:rsidRPr="00FD7CD4" w:rsidRDefault="00FD7CD4" w:rsidP="00FD7CD4">
      <w:pPr>
        <w:spacing w:line="480" w:lineRule="auto"/>
        <w:rPr>
          <w:rFonts w:cstheme="minorHAnsi"/>
          <w:u w:val="single"/>
        </w:rPr>
      </w:pPr>
      <w:r w:rsidRPr="00FD7CD4">
        <w:rPr>
          <w:rFonts w:cstheme="minorHAnsi"/>
          <w:u w:val="single"/>
        </w:rPr>
        <w:t xml:space="preserve">Bibliography </w:t>
      </w:r>
    </w:p>
    <w:p w14:paraId="0601ECB4"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proofErr w:type="spellStart"/>
      <w:r w:rsidRPr="00FD7CD4">
        <w:rPr>
          <w:rFonts w:asciiTheme="minorHAnsi" w:hAnsiTheme="minorHAnsi" w:cstheme="minorHAnsi"/>
          <w:color w:val="000000"/>
          <w:sz w:val="22"/>
          <w:szCs w:val="22"/>
        </w:rPr>
        <w:t>Bonani</w:t>
      </w:r>
      <w:proofErr w:type="spellEnd"/>
      <w:r w:rsidRPr="00FD7CD4">
        <w:rPr>
          <w:rFonts w:asciiTheme="minorHAnsi" w:hAnsiTheme="minorHAnsi" w:cstheme="minorHAnsi"/>
          <w:color w:val="000000"/>
          <w:sz w:val="22"/>
          <w:szCs w:val="22"/>
        </w:rPr>
        <w:t xml:space="preserve">, Vittoria, and </w:t>
      </w:r>
      <w:proofErr w:type="spellStart"/>
      <w:r w:rsidRPr="00FD7CD4">
        <w:rPr>
          <w:rFonts w:asciiTheme="minorHAnsi" w:hAnsiTheme="minorHAnsi" w:cstheme="minorHAnsi"/>
          <w:color w:val="000000"/>
          <w:sz w:val="22"/>
          <w:szCs w:val="22"/>
        </w:rPr>
        <w:t>Katriona</w:t>
      </w:r>
      <w:proofErr w:type="spellEnd"/>
      <w:r w:rsidRPr="00FD7CD4">
        <w:rPr>
          <w:rFonts w:asciiTheme="minorHAnsi" w:hAnsiTheme="minorHAnsi" w:cstheme="minorHAnsi"/>
          <w:color w:val="000000"/>
          <w:sz w:val="22"/>
          <w:szCs w:val="22"/>
        </w:rPr>
        <w:t xml:space="preserve"> </w:t>
      </w:r>
      <w:proofErr w:type="spellStart"/>
      <w:r w:rsidRPr="00FD7CD4">
        <w:rPr>
          <w:rFonts w:asciiTheme="minorHAnsi" w:hAnsiTheme="minorHAnsi" w:cstheme="minorHAnsi"/>
          <w:color w:val="000000"/>
          <w:sz w:val="22"/>
          <w:szCs w:val="22"/>
        </w:rPr>
        <w:t>Munthe</w:t>
      </w:r>
      <w:proofErr w:type="spellEnd"/>
      <w:r w:rsidRPr="00FD7CD4">
        <w:rPr>
          <w:rFonts w:asciiTheme="minorHAnsi" w:hAnsiTheme="minorHAnsi" w:cstheme="minorHAnsi"/>
          <w:color w:val="000000"/>
          <w:sz w:val="22"/>
          <w:szCs w:val="22"/>
        </w:rPr>
        <w:t xml:space="preserve">, ‘Relevance of the Practice of Medicine by Trotula de Ruggiero (11C–12C), a </w:t>
      </w:r>
      <w:proofErr w:type="spellStart"/>
      <w:r w:rsidRPr="00FD7CD4">
        <w:rPr>
          <w:rFonts w:asciiTheme="minorHAnsi" w:hAnsiTheme="minorHAnsi" w:cstheme="minorHAnsi"/>
          <w:color w:val="000000"/>
          <w:sz w:val="22"/>
          <w:szCs w:val="22"/>
        </w:rPr>
        <w:t>Magistra</w:t>
      </w:r>
      <w:proofErr w:type="spellEnd"/>
      <w:r w:rsidRPr="00FD7CD4">
        <w:rPr>
          <w:rFonts w:asciiTheme="minorHAnsi" w:hAnsiTheme="minorHAnsi" w:cstheme="minorHAnsi"/>
          <w:color w:val="000000"/>
          <w:sz w:val="22"/>
          <w:szCs w:val="22"/>
        </w:rPr>
        <w:t xml:space="preserve"> Mulier Sapiens (female Wisdom Teacher). Medicine and Pharmacy Today Rediscover the Remedies of the Medical School of Salerno’, Journal of Medical Biography, 20.2 (2012), 47–48. </w:t>
      </w:r>
    </w:p>
    <w:p w14:paraId="12E25996"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109378B5"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proofErr w:type="spellStart"/>
      <w:r w:rsidRPr="00FD7CD4">
        <w:rPr>
          <w:rFonts w:asciiTheme="minorHAnsi" w:hAnsiTheme="minorHAnsi" w:cstheme="minorHAnsi"/>
          <w:sz w:val="22"/>
          <w:szCs w:val="22"/>
        </w:rPr>
        <w:t>Fantini</w:t>
      </w:r>
      <w:proofErr w:type="spellEnd"/>
      <w:r w:rsidRPr="00FD7CD4">
        <w:rPr>
          <w:rFonts w:asciiTheme="minorHAnsi" w:hAnsiTheme="minorHAnsi" w:cstheme="minorHAnsi"/>
          <w:sz w:val="22"/>
          <w:szCs w:val="22"/>
        </w:rPr>
        <w:t xml:space="preserve">, Bernardino., Mirko D. </w:t>
      </w:r>
      <w:proofErr w:type="spellStart"/>
      <w:r w:rsidRPr="00FD7CD4">
        <w:rPr>
          <w:rFonts w:asciiTheme="minorHAnsi" w:hAnsiTheme="minorHAnsi" w:cstheme="minorHAnsi"/>
          <w:sz w:val="22"/>
          <w:szCs w:val="22"/>
        </w:rPr>
        <w:t>Grmek</w:t>
      </w:r>
      <w:proofErr w:type="spellEnd"/>
      <w:r w:rsidRPr="00FD7CD4">
        <w:rPr>
          <w:rFonts w:asciiTheme="minorHAnsi" w:hAnsiTheme="minorHAnsi" w:cstheme="minorHAnsi"/>
          <w:sz w:val="22"/>
          <w:szCs w:val="22"/>
        </w:rPr>
        <w:t xml:space="preserve">, and Antony. </w:t>
      </w:r>
      <w:proofErr w:type="spellStart"/>
      <w:r w:rsidRPr="00FD7CD4">
        <w:rPr>
          <w:rFonts w:asciiTheme="minorHAnsi" w:hAnsiTheme="minorHAnsi" w:cstheme="minorHAnsi"/>
          <w:sz w:val="22"/>
          <w:szCs w:val="22"/>
        </w:rPr>
        <w:t>Shugaar</w:t>
      </w:r>
      <w:proofErr w:type="spellEnd"/>
      <w:r w:rsidRPr="00FD7CD4">
        <w:rPr>
          <w:rFonts w:asciiTheme="minorHAnsi" w:hAnsiTheme="minorHAnsi" w:cstheme="minorHAnsi"/>
          <w:sz w:val="22"/>
          <w:szCs w:val="22"/>
        </w:rPr>
        <w:t xml:space="preserve">, 'Western Medical Thought from Antiquity to the Middle Ages', Cambridge, Ma: Harvard University Press (1998). </w:t>
      </w:r>
    </w:p>
    <w:p w14:paraId="048A677D"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4CB0CE92"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Francia, Susan, and Anne Stobart, 'Critical Approaches to the History of Western Herbal Medicine : from Classical Antiquity to the Early Modern Period', ed. by Susan Francia and Anne Stobart, </w:t>
      </w:r>
      <w:proofErr w:type="gramStart"/>
      <w:r w:rsidRPr="00FD7CD4">
        <w:rPr>
          <w:rFonts w:asciiTheme="minorHAnsi" w:hAnsiTheme="minorHAnsi" w:cstheme="minorHAnsi"/>
          <w:sz w:val="22"/>
          <w:szCs w:val="22"/>
        </w:rPr>
        <w:t>London;:</w:t>
      </w:r>
      <w:proofErr w:type="gramEnd"/>
      <w:r w:rsidRPr="00FD7CD4">
        <w:rPr>
          <w:rFonts w:asciiTheme="minorHAnsi" w:hAnsiTheme="minorHAnsi" w:cstheme="minorHAnsi"/>
          <w:sz w:val="22"/>
          <w:szCs w:val="22"/>
        </w:rPr>
        <w:t xml:space="preserve"> Bloomsbury (2014). </w:t>
      </w:r>
    </w:p>
    <w:p w14:paraId="35F19EAA"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1160C19E"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Gemi-</w:t>
      </w:r>
      <w:proofErr w:type="spellStart"/>
      <w:r w:rsidRPr="00FD7CD4">
        <w:rPr>
          <w:rFonts w:asciiTheme="minorHAnsi" w:hAnsiTheme="minorHAnsi" w:cstheme="minorHAnsi"/>
          <w:sz w:val="22"/>
          <w:szCs w:val="22"/>
        </w:rPr>
        <w:t>Iordanou</w:t>
      </w:r>
      <w:proofErr w:type="spellEnd"/>
      <w:r w:rsidRPr="00FD7CD4">
        <w:rPr>
          <w:rFonts w:asciiTheme="minorHAnsi" w:hAnsiTheme="minorHAnsi" w:cstheme="minorHAnsi"/>
          <w:sz w:val="22"/>
          <w:szCs w:val="22"/>
        </w:rPr>
        <w:t>, Effie, 'Medicine, Healing and Performance', ed. by Effie Gemi-</w:t>
      </w:r>
      <w:proofErr w:type="spellStart"/>
      <w:r w:rsidRPr="00FD7CD4">
        <w:rPr>
          <w:rFonts w:asciiTheme="minorHAnsi" w:hAnsiTheme="minorHAnsi" w:cstheme="minorHAnsi"/>
          <w:sz w:val="22"/>
          <w:szCs w:val="22"/>
        </w:rPr>
        <w:t>Iordanou</w:t>
      </w:r>
      <w:proofErr w:type="spellEnd"/>
      <w:r w:rsidRPr="00FD7CD4">
        <w:rPr>
          <w:rFonts w:asciiTheme="minorHAnsi" w:hAnsiTheme="minorHAnsi" w:cstheme="minorHAnsi"/>
          <w:sz w:val="22"/>
          <w:szCs w:val="22"/>
        </w:rPr>
        <w:t xml:space="preserve">, </w:t>
      </w:r>
      <w:proofErr w:type="gramStart"/>
      <w:r w:rsidRPr="00FD7CD4">
        <w:rPr>
          <w:rFonts w:asciiTheme="minorHAnsi" w:hAnsiTheme="minorHAnsi" w:cstheme="minorHAnsi"/>
          <w:sz w:val="22"/>
          <w:szCs w:val="22"/>
        </w:rPr>
        <w:t>Oxford;:</w:t>
      </w:r>
      <w:proofErr w:type="gramEnd"/>
      <w:r w:rsidRPr="00FD7CD4">
        <w:rPr>
          <w:rFonts w:asciiTheme="minorHAnsi" w:hAnsiTheme="minorHAnsi" w:cstheme="minorHAnsi"/>
          <w:sz w:val="22"/>
          <w:szCs w:val="22"/>
        </w:rPr>
        <w:t xml:space="preserve"> Oxbow Books (2014).</w:t>
      </w:r>
    </w:p>
    <w:p w14:paraId="47F0866A"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71617D4D"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Getz, Faye Marie, 'Medicine in the English Middle Ages', Core Textbook, Princeton, NJ: Princeton University Press (1998).  </w:t>
      </w:r>
    </w:p>
    <w:p w14:paraId="4410E949"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57D2682A"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Gilchrist, Roberta, 'Gender and Material Culture: The Archaeology of Religious Women', Routledge (1994). </w:t>
      </w:r>
    </w:p>
    <w:p w14:paraId="3DF2FA82"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2D81329B"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lastRenderedPageBreak/>
        <w:t xml:space="preserve">Green, Monica H., editor. “Introduction.” </w:t>
      </w:r>
      <w:r w:rsidRPr="00FD7CD4">
        <w:rPr>
          <w:rFonts w:asciiTheme="minorHAnsi" w:hAnsiTheme="minorHAnsi" w:cstheme="minorHAnsi"/>
          <w:i/>
          <w:iCs/>
          <w:color w:val="000000"/>
          <w:sz w:val="22"/>
          <w:szCs w:val="22"/>
        </w:rPr>
        <w:t>The Trotula: An English Translation of the Medieval Compendium of Women’s Medicine</w:t>
      </w:r>
      <w:r w:rsidRPr="00FD7CD4">
        <w:rPr>
          <w:rFonts w:asciiTheme="minorHAnsi" w:hAnsiTheme="minorHAnsi" w:cstheme="minorHAnsi"/>
          <w:color w:val="000000"/>
          <w:sz w:val="22"/>
          <w:szCs w:val="22"/>
        </w:rPr>
        <w:t>, University of Pennsylvania Press, 2002, pp. 1–64. </w:t>
      </w:r>
    </w:p>
    <w:p w14:paraId="507F34EE"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3B1E7962"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Green, Monica H., 'Reconstructing the Oeuvre of </w:t>
      </w:r>
      <w:proofErr w:type="spellStart"/>
      <w:r w:rsidRPr="00FD7CD4">
        <w:rPr>
          <w:rFonts w:asciiTheme="minorHAnsi" w:hAnsiTheme="minorHAnsi" w:cstheme="minorHAnsi"/>
          <w:sz w:val="22"/>
          <w:szCs w:val="22"/>
        </w:rPr>
        <w:t>Trota</w:t>
      </w:r>
      <w:proofErr w:type="spellEnd"/>
      <w:r w:rsidRPr="00FD7CD4">
        <w:rPr>
          <w:rFonts w:asciiTheme="minorHAnsi" w:hAnsiTheme="minorHAnsi" w:cstheme="minorHAnsi"/>
          <w:sz w:val="22"/>
          <w:szCs w:val="22"/>
        </w:rPr>
        <w:t xml:space="preserve"> of Salerno', La </w:t>
      </w:r>
      <w:proofErr w:type="spellStart"/>
      <w:r w:rsidRPr="00FD7CD4">
        <w:rPr>
          <w:rFonts w:asciiTheme="minorHAnsi" w:hAnsiTheme="minorHAnsi" w:cstheme="minorHAnsi"/>
          <w:sz w:val="22"/>
          <w:szCs w:val="22"/>
        </w:rPr>
        <w:t>Scuola</w:t>
      </w:r>
      <w:proofErr w:type="spellEnd"/>
      <w:r w:rsidRPr="00FD7CD4">
        <w:rPr>
          <w:rFonts w:asciiTheme="minorHAnsi" w:hAnsiTheme="minorHAnsi" w:cstheme="minorHAnsi"/>
          <w:sz w:val="22"/>
          <w:szCs w:val="22"/>
        </w:rPr>
        <w:t xml:space="preserve"> Medica </w:t>
      </w:r>
      <w:proofErr w:type="spellStart"/>
      <w:r w:rsidRPr="00FD7CD4">
        <w:rPr>
          <w:rFonts w:asciiTheme="minorHAnsi" w:hAnsiTheme="minorHAnsi" w:cstheme="minorHAnsi"/>
          <w:sz w:val="22"/>
          <w:szCs w:val="22"/>
        </w:rPr>
        <w:t>Salernitana</w:t>
      </w:r>
      <w:proofErr w:type="spellEnd"/>
      <w:r w:rsidRPr="00FD7CD4">
        <w:rPr>
          <w:rFonts w:asciiTheme="minorHAnsi" w:hAnsiTheme="minorHAnsi" w:cstheme="minorHAnsi"/>
          <w:sz w:val="22"/>
          <w:szCs w:val="22"/>
        </w:rPr>
        <w:t xml:space="preserve">: </w:t>
      </w:r>
      <w:proofErr w:type="spellStart"/>
      <w:r w:rsidRPr="00FD7CD4">
        <w:rPr>
          <w:rFonts w:asciiTheme="minorHAnsi" w:hAnsiTheme="minorHAnsi" w:cstheme="minorHAnsi"/>
          <w:sz w:val="22"/>
          <w:szCs w:val="22"/>
        </w:rPr>
        <w:t>Gli</w:t>
      </w:r>
      <w:proofErr w:type="spellEnd"/>
      <w:r w:rsidRPr="00FD7CD4">
        <w:rPr>
          <w:rFonts w:asciiTheme="minorHAnsi" w:hAnsiTheme="minorHAnsi" w:cstheme="minorHAnsi"/>
          <w:sz w:val="22"/>
          <w:szCs w:val="22"/>
        </w:rPr>
        <w:t xml:space="preserve"> </w:t>
      </w:r>
      <w:proofErr w:type="spellStart"/>
      <w:r w:rsidRPr="00FD7CD4">
        <w:rPr>
          <w:rFonts w:asciiTheme="minorHAnsi" w:hAnsiTheme="minorHAnsi" w:cstheme="minorHAnsi"/>
          <w:sz w:val="22"/>
          <w:szCs w:val="22"/>
        </w:rPr>
        <w:t>Autori</w:t>
      </w:r>
      <w:proofErr w:type="spellEnd"/>
      <w:r w:rsidRPr="00FD7CD4">
        <w:rPr>
          <w:rFonts w:asciiTheme="minorHAnsi" w:hAnsiTheme="minorHAnsi" w:cstheme="minorHAnsi"/>
          <w:sz w:val="22"/>
          <w:szCs w:val="22"/>
        </w:rPr>
        <w:t xml:space="preserve"> e </w:t>
      </w:r>
      <w:proofErr w:type="spellStart"/>
      <w:r w:rsidRPr="00FD7CD4">
        <w:rPr>
          <w:rFonts w:asciiTheme="minorHAnsi" w:hAnsiTheme="minorHAnsi" w:cstheme="minorHAnsi"/>
          <w:sz w:val="22"/>
          <w:szCs w:val="22"/>
        </w:rPr>
        <w:t>i</w:t>
      </w:r>
      <w:proofErr w:type="spellEnd"/>
      <w:r w:rsidRPr="00FD7CD4">
        <w:rPr>
          <w:rFonts w:asciiTheme="minorHAnsi" w:hAnsiTheme="minorHAnsi" w:cstheme="minorHAnsi"/>
          <w:sz w:val="22"/>
          <w:szCs w:val="22"/>
        </w:rPr>
        <w:t xml:space="preserve"> </w:t>
      </w:r>
      <w:proofErr w:type="spellStart"/>
      <w:r w:rsidRPr="00FD7CD4">
        <w:rPr>
          <w:rFonts w:asciiTheme="minorHAnsi" w:hAnsiTheme="minorHAnsi" w:cstheme="minorHAnsi"/>
          <w:sz w:val="22"/>
          <w:szCs w:val="22"/>
        </w:rPr>
        <w:t>testi</w:t>
      </w:r>
      <w:proofErr w:type="spellEnd"/>
      <w:r w:rsidRPr="00FD7CD4">
        <w:rPr>
          <w:rFonts w:asciiTheme="minorHAnsi" w:hAnsiTheme="minorHAnsi" w:cstheme="minorHAnsi"/>
          <w:sz w:val="22"/>
          <w:szCs w:val="22"/>
        </w:rPr>
        <w:t xml:space="preserve">, ed. Danielle </w:t>
      </w:r>
      <w:proofErr w:type="spellStart"/>
      <w:r w:rsidRPr="00FD7CD4">
        <w:rPr>
          <w:rFonts w:asciiTheme="minorHAnsi" w:hAnsiTheme="minorHAnsi" w:cstheme="minorHAnsi"/>
          <w:sz w:val="22"/>
          <w:szCs w:val="22"/>
        </w:rPr>
        <w:t>Jacquart</w:t>
      </w:r>
      <w:proofErr w:type="spellEnd"/>
      <w:r w:rsidRPr="00FD7CD4">
        <w:rPr>
          <w:rFonts w:asciiTheme="minorHAnsi" w:hAnsiTheme="minorHAnsi" w:cstheme="minorHAnsi"/>
          <w:sz w:val="22"/>
          <w:szCs w:val="22"/>
        </w:rPr>
        <w:t xml:space="preserve"> and Agostino Paravicini </w:t>
      </w:r>
      <w:proofErr w:type="spellStart"/>
      <w:r w:rsidRPr="00FD7CD4">
        <w:rPr>
          <w:rFonts w:asciiTheme="minorHAnsi" w:hAnsiTheme="minorHAnsi" w:cstheme="minorHAnsi"/>
          <w:sz w:val="22"/>
          <w:szCs w:val="22"/>
        </w:rPr>
        <w:t>Bagliani</w:t>
      </w:r>
      <w:proofErr w:type="spellEnd"/>
      <w:r w:rsidRPr="00FD7CD4">
        <w:rPr>
          <w:rFonts w:asciiTheme="minorHAnsi" w:hAnsiTheme="minorHAnsi" w:cstheme="minorHAnsi"/>
          <w:sz w:val="22"/>
          <w:szCs w:val="22"/>
        </w:rPr>
        <w:t xml:space="preserve">, </w:t>
      </w:r>
      <w:proofErr w:type="spellStart"/>
      <w:r w:rsidRPr="00FD7CD4">
        <w:rPr>
          <w:rFonts w:asciiTheme="minorHAnsi" w:hAnsiTheme="minorHAnsi" w:cstheme="minorHAnsi"/>
          <w:sz w:val="22"/>
          <w:szCs w:val="22"/>
        </w:rPr>
        <w:t>Edizione</w:t>
      </w:r>
      <w:proofErr w:type="spellEnd"/>
      <w:r w:rsidRPr="00FD7CD4">
        <w:rPr>
          <w:rFonts w:asciiTheme="minorHAnsi" w:hAnsiTheme="minorHAnsi" w:cstheme="minorHAnsi"/>
          <w:sz w:val="22"/>
          <w:szCs w:val="22"/>
        </w:rPr>
        <w:t xml:space="preserve"> Nazionale 'La </w:t>
      </w:r>
      <w:proofErr w:type="spellStart"/>
      <w:r w:rsidRPr="00FD7CD4">
        <w:rPr>
          <w:rFonts w:asciiTheme="minorHAnsi" w:hAnsiTheme="minorHAnsi" w:cstheme="minorHAnsi"/>
          <w:sz w:val="22"/>
          <w:szCs w:val="22"/>
        </w:rPr>
        <w:t>Scuola</w:t>
      </w:r>
      <w:proofErr w:type="spellEnd"/>
      <w:r w:rsidRPr="00FD7CD4">
        <w:rPr>
          <w:rFonts w:asciiTheme="minorHAnsi" w:hAnsiTheme="minorHAnsi" w:cstheme="minorHAnsi"/>
          <w:sz w:val="22"/>
          <w:szCs w:val="22"/>
        </w:rPr>
        <w:t xml:space="preserve"> medica </w:t>
      </w:r>
      <w:proofErr w:type="spellStart"/>
      <w:r w:rsidRPr="00FD7CD4">
        <w:rPr>
          <w:rFonts w:asciiTheme="minorHAnsi" w:hAnsiTheme="minorHAnsi" w:cstheme="minorHAnsi"/>
          <w:sz w:val="22"/>
          <w:szCs w:val="22"/>
        </w:rPr>
        <w:t>Salernitana</w:t>
      </w:r>
      <w:proofErr w:type="spellEnd"/>
      <w:r w:rsidRPr="00FD7CD4">
        <w:rPr>
          <w:rFonts w:asciiTheme="minorHAnsi" w:hAnsiTheme="minorHAnsi" w:cstheme="minorHAnsi"/>
          <w:sz w:val="22"/>
          <w:szCs w:val="22"/>
        </w:rPr>
        <w:t>', 1 Florence: SISMEL/</w:t>
      </w:r>
      <w:proofErr w:type="spellStart"/>
      <w:r w:rsidRPr="00FD7CD4">
        <w:rPr>
          <w:rFonts w:asciiTheme="minorHAnsi" w:hAnsiTheme="minorHAnsi" w:cstheme="minorHAnsi"/>
          <w:sz w:val="22"/>
          <w:szCs w:val="22"/>
        </w:rPr>
        <w:t>Edizioni</w:t>
      </w:r>
      <w:proofErr w:type="spellEnd"/>
      <w:r w:rsidRPr="00FD7CD4">
        <w:rPr>
          <w:rFonts w:asciiTheme="minorHAnsi" w:hAnsiTheme="minorHAnsi" w:cstheme="minorHAnsi"/>
          <w:sz w:val="22"/>
          <w:szCs w:val="22"/>
        </w:rPr>
        <w:t xml:space="preserve"> del </w:t>
      </w:r>
      <w:proofErr w:type="spellStart"/>
      <w:r w:rsidRPr="00FD7CD4">
        <w:rPr>
          <w:rFonts w:asciiTheme="minorHAnsi" w:hAnsiTheme="minorHAnsi" w:cstheme="minorHAnsi"/>
          <w:sz w:val="22"/>
          <w:szCs w:val="22"/>
        </w:rPr>
        <w:t>Galluzzo</w:t>
      </w:r>
      <w:proofErr w:type="spellEnd"/>
      <w:r w:rsidRPr="00FD7CD4">
        <w:rPr>
          <w:rFonts w:asciiTheme="minorHAnsi" w:hAnsiTheme="minorHAnsi" w:cstheme="minorHAnsi"/>
          <w:sz w:val="22"/>
          <w:szCs w:val="22"/>
        </w:rPr>
        <w:t xml:space="preserve"> (2007), p.214-218. </w:t>
      </w:r>
    </w:p>
    <w:p w14:paraId="1B238629"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3CDE9967"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Kieckhefer, Richard, 'Magic in the Middle Ages', Cambridge University Press (1989). </w:t>
      </w:r>
    </w:p>
    <w:p w14:paraId="42AFDB56"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6F7E40B1" w14:textId="08861965"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proofErr w:type="spellStart"/>
      <w:r w:rsidRPr="00FD7CD4">
        <w:rPr>
          <w:rFonts w:asciiTheme="minorHAnsi" w:hAnsiTheme="minorHAnsi" w:cstheme="minorHAnsi"/>
          <w:sz w:val="22"/>
          <w:szCs w:val="22"/>
        </w:rPr>
        <w:t>Kukita</w:t>
      </w:r>
      <w:proofErr w:type="spellEnd"/>
      <w:r w:rsidRPr="00FD7CD4">
        <w:rPr>
          <w:rFonts w:asciiTheme="minorHAnsi" w:hAnsiTheme="minorHAnsi" w:cstheme="minorHAnsi"/>
          <w:sz w:val="22"/>
          <w:szCs w:val="22"/>
        </w:rPr>
        <w:t xml:space="preserve"> Yoshikawa, </w:t>
      </w:r>
      <w:proofErr w:type="spellStart"/>
      <w:r w:rsidRPr="00FD7CD4">
        <w:rPr>
          <w:rFonts w:asciiTheme="minorHAnsi" w:hAnsiTheme="minorHAnsi" w:cstheme="minorHAnsi"/>
          <w:sz w:val="22"/>
          <w:szCs w:val="22"/>
        </w:rPr>
        <w:t>Naoë</w:t>
      </w:r>
      <w:proofErr w:type="spellEnd"/>
      <w:r w:rsidRPr="00FD7CD4">
        <w:rPr>
          <w:rFonts w:asciiTheme="minorHAnsi" w:hAnsiTheme="minorHAnsi" w:cstheme="minorHAnsi"/>
          <w:sz w:val="22"/>
          <w:szCs w:val="22"/>
        </w:rPr>
        <w:t xml:space="preserve">, </w:t>
      </w:r>
      <w:r w:rsidR="00956C55">
        <w:rPr>
          <w:rFonts w:asciiTheme="minorHAnsi" w:hAnsiTheme="minorHAnsi" w:cstheme="minorHAnsi"/>
          <w:sz w:val="22"/>
          <w:szCs w:val="22"/>
        </w:rPr>
        <w:t>‘</w:t>
      </w:r>
      <w:r w:rsidRPr="00FD7CD4">
        <w:rPr>
          <w:rFonts w:asciiTheme="minorHAnsi" w:hAnsiTheme="minorHAnsi" w:cstheme="minorHAnsi"/>
          <w:sz w:val="22"/>
          <w:szCs w:val="22"/>
        </w:rPr>
        <w:t xml:space="preserve">Medicine, Religion and Gender in Medieval Culture', Boydell &amp; Brewer (2015). </w:t>
      </w:r>
    </w:p>
    <w:p w14:paraId="5984A6F5"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5105EB21"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proofErr w:type="spellStart"/>
      <w:r w:rsidRPr="00FD7CD4">
        <w:rPr>
          <w:rFonts w:asciiTheme="minorHAnsi" w:hAnsiTheme="minorHAnsi" w:cstheme="minorHAnsi"/>
          <w:sz w:val="22"/>
          <w:szCs w:val="22"/>
        </w:rPr>
        <w:t>Luft</w:t>
      </w:r>
      <w:proofErr w:type="spellEnd"/>
      <w:r w:rsidRPr="00FD7CD4">
        <w:rPr>
          <w:rFonts w:asciiTheme="minorHAnsi" w:hAnsiTheme="minorHAnsi" w:cstheme="minorHAnsi"/>
          <w:sz w:val="22"/>
          <w:szCs w:val="22"/>
        </w:rPr>
        <w:t>, Diana, 'Medieval Welsh Medical Texts : Volume One, the Recipes', Wales, United Kingdom: University of Wales Press (2020).</w:t>
      </w:r>
    </w:p>
    <w:p w14:paraId="6B1A40EE"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6939D289"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Pilsworth, Clare, and Debby Banham, ‘Medieval Medicine: Theory and Practice’, Social History of Medicine : the Journal of the Society for the Social History of Medicine, 24.1 (2011), p.2–4.</w:t>
      </w:r>
    </w:p>
    <w:p w14:paraId="6A4EB725"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68D4FD6D"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Rider, Catherine, ‘Medical Magic and the Church in Thirteenth- Century England: Medieval Medicine: Theory and Practice’, Social History of Medicine : the Journal of the Society for the Social History of Medicine, 24.1 (2011), p.92–107. </w:t>
      </w:r>
    </w:p>
    <w:p w14:paraId="4E0B2985"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w:t>
      </w:r>
    </w:p>
    <w:p w14:paraId="1D44B4E0"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sz w:val="22"/>
          <w:szCs w:val="22"/>
        </w:rPr>
      </w:pPr>
      <w:r w:rsidRPr="00FD7CD4">
        <w:rPr>
          <w:rFonts w:asciiTheme="minorHAnsi" w:hAnsiTheme="minorHAnsi" w:cstheme="minorHAnsi"/>
          <w:sz w:val="22"/>
          <w:szCs w:val="22"/>
        </w:rPr>
        <w:t xml:space="preserve">Stannard, Jerry., Katherine E. Stannard, and Richard Kay, 'Herbs and Herbalism in the Middle Ages and Renaissance', Farnham: Ashgate (1999). </w:t>
      </w:r>
    </w:p>
    <w:p w14:paraId="6FDBBBE1"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5BC3A404"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proofErr w:type="spellStart"/>
      <w:r w:rsidRPr="00FD7CD4">
        <w:rPr>
          <w:rFonts w:asciiTheme="minorHAnsi" w:hAnsiTheme="minorHAnsi" w:cstheme="minorHAnsi"/>
          <w:color w:val="000000"/>
          <w:sz w:val="22"/>
          <w:szCs w:val="22"/>
        </w:rPr>
        <w:lastRenderedPageBreak/>
        <w:t>Stuard</w:t>
      </w:r>
      <w:proofErr w:type="spellEnd"/>
      <w:r w:rsidRPr="00FD7CD4">
        <w:rPr>
          <w:rFonts w:asciiTheme="minorHAnsi" w:hAnsiTheme="minorHAnsi" w:cstheme="minorHAnsi"/>
          <w:color w:val="000000"/>
          <w:sz w:val="22"/>
          <w:szCs w:val="22"/>
        </w:rPr>
        <w:t xml:space="preserve">, Susan Mosher, ‘Dame Trot’, Signs: Journal of Women in Culture and Society, 1.2 (1975), p.537–42. </w:t>
      </w:r>
    </w:p>
    <w:p w14:paraId="7B782243"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4AC76B5C"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xml:space="preserve">Tuttle, Edward  F. “THE ‘TROTULA’ AND OLD DAME TROT: A NOTE ON THE LADY OF SALERNO.” </w:t>
      </w:r>
      <w:r w:rsidRPr="00FD7CD4">
        <w:rPr>
          <w:rFonts w:asciiTheme="minorHAnsi" w:hAnsiTheme="minorHAnsi" w:cstheme="minorHAnsi"/>
          <w:i/>
          <w:iCs/>
          <w:color w:val="000000"/>
          <w:sz w:val="22"/>
          <w:szCs w:val="22"/>
        </w:rPr>
        <w:t>Bulletin of the History of Medicine</w:t>
      </w:r>
      <w:r w:rsidRPr="00FD7CD4">
        <w:rPr>
          <w:rFonts w:asciiTheme="minorHAnsi" w:hAnsiTheme="minorHAnsi" w:cstheme="minorHAnsi"/>
          <w:color w:val="000000"/>
          <w:sz w:val="22"/>
          <w:szCs w:val="22"/>
        </w:rPr>
        <w:t>, vol. 50, no. 1, 1976, p.61–72. </w:t>
      </w:r>
    </w:p>
    <w:p w14:paraId="5F6E8E8C"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2F5F80CE"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proofErr w:type="spellStart"/>
      <w:r w:rsidRPr="00FD7CD4">
        <w:rPr>
          <w:rFonts w:asciiTheme="minorHAnsi" w:hAnsiTheme="minorHAnsi" w:cstheme="minorHAnsi"/>
          <w:color w:val="000000"/>
          <w:sz w:val="22"/>
          <w:szCs w:val="22"/>
        </w:rPr>
        <w:t>Tsoucalas</w:t>
      </w:r>
      <w:proofErr w:type="spellEnd"/>
      <w:r w:rsidRPr="00FD7CD4">
        <w:rPr>
          <w:rFonts w:asciiTheme="minorHAnsi" w:hAnsiTheme="minorHAnsi" w:cstheme="minorHAnsi"/>
          <w:color w:val="000000"/>
          <w:sz w:val="22"/>
          <w:szCs w:val="22"/>
        </w:rPr>
        <w:t xml:space="preserve">, Gregory, Antonis A </w:t>
      </w:r>
      <w:proofErr w:type="spellStart"/>
      <w:r w:rsidRPr="00FD7CD4">
        <w:rPr>
          <w:rFonts w:asciiTheme="minorHAnsi" w:hAnsiTheme="minorHAnsi" w:cstheme="minorHAnsi"/>
          <w:color w:val="000000"/>
          <w:sz w:val="22"/>
          <w:szCs w:val="22"/>
        </w:rPr>
        <w:t>Kousoulis</w:t>
      </w:r>
      <w:proofErr w:type="spellEnd"/>
      <w:r w:rsidRPr="00FD7CD4">
        <w:rPr>
          <w:rFonts w:asciiTheme="minorHAnsi" w:hAnsiTheme="minorHAnsi" w:cstheme="minorHAnsi"/>
          <w:color w:val="000000"/>
          <w:sz w:val="22"/>
          <w:szCs w:val="22"/>
        </w:rPr>
        <w:t xml:space="preserve">, Effie </w:t>
      </w:r>
      <w:proofErr w:type="spellStart"/>
      <w:r w:rsidRPr="00FD7CD4">
        <w:rPr>
          <w:rFonts w:asciiTheme="minorHAnsi" w:hAnsiTheme="minorHAnsi" w:cstheme="minorHAnsi"/>
          <w:color w:val="000000"/>
          <w:sz w:val="22"/>
          <w:szCs w:val="22"/>
        </w:rPr>
        <w:t>Poulakou-Rebelakou</w:t>
      </w:r>
      <w:proofErr w:type="spellEnd"/>
      <w:r w:rsidRPr="00FD7CD4">
        <w:rPr>
          <w:rFonts w:asciiTheme="minorHAnsi" w:hAnsiTheme="minorHAnsi" w:cstheme="minorHAnsi"/>
          <w:color w:val="000000"/>
          <w:sz w:val="22"/>
          <w:szCs w:val="22"/>
        </w:rPr>
        <w:t xml:space="preserve">, Marianna </w:t>
      </w:r>
      <w:proofErr w:type="spellStart"/>
      <w:r w:rsidRPr="00FD7CD4">
        <w:rPr>
          <w:rFonts w:asciiTheme="minorHAnsi" w:hAnsiTheme="minorHAnsi" w:cstheme="minorHAnsi"/>
          <w:color w:val="000000"/>
          <w:sz w:val="22"/>
          <w:szCs w:val="22"/>
        </w:rPr>
        <w:t>Karamanou</w:t>
      </w:r>
      <w:proofErr w:type="spellEnd"/>
      <w:r w:rsidRPr="00FD7CD4">
        <w:rPr>
          <w:rFonts w:asciiTheme="minorHAnsi" w:hAnsiTheme="minorHAnsi" w:cstheme="minorHAnsi"/>
          <w:color w:val="000000"/>
          <w:sz w:val="22"/>
          <w:szCs w:val="22"/>
        </w:rPr>
        <w:t xml:space="preserve">, Maria </w:t>
      </w:r>
      <w:proofErr w:type="spellStart"/>
      <w:r w:rsidRPr="00FD7CD4">
        <w:rPr>
          <w:rFonts w:asciiTheme="minorHAnsi" w:hAnsiTheme="minorHAnsi" w:cstheme="minorHAnsi"/>
          <w:color w:val="000000"/>
          <w:sz w:val="22"/>
          <w:szCs w:val="22"/>
        </w:rPr>
        <w:t>Papagrigoriou-Theodoridou</w:t>
      </w:r>
      <w:proofErr w:type="spellEnd"/>
      <w:r w:rsidRPr="00FD7CD4">
        <w:rPr>
          <w:rFonts w:asciiTheme="minorHAnsi" w:hAnsiTheme="minorHAnsi" w:cstheme="minorHAnsi"/>
          <w:color w:val="000000"/>
          <w:sz w:val="22"/>
          <w:szCs w:val="22"/>
        </w:rPr>
        <w:t xml:space="preserve">, and George </w:t>
      </w:r>
      <w:proofErr w:type="spellStart"/>
      <w:r w:rsidRPr="00FD7CD4">
        <w:rPr>
          <w:rFonts w:asciiTheme="minorHAnsi" w:hAnsiTheme="minorHAnsi" w:cstheme="minorHAnsi"/>
          <w:color w:val="000000"/>
          <w:sz w:val="22"/>
          <w:szCs w:val="22"/>
        </w:rPr>
        <w:t>Androutsos</w:t>
      </w:r>
      <w:proofErr w:type="spellEnd"/>
      <w:r w:rsidRPr="00FD7CD4">
        <w:rPr>
          <w:rFonts w:asciiTheme="minorHAnsi" w:hAnsiTheme="minorHAnsi" w:cstheme="minorHAnsi"/>
          <w:color w:val="000000"/>
          <w:sz w:val="22"/>
          <w:szCs w:val="22"/>
        </w:rPr>
        <w:t xml:space="preserve">, ‘Queen Cleopatra and the Other “Cleopatras”: Their Medical Legacy’, Journal of Medical Biography, 22.2 (2014), p.115–21. </w:t>
      </w:r>
    </w:p>
    <w:p w14:paraId="7DDD208B"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w:t>
      </w:r>
    </w:p>
    <w:p w14:paraId="2736802A" w14:textId="77777777" w:rsidR="00FD7CD4" w:rsidRPr="00FD7CD4" w:rsidRDefault="00FD7CD4" w:rsidP="00FD7CD4">
      <w:pPr>
        <w:pStyle w:val="NormalWeb"/>
        <w:spacing w:before="0" w:beforeAutospacing="0" w:after="0" w:afterAutospacing="0" w:line="480" w:lineRule="auto"/>
        <w:rPr>
          <w:rFonts w:asciiTheme="minorHAnsi" w:hAnsiTheme="minorHAnsi" w:cstheme="minorHAnsi"/>
          <w:color w:val="000000"/>
          <w:sz w:val="22"/>
          <w:szCs w:val="22"/>
        </w:rPr>
      </w:pPr>
      <w:r w:rsidRPr="00FD7CD4">
        <w:rPr>
          <w:rFonts w:asciiTheme="minorHAnsi" w:hAnsiTheme="minorHAnsi" w:cstheme="minorHAnsi"/>
          <w:color w:val="000000"/>
          <w:sz w:val="22"/>
          <w:szCs w:val="22"/>
        </w:rPr>
        <w:t xml:space="preserve"> ‘The Mysterious Woman of Salerno [Trotula of Salerno Famous Medieval Doctor]’, The Medical Post, 34.10 (1998), p.40. </w:t>
      </w:r>
    </w:p>
    <w:p w14:paraId="6311EF0C" w14:textId="3F8469AC" w:rsidR="00FD7CD4" w:rsidRPr="00FD7CD4" w:rsidRDefault="00FD7CD4" w:rsidP="00FD7CD4">
      <w:pPr>
        <w:spacing w:line="480" w:lineRule="auto"/>
        <w:rPr>
          <w:rFonts w:cstheme="minorHAnsi"/>
        </w:rPr>
      </w:pPr>
    </w:p>
    <w:sectPr w:rsidR="00FD7CD4" w:rsidRPr="00FD7C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DE650" w14:textId="77777777" w:rsidR="000220E4" w:rsidRDefault="000220E4" w:rsidP="00465B21">
      <w:pPr>
        <w:spacing w:after="0" w:line="240" w:lineRule="auto"/>
      </w:pPr>
      <w:r>
        <w:separator/>
      </w:r>
    </w:p>
  </w:endnote>
  <w:endnote w:type="continuationSeparator" w:id="0">
    <w:p w14:paraId="15AB6546" w14:textId="77777777" w:rsidR="000220E4" w:rsidRDefault="000220E4" w:rsidP="00465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2DE63" w14:textId="77777777" w:rsidR="000220E4" w:rsidRDefault="000220E4" w:rsidP="00465B21">
      <w:pPr>
        <w:spacing w:after="0" w:line="240" w:lineRule="auto"/>
      </w:pPr>
      <w:r>
        <w:separator/>
      </w:r>
    </w:p>
  </w:footnote>
  <w:footnote w:type="continuationSeparator" w:id="0">
    <w:p w14:paraId="4146FD85" w14:textId="77777777" w:rsidR="000220E4" w:rsidRDefault="000220E4" w:rsidP="00465B21">
      <w:pPr>
        <w:spacing w:after="0" w:line="240" w:lineRule="auto"/>
      </w:pPr>
      <w:r>
        <w:continuationSeparator/>
      </w:r>
    </w:p>
  </w:footnote>
  <w:footnote w:id="1">
    <w:p w14:paraId="611BBDEA" w14:textId="1DF3447E" w:rsidR="002C6422" w:rsidRDefault="002C6422">
      <w:pPr>
        <w:pStyle w:val="FootnoteText"/>
      </w:pPr>
      <w:r>
        <w:rPr>
          <w:rStyle w:val="FootnoteReference"/>
        </w:rPr>
        <w:footnoteRef/>
      </w:r>
      <w:r>
        <w:t xml:space="preserve"> </w:t>
      </w:r>
      <w:r w:rsidR="00FF206C">
        <w:t>Susan Francia and Anne Stobart, ‘</w:t>
      </w:r>
      <w:r>
        <w:t>Critical approaches</w:t>
      </w:r>
      <w:r w:rsidR="00FF206C">
        <w:t xml:space="preserve"> to the History of Western Herbal Medicine’</w:t>
      </w:r>
      <w:r>
        <w:t xml:space="preserve">, p.52. </w:t>
      </w:r>
    </w:p>
  </w:footnote>
  <w:footnote w:id="2">
    <w:p w14:paraId="2E734E2B" w14:textId="33DCB8B8" w:rsidR="009753C9" w:rsidRDefault="009753C9">
      <w:pPr>
        <w:pStyle w:val="FootnoteText"/>
      </w:pPr>
      <w:r>
        <w:rPr>
          <w:rStyle w:val="FootnoteReference"/>
        </w:rPr>
        <w:footnoteRef/>
      </w:r>
      <w:r>
        <w:t xml:space="preserve"> </w:t>
      </w:r>
      <w:r w:rsidR="00FF206C">
        <w:t>Richard Kieckhefer, ‘</w:t>
      </w:r>
      <w:r>
        <w:t>Magic in the Middle Ages</w:t>
      </w:r>
      <w:r w:rsidR="00FF206C">
        <w:t>’</w:t>
      </w:r>
      <w:r>
        <w:t xml:space="preserve">, p.64. </w:t>
      </w:r>
    </w:p>
  </w:footnote>
  <w:footnote w:id="3">
    <w:p w14:paraId="08306B5B" w14:textId="4846CF45" w:rsidR="00CF4914" w:rsidRDefault="00CF4914">
      <w:pPr>
        <w:pStyle w:val="FootnoteText"/>
      </w:pPr>
      <w:r>
        <w:rPr>
          <w:rStyle w:val="FootnoteReference"/>
        </w:rPr>
        <w:footnoteRef/>
      </w:r>
      <w:r>
        <w:t xml:space="preserve"> </w:t>
      </w:r>
      <w:r w:rsidR="00FF206C">
        <w:t>Francia and Stobart, ‘</w:t>
      </w:r>
      <w:r>
        <w:t>Critical approaches</w:t>
      </w:r>
      <w:r w:rsidR="00FF206C">
        <w:t>’</w:t>
      </w:r>
      <w:r>
        <w:t xml:space="preserve">, p.53. </w:t>
      </w:r>
    </w:p>
  </w:footnote>
  <w:footnote w:id="4">
    <w:p w14:paraId="376D6591" w14:textId="1183470C" w:rsidR="00D464B5" w:rsidRDefault="00D464B5">
      <w:pPr>
        <w:pStyle w:val="FootnoteText"/>
      </w:pPr>
      <w:r>
        <w:rPr>
          <w:rStyle w:val="FootnoteReference"/>
        </w:rPr>
        <w:footnoteRef/>
      </w:r>
      <w:r w:rsidR="00FF206C">
        <w:t>Francia and Stobart, ‘Critical approaches</w:t>
      </w:r>
      <w:r w:rsidR="00FF206C">
        <w:t>’,</w:t>
      </w:r>
      <w:r>
        <w:t xml:space="preserve"> p.57. </w:t>
      </w:r>
    </w:p>
  </w:footnote>
  <w:footnote w:id="5">
    <w:p w14:paraId="6B498D83" w14:textId="4E7C1981" w:rsidR="00864F23" w:rsidRDefault="00864F23">
      <w:pPr>
        <w:pStyle w:val="FootnoteText"/>
      </w:pPr>
      <w:r>
        <w:rPr>
          <w:rStyle w:val="FootnoteReference"/>
        </w:rPr>
        <w:footnoteRef/>
      </w:r>
      <w:r>
        <w:t xml:space="preserve"> </w:t>
      </w:r>
      <w:r w:rsidR="00956C55">
        <w:t xml:space="preserve">Diana </w:t>
      </w:r>
      <w:proofErr w:type="spellStart"/>
      <w:r w:rsidR="00956C55">
        <w:t>Luft</w:t>
      </w:r>
      <w:proofErr w:type="spellEnd"/>
      <w:r w:rsidR="00956C55">
        <w:t>, ‘</w:t>
      </w:r>
      <w:r>
        <w:t>Medieval Welsh Medical Texts</w:t>
      </w:r>
      <w:r w:rsidR="00956C55">
        <w:t>: Volume One, the Recipes’</w:t>
      </w:r>
      <w:r>
        <w:t xml:space="preserve">, p.94. </w:t>
      </w:r>
    </w:p>
  </w:footnote>
  <w:footnote w:id="6">
    <w:p w14:paraId="24E1BB4C" w14:textId="51705322" w:rsidR="00264B9A" w:rsidRDefault="00264B9A">
      <w:pPr>
        <w:pStyle w:val="FootnoteText"/>
      </w:pPr>
      <w:r>
        <w:rPr>
          <w:rStyle w:val="FootnoteReference"/>
        </w:rPr>
        <w:footnoteRef/>
      </w:r>
      <w:r>
        <w:t xml:space="preserve"> </w:t>
      </w:r>
      <w:r w:rsidR="00956C55">
        <w:t>Clare Pilsworth, ‘</w:t>
      </w:r>
      <w:r>
        <w:t>Medieval Medicine</w:t>
      </w:r>
      <w:r w:rsidR="00956C55">
        <w:t>: Theory and Practice’</w:t>
      </w:r>
      <w:r>
        <w:t xml:space="preserve">, p.3. </w:t>
      </w:r>
    </w:p>
  </w:footnote>
  <w:footnote w:id="7">
    <w:p w14:paraId="052AB764" w14:textId="54BE16CF" w:rsidR="008865A9" w:rsidRDefault="008865A9">
      <w:pPr>
        <w:pStyle w:val="FootnoteText"/>
      </w:pPr>
      <w:r>
        <w:rPr>
          <w:rStyle w:val="FootnoteReference"/>
        </w:rPr>
        <w:footnoteRef/>
      </w:r>
      <w:r>
        <w:t xml:space="preserve"> </w:t>
      </w:r>
      <w:r w:rsidR="00956C55">
        <w:t>Pilsworth, ‘</w:t>
      </w:r>
      <w:r>
        <w:t xml:space="preserve">Medieval </w:t>
      </w:r>
      <w:r w:rsidR="00956C55">
        <w:t>M</w:t>
      </w:r>
      <w:r>
        <w:t>edicine</w:t>
      </w:r>
      <w:r w:rsidR="00956C55">
        <w:t>’</w:t>
      </w:r>
      <w:r>
        <w:t xml:space="preserve">, p.4. </w:t>
      </w:r>
    </w:p>
  </w:footnote>
  <w:footnote w:id="8">
    <w:p w14:paraId="754C3A66" w14:textId="3B91FC5D" w:rsidR="008631D4" w:rsidRDefault="008631D4">
      <w:pPr>
        <w:pStyle w:val="FootnoteText"/>
      </w:pPr>
      <w:r>
        <w:rPr>
          <w:rStyle w:val="FootnoteReference"/>
        </w:rPr>
        <w:footnoteRef/>
      </w:r>
      <w:r>
        <w:t xml:space="preserve"> </w:t>
      </w:r>
      <w:r w:rsidR="00FF206C">
        <w:t xml:space="preserve">Francia and Stobart, ‘Critical approaches’, </w:t>
      </w:r>
      <w:r>
        <w:t xml:space="preserve">p.50. </w:t>
      </w:r>
    </w:p>
  </w:footnote>
  <w:footnote w:id="9">
    <w:p w14:paraId="667119ED" w14:textId="1C146DEC" w:rsidR="00635690" w:rsidRDefault="00635690">
      <w:pPr>
        <w:pStyle w:val="FootnoteText"/>
      </w:pPr>
      <w:r>
        <w:rPr>
          <w:rStyle w:val="FootnoteReference"/>
        </w:rPr>
        <w:footnoteRef/>
      </w:r>
      <w:r>
        <w:t xml:space="preserve"> </w:t>
      </w:r>
      <w:proofErr w:type="spellStart"/>
      <w:r w:rsidR="00956C55">
        <w:t>Nao</w:t>
      </w:r>
      <w:r w:rsidR="00956C55">
        <w:rPr>
          <w:rFonts w:cstheme="minorHAnsi"/>
        </w:rPr>
        <w:t>ë</w:t>
      </w:r>
      <w:proofErr w:type="spellEnd"/>
      <w:r w:rsidR="00956C55">
        <w:rPr>
          <w:rFonts w:cstheme="minorHAnsi"/>
        </w:rPr>
        <w:t xml:space="preserve"> </w:t>
      </w:r>
      <w:proofErr w:type="spellStart"/>
      <w:r w:rsidR="00956C55">
        <w:t>Yukita</w:t>
      </w:r>
      <w:proofErr w:type="spellEnd"/>
      <w:r w:rsidR="00956C55">
        <w:t xml:space="preserve"> Yoshikawa, ‘</w:t>
      </w:r>
      <w:r>
        <w:t xml:space="preserve">Medicine, </w:t>
      </w:r>
      <w:r w:rsidR="00956C55">
        <w:t>R</w:t>
      </w:r>
      <w:r>
        <w:t xml:space="preserve">eligion, and </w:t>
      </w:r>
      <w:r w:rsidR="00956C55">
        <w:t>G</w:t>
      </w:r>
      <w:r>
        <w:t>ender</w:t>
      </w:r>
      <w:r w:rsidR="00956C55">
        <w:t xml:space="preserve"> in Medieval Culture’</w:t>
      </w:r>
      <w:r>
        <w:t xml:space="preserve">, p.30. </w:t>
      </w:r>
    </w:p>
  </w:footnote>
  <w:footnote w:id="10">
    <w:p w14:paraId="720A4115" w14:textId="12EFD6EC" w:rsidR="00C20609" w:rsidRDefault="00C20609">
      <w:pPr>
        <w:pStyle w:val="FootnoteText"/>
      </w:pPr>
      <w:r>
        <w:rPr>
          <w:rStyle w:val="FootnoteReference"/>
        </w:rPr>
        <w:footnoteRef/>
      </w:r>
      <w:r>
        <w:t xml:space="preserve"> </w:t>
      </w:r>
      <w:r w:rsidR="00956C55">
        <w:t>Faye Marie Getz, ‘</w:t>
      </w:r>
      <w:r>
        <w:t xml:space="preserve">Medicine in the English </w:t>
      </w:r>
      <w:r w:rsidR="00956C55">
        <w:t>M</w:t>
      </w:r>
      <w:r>
        <w:t xml:space="preserve">iddle </w:t>
      </w:r>
      <w:r w:rsidR="00956C55">
        <w:t>A</w:t>
      </w:r>
      <w:r>
        <w:t>ges</w:t>
      </w:r>
      <w:r w:rsidR="00956C55">
        <w:t>’</w:t>
      </w:r>
      <w:r>
        <w:t xml:space="preserve">, p.10. </w:t>
      </w:r>
    </w:p>
  </w:footnote>
  <w:footnote w:id="11">
    <w:p w14:paraId="15FBD712" w14:textId="04229319" w:rsidR="00C20609" w:rsidRDefault="00C20609">
      <w:pPr>
        <w:pStyle w:val="FootnoteText"/>
      </w:pPr>
      <w:r>
        <w:rPr>
          <w:rStyle w:val="FootnoteReference"/>
        </w:rPr>
        <w:footnoteRef/>
      </w:r>
      <w:r>
        <w:t xml:space="preserve"> </w:t>
      </w:r>
      <w:r w:rsidR="00956C55">
        <w:t>Yoshikawa, ‘</w:t>
      </w:r>
      <w:r>
        <w:t xml:space="preserve">Medicine, </w:t>
      </w:r>
      <w:r w:rsidR="00956C55">
        <w:t>R</w:t>
      </w:r>
      <w:r>
        <w:t xml:space="preserve">eligion, and </w:t>
      </w:r>
      <w:r w:rsidR="00956C55">
        <w:t>G</w:t>
      </w:r>
      <w:r>
        <w:t>ender</w:t>
      </w:r>
      <w:r w:rsidR="00956C55">
        <w:t>’</w:t>
      </w:r>
      <w:r>
        <w:t xml:space="preserve">, p.29. </w:t>
      </w:r>
    </w:p>
  </w:footnote>
  <w:footnote w:id="12">
    <w:p w14:paraId="4DB636C5" w14:textId="0BCDE0E8" w:rsidR="003C18E8" w:rsidRDefault="003C18E8">
      <w:pPr>
        <w:pStyle w:val="FootnoteText"/>
      </w:pPr>
      <w:r>
        <w:rPr>
          <w:rStyle w:val="FootnoteReference"/>
        </w:rPr>
        <w:footnoteRef/>
      </w:r>
      <w:r>
        <w:t xml:space="preserve"> ‘The Mysterious Woman of Salerno [Trotula of Salerno Famous Medieval Doctor]’, p.40. </w:t>
      </w:r>
    </w:p>
  </w:footnote>
  <w:footnote w:id="13">
    <w:p w14:paraId="2278BE39" w14:textId="63BAA8A8" w:rsidR="005614EA" w:rsidRDefault="005614EA">
      <w:pPr>
        <w:pStyle w:val="FootnoteText"/>
      </w:pPr>
      <w:r>
        <w:rPr>
          <w:rStyle w:val="FootnoteReference"/>
        </w:rPr>
        <w:footnoteRef/>
      </w:r>
      <w:r>
        <w:t xml:space="preserve"> Monica H. Green, ‘Reconstructing the Oeuvre of </w:t>
      </w:r>
      <w:proofErr w:type="spellStart"/>
      <w:r>
        <w:t>Trota</w:t>
      </w:r>
      <w:proofErr w:type="spellEnd"/>
      <w:r>
        <w:t xml:space="preserve"> of Salerno’, p.215. </w:t>
      </w:r>
    </w:p>
  </w:footnote>
  <w:footnote w:id="14">
    <w:p w14:paraId="71774272" w14:textId="309EAF49" w:rsidR="000E0DBC" w:rsidRDefault="000E0DBC">
      <w:pPr>
        <w:pStyle w:val="FootnoteText"/>
      </w:pPr>
      <w:r>
        <w:rPr>
          <w:rStyle w:val="FootnoteReference"/>
        </w:rPr>
        <w:footnoteRef/>
      </w:r>
      <w:r>
        <w:t xml:space="preserve"> </w:t>
      </w:r>
      <w:r w:rsidR="00956C55">
        <w:t xml:space="preserve">Yoshikawa, ‘Medicine, Religion, and Gender’, </w:t>
      </w:r>
      <w:r>
        <w:t xml:space="preserve">p.29. </w:t>
      </w:r>
    </w:p>
  </w:footnote>
  <w:footnote w:id="15">
    <w:p w14:paraId="0809914E" w14:textId="5B10376F" w:rsidR="00B312AF" w:rsidRDefault="00B312AF">
      <w:pPr>
        <w:pStyle w:val="FootnoteText"/>
      </w:pPr>
      <w:r>
        <w:rPr>
          <w:rStyle w:val="FootnoteReference"/>
        </w:rPr>
        <w:footnoteRef/>
      </w:r>
      <w:r>
        <w:t xml:space="preserve"> </w:t>
      </w:r>
      <w:r w:rsidR="00956C55">
        <w:t xml:space="preserve">Yoshikawa, ‘Medicine, Religion, and Gender’, </w:t>
      </w:r>
      <w:r>
        <w:t xml:space="preserve">p.31. </w:t>
      </w:r>
    </w:p>
  </w:footnote>
  <w:footnote w:id="16">
    <w:p w14:paraId="39534B17" w14:textId="7B52CFF8" w:rsidR="00465B21" w:rsidRDefault="00465B21">
      <w:pPr>
        <w:pStyle w:val="FootnoteText"/>
      </w:pPr>
      <w:r>
        <w:rPr>
          <w:rStyle w:val="FootnoteReference"/>
        </w:rPr>
        <w:footnoteRef/>
      </w:r>
      <w:r>
        <w:t xml:space="preserve"> </w:t>
      </w:r>
      <w:r w:rsidR="00FF206C">
        <w:t xml:space="preserve">Francia and Stobart, ‘Critical approaches’, </w:t>
      </w:r>
      <w:r w:rsidR="003C18E8">
        <w:t xml:space="preserve">p.50. </w:t>
      </w:r>
    </w:p>
  </w:footnote>
  <w:footnote w:id="17">
    <w:p w14:paraId="04DEE9E2" w14:textId="7341C6CD" w:rsidR="00695E24" w:rsidRDefault="00695E24">
      <w:pPr>
        <w:pStyle w:val="FootnoteText"/>
      </w:pPr>
      <w:r>
        <w:rPr>
          <w:rStyle w:val="FootnoteReference"/>
        </w:rPr>
        <w:footnoteRef/>
      </w:r>
      <w:r>
        <w:t xml:space="preserve"> </w:t>
      </w:r>
      <w:r w:rsidR="00956C55">
        <w:t>Getz, ‘</w:t>
      </w:r>
      <w:r>
        <w:t>Medicine in the English Middle Ages</w:t>
      </w:r>
      <w:r w:rsidR="00956C55">
        <w:t>’</w:t>
      </w:r>
      <w:r>
        <w:t xml:space="preserve">, p.91. </w:t>
      </w:r>
    </w:p>
  </w:footnote>
  <w:footnote w:id="18">
    <w:p w14:paraId="4E80C515" w14:textId="1573D7B8" w:rsidR="00695E24" w:rsidRDefault="00695E24">
      <w:pPr>
        <w:pStyle w:val="FootnoteText"/>
      </w:pPr>
      <w:r>
        <w:rPr>
          <w:rStyle w:val="FootnoteReference"/>
        </w:rPr>
        <w:footnoteRef/>
      </w:r>
      <w:r>
        <w:t xml:space="preserve"> </w:t>
      </w:r>
      <w:r w:rsidR="00956C55">
        <w:t xml:space="preserve">Getz, ‘Medicine in the English Middle Ages’, </w:t>
      </w:r>
      <w:r>
        <w:t xml:space="preserve">p.10. </w:t>
      </w:r>
    </w:p>
  </w:footnote>
  <w:footnote w:id="19">
    <w:p w14:paraId="1EAE10EC" w14:textId="3D510FFB" w:rsidR="00CB5A21" w:rsidRDefault="00CB5A21">
      <w:pPr>
        <w:pStyle w:val="FootnoteText"/>
      </w:pPr>
      <w:r>
        <w:rPr>
          <w:rStyle w:val="FootnoteReference"/>
        </w:rPr>
        <w:footnoteRef/>
      </w:r>
      <w:r>
        <w:t xml:space="preserve"> </w:t>
      </w:r>
      <w:r w:rsidR="00956C55">
        <w:t xml:space="preserve">Getz, ‘Medicine in the English Middle Ages’, </w:t>
      </w:r>
      <w:r>
        <w:t xml:space="preserve">p.10. </w:t>
      </w:r>
    </w:p>
  </w:footnote>
  <w:footnote w:id="20">
    <w:p w14:paraId="168B325C" w14:textId="5A2D8DE6" w:rsidR="00D505FF" w:rsidRDefault="00D505FF">
      <w:pPr>
        <w:pStyle w:val="FootnoteText"/>
      </w:pPr>
      <w:r>
        <w:rPr>
          <w:rStyle w:val="FootnoteReference"/>
        </w:rPr>
        <w:footnoteRef/>
      </w:r>
      <w:r>
        <w:t xml:space="preserve"> </w:t>
      </w:r>
      <w:r w:rsidR="00956C55">
        <w:t xml:space="preserve">Yoshikawa, ‘Medicine, Religion, and Gender’, </w:t>
      </w:r>
      <w:r w:rsidR="005614EA">
        <w:t xml:space="preserve">p.31.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942923"/>
    <w:multiLevelType w:val="hybridMultilevel"/>
    <w:tmpl w:val="9ECED44A"/>
    <w:lvl w:ilvl="0" w:tplc="42B0C2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73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E9D"/>
    <w:rsid w:val="00016286"/>
    <w:rsid w:val="000220E4"/>
    <w:rsid w:val="00087060"/>
    <w:rsid w:val="000A05D8"/>
    <w:rsid w:val="000E0DBC"/>
    <w:rsid w:val="00191212"/>
    <w:rsid w:val="00250644"/>
    <w:rsid w:val="00255A22"/>
    <w:rsid w:val="00262414"/>
    <w:rsid w:val="00264B9A"/>
    <w:rsid w:val="00280209"/>
    <w:rsid w:val="002C6422"/>
    <w:rsid w:val="002D3789"/>
    <w:rsid w:val="003013AB"/>
    <w:rsid w:val="00304346"/>
    <w:rsid w:val="0035305D"/>
    <w:rsid w:val="0039284E"/>
    <w:rsid w:val="003942CA"/>
    <w:rsid w:val="003C18E8"/>
    <w:rsid w:val="003E797D"/>
    <w:rsid w:val="00465B21"/>
    <w:rsid w:val="00480C85"/>
    <w:rsid w:val="004D0A21"/>
    <w:rsid w:val="005142F7"/>
    <w:rsid w:val="005614EA"/>
    <w:rsid w:val="0056678B"/>
    <w:rsid w:val="005B59C9"/>
    <w:rsid w:val="00635690"/>
    <w:rsid w:val="00695E24"/>
    <w:rsid w:val="006F14BF"/>
    <w:rsid w:val="00707E9D"/>
    <w:rsid w:val="008631D4"/>
    <w:rsid w:val="008636F2"/>
    <w:rsid w:val="00864F23"/>
    <w:rsid w:val="008865A9"/>
    <w:rsid w:val="008B3F3E"/>
    <w:rsid w:val="008D5193"/>
    <w:rsid w:val="00910719"/>
    <w:rsid w:val="00920914"/>
    <w:rsid w:val="009331AB"/>
    <w:rsid w:val="009462A2"/>
    <w:rsid w:val="00956C55"/>
    <w:rsid w:val="009753C9"/>
    <w:rsid w:val="00990847"/>
    <w:rsid w:val="009F63C6"/>
    <w:rsid w:val="00A557E9"/>
    <w:rsid w:val="00A838DA"/>
    <w:rsid w:val="00AA09CC"/>
    <w:rsid w:val="00B26CD6"/>
    <w:rsid w:val="00B312AF"/>
    <w:rsid w:val="00B54EC9"/>
    <w:rsid w:val="00B977B6"/>
    <w:rsid w:val="00C20609"/>
    <w:rsid w:val="00C515E1"/>
    <w:rsid w:val="00C77F4D"/>
    <w:rsid w:val="00CB5A21"/>
    <w:rsid w:val="00CC4F5F"/>
    <w:rsid w:val="00CF2DB5"/>
    <w:rsid w:val="00CF4914"/>
    <w:rsid w:val="00D464B5"/>
    <w:rsid w:val="00D505FF"/>
    <w:rsid w:val="00D5174F"/>
    <w:rsid w:val="00D64325"/>
    <w:rsid w:val="00D9586E"/>
    <w:rsid w:val="00DC5973"/>
    <w:rsid w:val="00DE1E64"/>
    <w:rsid w:val="00E50B9B"/>
    <w:rsid w:val="00E94430"/>
    <w:rsid w:val="00F42CBC"/>
    <w:rsid w:val="00F57D2F"/>
    <w:rsid w:val="00F63F61"/>
    <w:rsid w:val="00F72B97"/>
    <w:rsid w:val="00FC0972"/>
    <w:rsid w:val="00FD7CD4"/>
    <w:rsid w:val="00FE41B7"/>
    <w:rsid w:val="00FF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2A208"/>
  <w15:chartTrackingRefBased/>
  <w15:docId w15:val="{2FFBBD97-0FFE-41AF-B9D6-571B45D03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9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E797D"/>
    <w:rPr>
      <w:b/>
      <w:bCs/>
    </w:rPr>
  </w:style>
  <w:style w:type="paragraph" w:styleId="ListParagraph">
    <w:name w:val="List Paragraph"/>
    <w:basedOn w:val="Normal"/>
    <w:uiPriority w:val="34"/>
    <w:qFormat/>
    <w:rsid w:val="00B54EC9"/>
    <w:pPr>
      <w:ind w:left="720"/>
      <w:contextualSpacing/>
    </w:pPr>
  </w:style>
  <w:style w:type="paragraph" w:styleId="FootnoteText">
    <w:name w:val="footnote text"/>
    <w:basedOn w:val="Normal"/>
    <w:link w:val="FootnoteTextChar"/>
    <w:uiPriority w:val="99"/>
    <w:semiHidden/>
    <w:unhideWhenUsed/>
    <w:rsid w:val="00465B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5B21"/>
    <w:rPr>
      <w:sz w:val="20"/>
      <w:szCs w:val="20"/>
    </w:rPr>
  </w:style>
  <w:style w:type="character" w:styleId="FootnoteReference">
    <w:name w:val="footnote reference"/>
    <w:basedOn w:val="DefaultParagraphFont"/>
    <w:uiPriority w:val="99"/>
    <w:semiHidden/>
    <w:unhideWhenUsed/>
    <w:rsid w:val="00465B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794131">
      <w:bodyDiv w:val="1"/>
      <w:marLeft w:val="0"/>
      <w:marRight w:val="0"/>
      <w:marTop w:val="0"/>
      <w:marBottom w:val="0"/>
      <w:divBdr>
        <w:top w:val="none" w:sz="0" w:space="0" w:color="auto"/>
        <w:left w:val="none" w:sz="0" w:space="0" w:color="auto"/>
        <w:bottom w:val="none" w:sz="0" w:space="0" w:color="auto"/>
        <w:right w:val="none" w:sz="0" w:space="0" w:color="auto"/>
      </w:divBdr>
    </w:div>
    <w:div w:id="1974872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692</TotalTime>
  <Pages>9</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53</cp:revision>
  <dcterms:created xsi:type="dcterms:W3CDTF">2023-03-24T10:26:00Z</dcterms:created>
  <dcterms:modified xsi:type="dcterms:W3CDTF">2023-05-21T16:45:00Z</dcterms:modified>
</cp:coreProperties>
</file>