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76765" w14:textId="77777777" w:rsidR="00615F39" w:rsidRDefault="00615F39" w:rsidP="00E35F3B">
      <w:pPr>
        <w:pStyle w:val="Title"/>
        <w:spacing w:line="480" w:lineRule="auto"/>
      </w:pPr>
      <w:r w:rsidRPr="00615F39">
        <w:t>Discuss the criminal courts in England and Wales and the extent to which they are in need of reform. In particular the Magistrate and Crown Court.</w:t>
      </w:r>
    </w:p>
    <w:p w14:paraId="21568BCC" w14:textId="5297D43B" w:rsidR="006B2880" w:rsidRDefault="003B1CC3" w:rsidP="00E35F3B">
      <w:pPr>
        <w:spacing w:after="0" w:line="480" w:lineRule="auto"/>
        <w:jc w:val="center"/>
        <w:rPr>
          <w:b/>
        </w:rPr>
      </w:pPr>
      <w:r>
        <w:rPr>
          <w:b/>
        </w:rPr>
        <w:t xml:space="preserve">Maryam rahouf </w:t>
      </w:r>
    </w:p>
    <w:p w14:paraId="103DDF90" w14:textId="58E024C0" w:rsidR="006B2880" w:rsidRDefault="003B1CC3" w:rsidP="00E35F3B">
      <w:pPr>
        <w:spacing w:after="0" w:line="480" w:lineRule="auto"/>
        <w:jc w:val="center"/>
        <w:rPr>
          <w:b/>
        </w:rPr>
      </w:pPr>
      <w:r>
        <w:rPr>
          <w:b/>
        </w:rPr>
        <w:t>Zita draper</w:t>
      </w:r>
    </w:p>
    <w:p w14:paraId="30B6519C" w14:textId="6F8016D7" w:rsidR="006B2880" w:rsidRPr="00615F39" w:rsidRDefault="003B1CC3" w:rsidP="00E35F3B">
      <w:pPr>
        <w:spacing w:after="0" w:line="480" w:lineRule="auto"/>
        <w:jc w:val="center"/>
        <w:rPr>
          <w:b/>
        </w:rPr>
      </w:pPr>
      <w:r>
        <w:rPr>
          <w:b/>
        </w:rPr>
        <w:t xml:space="preserve">University of wales saint trinity David </w:t>
      </w:r>
    </w:p>
    <w:p w14:paraId="5D658D49" w14:textId="77777777" w:rsidR="006B2880" w:rsidRPr="006B2880" w:rsidRDefault="006B2880" w:rsidP="00E35F3B">
      <w:pPr>
        <w:spacing w:after="0" w:line="480" w:lineRule="auto"/>
        <w:rPr>
          <w:b/>
        </w:rPr>
      </w:pPr>
      <w:r w:rsidRPr="006B2880">
        <w:rPr>
          <w:b/>
        </w:rPr>
        <w:t xml:space="preserve">Word Court: 1846 </w:t>
      </w:r>
      <w:r w:rsidRPr="006B2880">
        <w:rPr>
          <w:b/>
        </w:rPr>
        <w:br w:type="page"/>
      </w:r>
    </w:p>
    <w:p w14:paraId="1BEA0B87" w14:textId="77777777" w:rsidR="009F5F07" w:rsidRDefault="00611B78" w:rsidP="00E35F3B">
      <w:pPr>
        <w:spacing w:after="0" w:line="480" w:lineRule="auto"/>
      </w:pPr>
      <w:r w:rsidRPr="00611B78">
        <w:t xml:space="preserve">The </w:t>
      </w:r>
      <w:r w:rsidR="00F204B6">
        <w:t>“</w:t>
      </w:r>
      <w:r w:rsidRPr="00611B78">
        <w:t>House of Lords Select Committee on the Constitution,</w:t>
      </w:r>
      <w:r w:rsidR="00F204B6">
        <w:t>”</w:t>
      </w:r>
      <w:r w:rsidRPr="00611B78">
        <w:t xml:space="preserve"> in their </w:t>
      </w:r>
      <w:r w:rsidR="00830095">
        <w:t>“</w:t>
      </w:r>
      <w:r w:rsidRPr="00611B78">
        <w:t>22</w:t>
      </w:r>
      <w:r w:rsidRPr="00F204B6">
        <w:rPr>
          <w:vertAlign w:val="superscript"/>
        </w:rPr>
        <w:t>nd</w:t>
      </w:r>
      <w:r w:rsidRPr="00611B78">
        <w:t xml:space="preserve"> Report of Session 2019-21 (HL Paper 257 COVID-19 and the Courts),</w:t>
      </w:r>
      <w:r w:rsidR="00830095">
        <w:t>”</w:t>
      </w:r>
      <w:r w:rsidRPr="00611B78">
        <w:t xml:space="preserve"> expressed a clear perspective on the</w:t>
      </w:r>
      <w:r w:rsidR="00650695">
        <w:t xml:space="preserve"> backlog, characterising it as “</w:t>
      </w:r>
      <w:r w:rsidRPr="00611B78">
        <w:t>unacce</w:t>
      </w:r>
      <w:r w:rsidR="00650695">
        <w:t>ptably high before the pandemic</w:t>
      </w:r>
      <w:r w:rsidR="00910A69">
        <w:t>…</w:t>
      </w:r>
      <w:r w:rsidRPr="00611B78">
        <w:t>ne</w:t>
      </w:r>
      <w:r w:rsidR="00650695">
        <w:t>ither acceptable nor inevitable</w:t>
      </w:r>
      <w:r w:rsidRPr="00611B78">
        <w:t>,</w:t>
      </w:r>
      <w:r w:rsidR="00910A69">
        <w:t>”</w:t>
      </w:r>
      <w:r w:rsidRPr="00611B78">
        <w:t xml:space="preserve"> and attributing it to a prolonged lack of investment in the criminal justice system.</w:t>
      </w:r>
      <w:r w:rsidR="00910A69">
        <w:rPr>
          <w:rStyle w:val="FootnoteReference"/>
        </w:rPr>
        <w:footnoteReference w:id="1"/>
      </w:r>
      <w:r w:rsidRPr="00611B78">
        <w:t xml:space="preserve"> The report jointly issued by </w:t>
      </w:r>
      <w:r w:rsidR="00830095">
        <w:t>“</w:t>
      </w:r>
      <w:r w:rsidRPr="00611B78">
        <w:t>Her Majesty's Crown P</w:t>
      </w:r>
      <w:r w:rsidR="00CE37E5">
        <w:t>rosecution Service Inspectorate</w:t>
      </w:r>
      <w:r w:rsidR="00830095">
        <w:t>”</w:t>
      </w:r>
      <w:r w:rsidRPr="00611B78">
        <w:t xml:space="preserve"> highlights the long-standing impact of system delays on victims and witnesses.</w:t>
      </w:r>
      <w:r w:rsidR="00CE37E5">
        <w:rPr>
          <w:rStyle w:val="FootnoteReference"/>
        </w:rPr>
        <w:footnoteReference w:id="2"/>
      </w:r>
      <w:r w:rsidRPr="00611B78">
        <w:t xml:space="preserve"> In a more concise manner, a Chief Constable from the Southern Force expressed the view that the HMCTS was facing significant challenges p</w:t>
      </w:r>
      <w:r w:rsidR="009A4663">
        <w:t xml:space="preserve">rior to the impact of </w:t>
      </w:r>
      <w:r w:rsidR="00830095">
        <w:t>the pandemic</w:t>
      </w:r>
      <w:r w:rsidRPr="00611B78">
        <w:t>.</w:t>
      </w:r>
      <w:r w:rsidR="009A4663">
        <w:rPr>
          <w:rStyle w:val="FootnoteReference"/>
        </w:rPr>
        <w:footnoteReference w:id="3"/>
      </w:r>
    </w:p>
    <w:p w14:paraId="7CC903FE" w14:textId="77777777" w:rsidR="00A06144" w:rsidRDefault="00896D2C" w:rsidP="00E35F3B">
      <w:pPr>
        <w:spacing w:after="0" w:line="480" w:lineRule="auto"/>
      </w:pPr>
      <w:r w:rsidRPr="00896D2C">
        <w:t xml:space="preserve">Over the past decade, the </w:t>
      </w:r>
      <w:r w:rsidR="00A20481" w:rsidRPr="00896D2C">
        <w:t>employment</w:t>
      </w:r>
      <w:r w:rsidRPr="00896D2C">
        <w:t xml:space="preserve"> of austerity measures within the public sector has significantly impacted the justice system, resulting in substantial repercussions. Over the course of a decade, a systematic programme of court closures resulted in the closure of almo</w:t>
      </w:r>
      <w:r w:rsidR="00A20481">
        <w:t>st one-third of all magistrates’</w:t>
      </w:r>
      <w:r w:rsidRPr="00896D2C">
        <w:t xml:space="preserve"> courts in England and Wales. This initiative also led to a significant reduction in the number of magistrates, declining from </w:t>
      </w:r>
      <w:r w:rsidR="002D20AA">
        <w:t>“</w:t>
      </w:r>
      <w:r w:rsidRPr="00896D2C">
        <w:t>25,710 in 2012 to 14,348 in 2021.</w:t>
      </w:r>
      <w:r w:rsidR="002D20AA">
        <w:t>”</w:t>
      </w:r>
      <w:r w:rsidR="002D20AA">
        <w:rPr>
          <w:rStyle w:val="FootnoteReference"/>
        </w:rPr>
        <w:footnoteReference w:id="4"/>
      </w:r>
      <w:r w:rsidRPr="00896D2C">
        <w:t xml:space="preserve"> The closing of </w:t>
      </w:r>
      <w:r w:rsidR="009E1E8C">
        <w:t>“</w:t>
      </w:r>
      <w:r w:rsidRPr="00896D2C">
        <w:t>129 magistrates' courts since 2012,</w:t>
      </w:r>
      <w:r w:rsidR="009E1E8C">
        <w:t>”</w:t>
      </w:r>
      <w:r w:rsidRPr="00896D2C">
        <w:t xml:space="preserve"> coupled with reductions in the Crown Court system, have significantly limited the availability of judicial sitting days. As per a representative from the Criminal Bar Association, it has been seen that the courts have been experiencing the consequences of budget reductions initiated during the tenure of </w:t>
      </w:r>
      <w:r w:rsidR="00CB5239">
        <w:t>“</w:t>
      </w:r>
      <w:r w:rsidRPr="00896D2C">
        <w:t>Chris Grayling, the Minister for Justice</w:t>
      </w:r>
      <w:r w:rsidR="00CB5239">
        <w:t>”</w:t>
      </w:r>
      <w:r w:rsidRPr="00896D2C">
        <w:t xml:space="preserve"> from 2012 to 2015, far in advance of the onset of the COVID-19 pandemic.</w:t>
      </w:r>
      <w:r w:rsidR="00DA30CE">
        <w:rPr>
          <w:rStyle w:val="FootnoteReference"/>
        </w:rPr>
        <w:footnoteReference w:id="5"/>
      </w:r>
      <w:r w:rsidRPr="00896D2C">
        <w:t xml:space="preserve"> According to Treasury figures, there has been a notable decrease in funding allocated to the courts under the tenure of Grayling and subsequent successors. According to </w:t>
      </w:r>
      <w:r w:rsidR="007B5A70">
        <w:t>“</w:t>
      </w:r>
      <w:r w:rsidRPr="00896D2C">
        <w:t>the House of Commons,</w:t>
      </w:r>
      <w:r w:rsidR="007B5A70">
        <w:t>”</w:t>
      </w:r>
      <w:r w:rsidRPr="00896D2C">
        <w:t xml:space="preserve"> the Annual Resource data indicate a decline of more than 20% from 2010/11 to 2014/15, which persisted until 2019.</w:t>
      </w:r>
      <w:r w:rsidR="005A195F">
        <w:rPr>
          <w:rStyle w:val="FootnoteReference"/>
        </w:rPr>
        <w:footnoteReference w:id="6"/>
      </w:r>
      <w:r w:rsidRPr="00896D2C">
        <w:t xml:space="preserve"> Nevertheless, the courts have experienced a decline in its ability to handle documented criminal cases, not just since 2010, but throughout the past five decades due to progressively diminishing amounts of funding. The number of documented crimes by the Home Office has consistently surpassed the number of cases reaching court (receipts) since the 1970s.</w:t>
      </w:r>
      <w:r w:rsidR="00591905">
        <w:rPr>
          <w:rStyle w:val="FootnoteReference"/>
        </w:rPr>
        <w:footnoteReference w:id="7"/>
      </w:r>
      <w:r w:rsidRPr="00896D2C">
        <w:t xml:space="preserve"> The courts shown a lack of progress in enhancing their efficiency over a span of four decades prior to the onset of the COVID-19 pandemic. Moreover, they fell significantly short of effectively addressing the entirety of documented criminal</w:t>
      </w:r>
      <w:r w:rsidR="00D76B8F">
        <w:t xml:space="preserve"> cases, as depicted in the Figure below;</w:t>
      </w:r>
      <w:r w:rsidR="00DD0D80">
        <w:rPr>
          <w:rStyle w:val="FootnoteReference"/>
        </w:rPr>
        <w:footnoteReference w:id="8"/>
      </w:r>
      <w:r w:rsidRPr="00896D2C">
        <w:t xml:space="preserve"> </w:t>
      </w:r>
      <w:r w:rsidR="00615F39">
        <w:t xml:space="preserve"> </w:t>
      </w:r>
    </w:p>
    <w:p w14:paraId="46AB3231" w14:textId="77777777" w:rsidR="00472CBF" w:rsidRDefault="00472CBF" w:rsidP="00E35F3B">
      <w:pPr>
        <w:spacing w:after="0" w:line="480" w:lineRule="auto"/>
        <w:jc w:val="center"/>
      </w:pPr>
      <w:r>
        <w:rPr>
          <w:noProof/>
          <w:lang w:val="en-US"/>
        </w:rPr>
        <w:drawing>
          <wp:inline distT="0" distB="0" distL="0" distR="0" wp14:anchorId="042B104D" wp14:editId="031D1865">
            <wp:extent cx="5172075" cy="27336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72075" cy="2733675"/>
                    </a:xfrm>
                    <a:prstGeom prst="rect">
                      <a:avLst/>
                    </a:prstGeom>
                    <a:ln>
                      <a:solidFill>
                        <a:schemeClr val="tx1"/>
                      </a:solidFill>
                    </a:ln>
                  </pic:spPr>
                </pic:pic>
              </a:graphicData>
            </a:graphic>
          </wp:inline>
        </w:drawing>
      </w:r>
    </w:p>
    <w:p w14:paraId="30B152A6" w14:textId="77777777" w:rsidR="003B3404" w:rsidRDefault="00171A92" w:rsidP="00E35F3B">
      <w:pPr>
        <w:spacing w:after="0" w:line="480" w:lineRule="auto"/>
      </w:pPr>
      <w:r w:rsidRPr="00171A92">
        <w:t>According to several analysts, a potential solution to address and ultimately eliminate the backlog is to counteract austerity measures by implementing a prolonged period of financial investment. According to the calculations conducted by the Institute for Government, it has been determined that the government would be required to allocate a minimum of £55 million to £110 million year for a duration of at least two years, in order to support various innovative initiatives, including the expanded implementation of remote hearings. According to the HMCPSI, a total of £142 million has been allocated for the purpose of expanding the capacity of over 100 courts. However, it should be noted that several Nightingale Courts, which temporarily addressed the issue of court closures in 2020, had returned to their original non-judicial responsibilities under local authorities or commercial entities by June 2021. Additionally, the implementation of this measure would provide the use of an additional 750 courtrooms for the purpose of conducting remote hearings. Furthermore, an extra allocation of £20 million was announced to enhance the existing prison videoconferencing systems. Nevertheless, the authors of the report nevertheless reached the</w:t>
      </w:r>
      <w:r w:rsidR="00EF0DCD">
        <w:t xml:space="preserve"> conclusion that this approach “…</w:t>
      </w:r>
      <w:r w:rsidRPr="00171A92">
        <w:t xml:space="preserve">may not be adequate due to the historical lack of investment </w:t>
      </w:r>
      <w:r w:rsidR="00EF0DCD">
        <w:t>in the criminal justice system</w:t>
      </w:r>
      <w:r w:rsidR="006278D3">
        <w:t>.</w:t>
      </w:r>
      <w:r w:rsidR="00EF0DCD">
        <w:t>”</w:t>
      </w:r>
      <w:r w:rsidR="00EF0DCD">
        <w:rPr>
          <w:rStyle w:val="FootnoteReference"/>
        </w:rPr>
        <w:footnoteReference w:id="9"/>
      </w:r>
      <w:r w:rsidRPr="00171A92">
        <w:t xml:space="preserve"> </w:t>
      </w:r>
      <w:r w:rsidR="006278D3">
        <w:t>“</w:t>
      </w:r>
      <w:r w:rsidRPr="00171A92">
        <w:t>Lord Burnett of Maldon,</w:t>
      </w:r>
      <w:r w:rsidR="006278D3">
        <w:t>”</w:t>
      </w:r>
      <w:r w:rsidRPr="00171A92">
        <w:t xml:space="preserve"> the present holder of the position of </w:t>
      </w:r>
      <w:r w:rsidR="006278D3">
        <w:t>“</w:t>
      </w:r>
      <w:r w:rsidRPr="00171A92">
        <w:t>Lord Chief Justice,</w:t>
      </w:r>
      <w:r w:rsidR="006278D3">
        <w:t>”</w:t>
      </w:r>
      <w:r w:rsidRPr="00171A92">
        <w:t xml:space="preserve"> concurred with the notion and expressed his concerns to the House of Lords that the anticipated augmentation of jury trials, made possible by the revival of pre-existing Crown Courts and the establishment of new </w:t>
      </w:r>
      <w:r w:rsidR="00804196">
        <w:t>“</w:t>
      </w:r>
      <w:r w:rsidRPr="00171A92">
        <w:t>Nightingale Courts,</w:t>
      </w:r>
      <w:r w:rsidR="00804196">
        <w:t>”</w:t>
      </w:r>
      <w:r w:rsidRPr="00171A92">
        <w:t xml:space="preserve"> would yield only a marginal impact.</w:t>
      </w:r>
      <w:r w:rsidR="00EA7952">
        <w:rPr>
          <w:rStyle w:val="FootnoteReference"/>
        </w:rPr>
        <w:footnoteReference w:id="10"/>
      </w:r>
      <w:r w:rsidR="000948B8">
        <w:t xml:space="preserve"> According to Dearden</w:t>
      </w:r>
      <w:r w:rsidRPr="00171A92">
        <w:t>, the Criminal Bar Association expressed its dissatisfaction with a rise of just almost 5 thousand Crown Cou</w:t>
      </w:r>
      <w:r w:rsidR="000948B8">
        <w:t>rt sitting days, viewing it as “</w:t>
      </w:r>
      <w:r w:rsidRPr="00171A92">
        <w:t>deri</w:t>
      </w:r>
      <w:r w:rsidR="000948B8">
        <w:t>sory.”</w:t>
      </w:r>
      <w:r w:rsidR="000948B8">
        <w:rPr>
          <w:rStyle w:val="FootnoteReference"/>
        </w:rPr>
        <w:footnoteReference w:id="11"/>
      </w:r>
      <w:r w:rsidRPr="00171A92">
        <w:t xml:space="preserve"> This sentiment was particularly pronounced considering that the government had reduced the number of sitting days by over </w:t>
      </w:r>
      <w:r w:rsidR="00431AD5">
        <w:t>15</w:t>
      </w:r>
      <w:r w:rsidRPr="00171A92">
        <w:t xml:space="preserve"> thousand in the preceding year.</w:t>
      </w:r>
    </w:p>
    <w:p w14:paraId="1DBC83C6" w14:textId="77777777" w:rsidR="003B3404" w:rsidRDefault="001307FB" w:rsidP="00E35F3B">
      <w:pPr>
        <w:spacing w:after="0" w:line="480" w:lineRule="auto"/>
      </w:pPr>
      <w:r w:rsidRPr="001307FB">
        <w:t xml:space="preserve">According to </w:t>
      </w:r>
      <w:r w:rsidR="004C0CD3">
        <w:t>a “</w:t>
      </w:r>
      <w:r w:rsidRPr="001307FB">
        <w:t>Crest Report,</w:t>
      </w:r>
      <w:r w:rsidR="004C0CD3">
        <w:t>”</w:t>
      </w:r>
      <w:r w:rsidRPr="001307FB">
        <w:t xml:space="preserve"> it was recommended that a much higher amount of money be allocated to the court system.</w:t>
      </w:r>
      <w:r w:rsidR="009A7118">
        <w:rPr>
          <w:rStyle w:val="FootnoteReference"/>
        </w:rPr>
        <w:footnoteReference w:id="12"/>
      </w:r>
      <w:r w:rsidRPr="001307FB">
        <w:t xml:space="preserve"> </w:t>
      </w:r>
      <w:r w:rsidR="00DE5240">
        <w:t>I</w:t>
      </w:r>
      <w:r w:rsidRPr="001307FB">
        <w:t>t was determined that in order to address the backlog and achieve a balanced caseload, there would be a requirement to increase the capacity of both magistrates and Crown courts by twofold.</w:t>
      </w:r>
      <w:r w:rsidR="00AD2B0C">
        <w:rPr>
          <w:rStyle w:val="FootnoteReference"/>
        </w:rPr>
        <w:footnoteReference w:id="13"/>
      </w:r>
      <w:r w:rsidRPr="001307FB">
        <w:t xml:space="preserve"> However, it is worth noting that both the CPS and HMCTS have expressed a sense of optimism over their capacity to effectively handle the crisis and have displayed a high level of confidence in their strategies for recovery, which involve the implementation of more unconventional approaches.</w:t>
      </w:r>
      <w:r w:rsidR="00915CA8">
        <w:rPr>
          <w:rStyle w:val="FootnoteReference"/>
        </w:rPr>
        <w:footnoteReference w:id="14"/>
      </w:r>
      <w:r w:rsidRPr="001307FB">
        <w:t xml:space="preserve"> According to the HMCPSI, it was argued that the pandemic did not diminish the CPS's commitment to innovation and a proactive approach in its collaboration with the judiciary and HMCTS at both local and national levels.</w:t>
      </w:r>
      <w:r w:rsidR="003B7AB2">
        <w:rPr>
          <w:rStyle w:val="FootnoteReference"/>
        </w:rPr>
        <w:footnoteReference w:id="15"/>
      </w:r>
      <w:r w:rsidRPr="001307FB">
        <w:t xml:space="preserve"> </w:t>
      </w:r>
      <w:r w:rsidR="00BA036E" w:rsidRPr="00BA036E">
        <w:t xml:space="preserve">The perspectives of police officers being </w:t>
      </w:r>
      <w:r w:rsidR="00E143DD">
        <w:t>“</w:t>
      </w:r>
      <w:r w:rsidR="00BA036E" w:rsidRPr="00BA036E">
        <w:t>interviewed as part of the Shadow Pandemic project</w:t>
      </w:r>
      <w:r w:rsidR="00E143DD">
        <w:t>”</w:t>
      </w:r>
      <w:r w:rsidR="00BA036E" w:rsidRPr="00BA036E">
        <w:t xml:space="preserve"> present a stark contrast to the aforementioned views. These officers expressed concerns regarding various issues, such a</w:t>
      </w:r>
      <w:r w:rsidR="00F6320A">
        <w:t>s the presence of ‘bottlenecks’</w:t>
      </w:r>
      <w:r w:rsidR="00BA036E" w:rsidRPr="00BA036E">
        <w:t xml:space="preserve"> and the malfunctioning of what was refe</w:t>
      </w:r>
      <w:r w:rsidR="00F6320A">
        <w:t>rred to as ‘the sausage machine</w:t>
      </w:r>
      <w:r w:rsidR="00BA036E" w:rsidRPr="00BA036E">
        <w:t>.</w:t>
      </w:r>
      <w:r w:rsidR="00F6320A">
        <w:t>’</w:t>
      </w:r>
      <w:r w:rsidR="00A1502E">
        <w:rPr>
          <w:rStyle w:val="FootnoteReference"/>
        </w:rPr>
        <w:footnoteReference w:id="16"/>
      </w:r>
      <w:r w:rsidR="00BA036E" w:rsidRPr="00BA036E">
        <w:t xml:space="preserve"> Additionally, they highlighted the poor state of relationships between the CPS and police, as well as the virtually non-existent communication</w:t>
      </w:r>
      <w:r w:rsidR="00FE5C0A">
        <w:t>.</w:t>
      </w:r>
    </w:p>
    <w:p w14:paraId="6417F1C2" w14:textId="77777777" w:rsidR="003B3404" w:rsidRDefault="00FB3CDD" w:rsidP="00E35F3B">
      <w:pPr>
        <w:spacing w:after="0" w:line="480" w:lineRule="auto"/>
      </w:pPr>
      <w:r w:rsidRPr="00FB3CDD">
        <w:t>According to a survey conducted</w:t>
      </w:r>
      <w:r w:rsidR="002C7C22">
        <w:t xml:space="preserve"> by the Police Foundation</w:t>
      </w:r>
      <w:r w:rsidRPr="00FB3CDD">
        <w:t>, a majority of Superintendents expressed dissatisfaction with the performance of courts during the lockdown period.</w:t>
      </w:r>
      <w:r w:rsidR="002C7C22">
        <w:rPr>
          <w:rStyle w:val="FootnoteReference"/>
        </w:rPr>
        <w:footnoteReference w:id="17"/>
      </w:r>
      <w:r w:rsidRPr="00FB3CDD">
        <w:t xml:space="preserve"> Specifically, 53% of respondents cons</w:t>
      </w:r>
      <w:r w:rsidR="00B35ED0">
        <w:t>idered the courts to be either “</w:t>
      </w:r>
      <w:r w:rsidRPr="00FB3CDD">
        <w:t>very ineffec</w:t>
      </w:r>
      <w:r w:rsidR="00B35ED0">
        <w:t>tive or fairly ineffective”</w:t>
      </w:r>
      <w:r w:rsidRPr="00FB3CDD">
        <w:t xml:space="preserve"> in terms of their ability to adapt and function. Similarly, a significant proportion of respondents, 27%, perceived the </w:t>
      </w:r>
      <w:r w:rsidR="007A6CDB">
        <w:t>“</w:t>
      </w:r>
      <w:r w:rsidRPr="00FB3CDD">
        <w:t>Crown Prosecution Service (CPS)</w:t>
      </w:r>
      <w:r w:rsidR="007A6CDB">
        <w:t>”</w:t>
      </w:r>
      <w:r w:rsidRPr="00FB3CDD">
        <w:t xml:space="preserve"> to be fairly or very ineffective, while only 15% believed it to be </w:t>
      </w:r>
      <w:r w:rsidR="004F2ABF">
        <w:t>effective to a large extent</w:t>
      </w:r>
      <w:r w:rsidRPr="00FB3CDD">
        <w:t xml:space="preserve">. The frameworks of the cross-CJS working group that were established during the </w:t>
      </w:r>
      <w:r w:rsidR="007354AE">
        <w:t>pandemic</w:t>
      </w:r>
      <w:r w:rsidRPr="00FB3CDD">
        <w:t xml:space="preserve"> emergency were specifically designed to enhance communication and enable an efficient response to tensions that emerged as a result of divergent organisational stances. According to </w:t>
      </w:r>
      <w:r w:rsidR="00B86AFD" w:rsidRPr="00FB3CDD">
        <w:t>a</w:t>
      </w:r>
      <w:r w:rsidR="00B67374">
        <w:t xml:space="preserve"> publication</w:t>
      </w:r>
      <w:r w:rsidRPr="00FB3CDD">
        <w:t xml:space="preserve"> by the </w:t>
      </w:r>
      <w:r w:rsidR="000F1BA6">
        <w:t>“</w:t>
      </w:r>
      <w:r w:rsidRPr="00FB3CDD">
        <w:t xml:space="preserve">Her Majesty's </w:t>
      </w:r>
      <w:r w:rsidR="007A6CDB">
        <w:t>CPS</w:t>
      </w:r>
      <w:r w:rsidRPr="00FB3CDD">
        <w:t xml:space="preserve"> Inspectorate in 2020,</w:t>
      </w:r>
      <w:r w:rsidR="00A5272C">
        <w:t>”</w:t>
      </w:r>
      <w:r w:rsidRPr="00FB3CDD">
        <w:t xml:space="preserve"> the establishment of a stronger rapport and enhanced decision-making mechanisms between the police and the </w:t>
      </w:r>
      <w:r w:rsidR="007A6CDB">
        <w:t>CPS</w:t>
      </w:r>
      <w:r w:rsidRPr="00FB3CDD">
        <w:t xml:space="preserve"> would provide advantages in the administration of justice.</w:t>
      </w:r>
      <w:r w:rsidR="007C682D">
        <w:rPr>
          <w:rStyle w:val="FootnoteReference"/>
        </w:rPr>
        <w:footnoteReference w:id="18"/>
      </w:r>
      <w:r w:rsidRPr="00FB3CDD">
        <w:t xml:space="preserve"> Nevertheless, it is important to acknowledge that these measures alone would not be adequate in mitigating and eliminating the existing backlog.</w:t>
      </w:r>
    </w:p>
    <w:p w14:paraId="05A28D7A" w14:textId="77777777" w:rsidR="003B7E13" w:rsidRPr="00A60C0D" w:rsidRDefault="003B32CC" w:rsidP="00E35F3B">
      <w:pPr>
        <w:spacing w:after="0" w:line="480" w:lineRule="auto"/>
      </w:pPr>
      <w:r>
        <w:t xml:space="preserve">The subsequent discussion examines the potential ramifications of </w:t>
      </w:r>
      <w:r w:rsidR="00D50A5D">
        <w:t>“</w:t>
      </w:r>
      <w:r>
        <w:t>out-of-court disposals (OOCD),</w:t>
      </w:r>
      <w:r w:rsidR="00D50A5D">
        <w:t>”</w:t>
      </w:r>
      <w:r>
        <w:t xml:space="preserve"> the integration of </w:t>
      </w:r>
      <w:r w:rsidR="00D50A5D">
        <w:t>“</w:t>
      </w:r>
      <w:r>
        <w:t>digital technology</w:t>
      </w:r>
      <w:r w:rsidR="00D50A5D">
        <w:t>”</w:t>
      </w:r>
      <w:r>
        <w:t xml:space="preserve"> in court proceedings, and the restructuring of the jury trial process to handle a larger number of cases.</w:t>
      </w:r>
      <w:r w:rsidR="0014210F">
        <w:rPr>
          <w:rStyle w:val="FootnoteReference"/>
        </w:rPr>
        <w:footnoteReference w:id="19"/>
      </w:r>
      <w:r>
        <w:t xml:space="preserve"> These approaches are explored as means to address the existing backlog of cases and enhance the courts' ability to </w:t>
      </w:r>
      <w:r w:rsidR="00A60C0D">
        <w:t xml:space="preserve">efficiently administer justice. </w:t>
      </w:r>
      <w:r>
        <w:t>The number of cases being handled by the magistrates' courts, and maybe the Crown courts as well, has returned to pre-COVID levels. However, a significant backlog still persists.</w:t>
      </w:r>
      <w:r w:rsidR="0092644C">
        <w:rPr>
          <w:rStyle w:val="FootnoteReference"/>
        </w:rPr>
        <w:footnoteReference w:id="20"/>
      </w:r>
      <w:r>
        <w:t xml:space="preserve"> According to a witness care officer from the Southern Force, the courts are currently facing a challenging situation. Indeed, the aforementioned phenomenon undoubtedly has significant ramifications on both the individuals subjected to it and the administration of justice, resulting in grave consequences. Currently, there exist efforts t</w:t>
      </w:r>
      <w:r w:rsidR="00A22B0B">
        <w:t xml:space="preserve">o </w:t>
      </w:r>
      <w:r w:rsidR="0076279D">
        <w:t>“</w:t>
      </w:r>
      <w:r w:rsidR="00A22B0B">
        <w:t>restructure and reconceptualis</w:t>
      </w:r>
      <w:r>
        <w:t>e the backlog as an artefact of the process.</w:t>
      </w:r>
      <w:r w:rsidR="0076279D">
        <w:t>”</w:t>
      </w:r>
      <w:r w:rsidR="00CA2D63">
        <w:rPr>
          <w:rStyle w:val="FootnoteReference"/>
        </w:rPr>
        <w:footnoteReference w:id="21"/>
      </w:r>
      <w:r>
        <w:t xml:space="preserve"> From this perspective, it is imperative to acknowledge the presence of numerous cases being processed inside the judicial system at any given moment. Consequently, the resulting volume of cases may give the appearance of a backlog, whereas in reality, these cases are progressing through the system at a standard pace. The post-hoc reasoning presented in this context may appear unsubstantial to individuals who have experienced victimisation, particularly those who have endured domestic abuse, as they encounter significant delays in the adjudication of their cases within the legal system.</w:t>
      </w:r>
      <w:r w:rsidR="0068420F">
        <w:rPr>
          <w:rStyle w:val="FootnoteReference"/>
        </w:rPr>
        <w:footnoteReference w:id="22"/>
      </w:r>
      <w:r>
        <w:t xml:space="preserve"> At its most unfavourable, this phenomenon validates and establishes as standard the criminal justice system's failure to address innovation and expeditious dispensation of justice, both of which were present prior to the </w:t>
      </w:r>
      <w:r w:rsidR="00A60C0D">
        <w:t>onset of the pandemic.</w:t>
      </w:r>
    </w:p>
    <w:p w14:paraId="481A274F" w14:textId="77777777" w:rsidR="00386E1D" w:rsidRPr="00386E1D" w:rsidRDefault="005619FC" w:rsidP="00386E1D">
      <w:pPr>
        <w:spacing w:after="0" w:line="480" w:lineRule="auto"/>
        <w:rPr>
          <w:lang w:val="en-US"/>
        </w:rPr>
      </w:pPr>
      <w:r w:rsidRPr="005619FC">
        <w:rPr>
          <w:lang w:val="en-US"/>
        </w:rPr>
        <w:t>The pandemic has had a profound impact on the criminal justice system, both by expediting and prolonging existing programmes and changes that were already underway prior to March 2020, and by worsening persistent structural resource challenges within the system, particularly within the court system. The current health emergency has provided a catalyst for potential transformative changes and presents an opportunity to tackle the inherent systemic issues, including the mounting backlog of cases. One possible approach is</w:t>
      </w:r>
      <w:r w:rsidR="00F15E7A">
        <w:rPr>
          <w:lang w:val="en-US"/>
        </w:rPr>
        <w:t xml:space="preserve"> to implement </w:t>
      </w:r>
      <w:r w:rsidR="00BF2643">
        <w:rPr>
          <w:lang w:val="en-US"/>
        </w:rPr>
        <w:t>“</w:t>
      </w:r>
      <w:r w:rsidR="00F15E7A">
        <w:rPr>
          <w:lang w:val="en-US"/>
        </w:rPr>
        <w:t>Lord Justice Auld’</w:t>
      </w:r>
      <w:r w:rsidRPr="005619FC">
        <w:rPr>
          <w:lang w:val="en-US"/>
        </w:rPr>
        <w:t>s</w:t>
      </w:r>
      <w:r w:rsidR="00BF2643">
        <w:rPr>
          <w:lang w:val="en-US"/>
        </w:rPr>
        <w:t>”</w:t>
      </w:r>
      <w:r w:rsidRPr="005619FC">
        <w:rPr>
          <w:lang w:val="en-US"/>
        </w:rPr>
        <w:t xml:space="preserve"> proposed reforms, which could significantly contribute to resolving the crisis in the courts.</w:t>
      </w:r>
      <w:r w:rsidR="00BF2643">
        <w:rPr>
          <w:rStyle w:val="FootnoteReference"/>
          <w:lang w:val="en-US"/>
        </w:rPr>
        <w:footnoteReference w:id="23"/>
      </w:r>
      <w:r w:rsidR="00386E1D">
        <w:rPr>
          <w:b/>
        </w:rPr>
        <w:br w:type="page"/>
      </w:r>
    </w:p>
    <w:p w14:paraId="2E62DF10" w14:textId="77777777" w:rsidR="00472CBF" w:rsidRPr="008A10E1" w:rsidRDefault="008A10E1" w:rsidP="00E35F3B">
      <w:pPr>
        <w:spacing w:after="0" w:line="480" w:lineRule="auto"/>
        <w:rPr>
          <w:b/>
        </w:rPr>
      </w:pPr>
      <w:r w:rsidRPr="008A10E1">
        <w:rPr>
          <w:b/>
        </w:rPr>
        <w:t>References</w:t>
      </w:r>
    </w:p>
    <w:p w14:paraId="221428BA" w14:textId="77777777" w:rsidR="0006659B" w:rsidRDefault="0006659B" w:rsidP="00E35F3B">
      <w:pPr>
        <w:spacing w:after="0" w:line="480" w:lineRule="auto"/>
      </w:pPr>
      <w:r>
        <w:t>Godfrey, Barry, Jane C. Richardson, and Sandra Walklate. "The crisis in the courts: Before and beyond COVID." The British Journal of Criminology 62, no. 4 (2022): 1036-1053.</w:t>
      </w:r>
    </w:p>
    <w:p w14:paraId="7A6B3F15" w14:textId="77777777" w:rsidR="0006659B" w:rsidRDefault="009343D6" w:rsidP="00E35F3B">
      <w:pPr>
        <w:spacing w:after="0" w:line="480" w:lineRule="auto"/>
      </w:pPr>
      <w:r>
        <w:t xml:space="preserve"> </w:t>
      </w:r>
      <w:r w:rsidR="002379B4">
        <w:t xml:space="preserve">CIPFA., </w:t>
      </w:r>
      <w:r w:rsidR="0006659B">
        <w:t xml:space="preserve">“Performance Tracker 2019: A data-driven analysis of the performance of public services” CIPFA. (2019). Retrieved from: </w:t>
      </w:r>
      <w:proofErr w:type="gramStart"/>
      <w:r w:rsidR="0006659B">
        <w:t>https://www.instituteforgovernment.org.uk/sites/default/files/publications/performance-tracker-2019.pdf</w:t>
      </w:r>
      <w:proofErr w:type="gramEnd"/>
    </w:p>
    <w:p w14:paraId="7F600ED2" w14:textId="77777777" w:rsidR="0006659B" w:rsidRDefault="0006659B" w:rsidP="00E35F3B">
      <w:pPr>
        <w:spacing w:after="0" w:line="480" w:lineRule="auto"/>
      </w:pPr>
      <w:r>
        <w:t>Dearden, L. "Coronavirus Sends Justice System into ‘Meltdown’as Criminal Court Case Backlog Passes 37,000’." The Independent (2020).</w:t>
      </w:r>
    </w:p>
    <w:p w14:paraId="23259AC8" w14:textId="77777777" w:rsidR="0006659B" w:rsidRDefault="0006659B" w:rsidP="00E35F3B">
      <w:pPr>
        <w:spacing w:after="0" w:line="480" w:lineRule="auto"/>
      </w:pPr>
      <w:r>
        <w:t xml:space="preserve">Sturge, Georgina., Robins, Joe., et al., “The spending of the Ministry of Justice.” House of Commons Library. (2019). Retrieved from: </w:t>
      </w:r>
      <w:proofErr w:type="gramStart"/>
      <w:r>
        <w:t>https://commonslibrary.parliament.uk/research-briefings/cdp-2019-0217/</w:t>
      </w:r>
      <w:proofErr w:type="gramEnd"/>
    </w:p>
    <w:p w14:paraId="74AFB44F" w14:textId="77777777" w:rsidR="0006659B" w:rsidRDefault="0006659B" w:rsidP="00E35F3B">
      <w:pPr>
        <w:spacing w:after="0" w:line="480" w:lineRule="auto"/>
      </w:pPr>
      <w:r>
        <w:t>Godfrey, Barry, Jane C. Richardson, and Sandra Walklate. "The crisis in the courts: Before and beyond COVID." The British Journal of Criminology 62, no. 4 (2022): 1036-1053.</w:t>
      </w:r>
    </w:p>
    <w:p w14:paraId="13A529BF" w14:textId="77777777" w:rsidR="0006659B" w:rsidRDefault="0006659B" w:rsidP="00E35F3B">
      <w:pPr>
        <w:spacing w:after="0" w:line="480" w:lineRule="auto"/>
      </w:pPr>
      <w:r>
        <w:t>Ames, J., and C. Baski. "Coronavirus and Suspended Jury Trials—Resuming ‘Won’t Solve the Backlog Crisis’." The Times 14 (2020).</w:t>
      </w:r>
    </w:p>
    <w:p w14:paraId="423F3F5B" w14:textId="77777777" w:rsidR="0006659B" w:rsidRDefault="0006659B" w:rsidP="00E35F3B">
      <w:pPr>
        <w:spacing w:after="0" w:line="480" w:lineRule="auto"/>
      </w:pPr>
      <w:r>
        <w:t>Dearden, L. "Coronavirus Sends Justice System into ‘Meltdown’as Criminal Court Case Backlog Passes 37,000’." The Independent (2020).</w:t>
      </w:r>
    </w:p>
    <w:p w14:paraId="0F6E5E07" w14:textId="77777777" w:rsidR="0006659B" w:rsidRDefault="0006659B" w:rsidP="00E35F3B">
      <w:pPr>
        <w:spacing w:after="0" w:line="480" w:lineRule="auto"/>
      </w:pPr>
      <w:r>
        <w:t>Godfrey, Barry, Jane C. Richardson, and Sandra Walklate. "The crisis in the courts: Before and beyond COVID." The British Journal of Criminology 62, no. 4 (2022): 1036-1053.</w:t>
      </w:r>
    </w:p>
    <w:p w14:paraId="1819EF76" w14:textId="77777777" w:rsidR="0006659B" w:rsidRDefault="0006659B" w:rsidP="00E35F3B">
      <w:pPr>
        <w:spacing w:after="0" w:line="480" w:lineRule="auto"/>
      </w:pPr>
      <w:r>
        <w:t xml:space="preserve">HM Courts &amp; Tribunals Service., “COVID-19: Update on the HMCTS response for criminal courts in England &amp; Wales.” HM Courts &amp; Tribunals Service. (2020). Retrieved from: </w:t>
      </w:r>
      <w:proofErr w:type="gramStart"/>
      <w:r>
        <w:t>https://assets.publishing.service.gov.uk/government/uploads/system/uploads/attachment_data/file/915493/HMCTS401_recovery_overview_for_crime_WEB.pdf</w:t>
      </w:r>
      <w:proofErr w:type="gramEnd"/>
      <w:r>
        <w:t xml:space="preserve"> </w:t>
      </w:r>
    </w:p>
    <w:p w14:paraId="36044F32" w14:textId="77777777" w:rsidR="0006659B" w:rsidRDefault="0006659B" w:rsidP="00E35F3B">
      <w:pPr>
        <w:spacing w:after="0" w:line="480" w:lineRule="auto"/>
      </w:pPr>
      <w:r>
        <w:t>Godfrey, Barry, Jane C. Richardson, and Sandra Walklate. "The crisis in the courts: Before and beyond COVID." The British Journal of Criminology 62, no. 4 (2022): 1036-1053.</w:t>
      </w:r>
    </w:p>
    <w:p w14:paraId="5E5EF606" w14:textId="77777777" w:rsidR="0006659B" w:rsidRDefault="0006659B" w:rsidP="00E35F3B">
      <w:pPr>
        <w:spacing w:after="0" w:line="480" w:lineRule="auto"/>
      </w:pPr>
      <w:r>
        <w:t xml:space="preserve">The Police Foundation., ‘Policing the Long Crisis: An Appraisal of the Police Response to Covid-19.’ The Police Foundation. (2020). Retrieved from: </w:t>
      </w:r>
      <w:proofErr w:type="gramStart"/>
      <w:r>
        <w:t>https://www.police-foundation.org.uk/2020/12/long-read-policing-the-long-crisis-an-appraisal-of-the-police-response-to-covid-19/</w:t>
      </w:r>
      <w:proofErr w:type="gramEnd"/>
    </w:p>
    <w:p w14:paraId="7C111B3E" w14:textId="77777777" w:rsidR="0006659B" w:rsidRDefault="0006659B" w:rsidP="00E35F3B">
      <w:pPr>
        <w:spacing w:after="0" w:line="480" w:lineRule="auto"/>
      </w:pPr>
      <w:r>
        <w:t>Garside, Richard, and Roger Grimshaw. "Criminal justice systems in the UK." (2022).</w:t>
      </w:r>
    </w:p>
    <w:p w14:paraId="374F1C46" w14:textId="77777777" w:rsidR="0006659B" w:rsidRDefault="0006659B" w:rsidP="00E35F3B">
      <w:pPr>
        <w:spacing w:after="0" w:line="480" w:lineRule="auto"/>
      </w:pPr>
      <w:r>
        <w:t>Mason, Gary., ‘OOCDs The Path to Best Practice. The Police Oracle. Retrieved from: https://www.policeoracle.com/news/best_practice/2020/Nov/09/oocds--the-path-to-best-practice-_106136.html/features</w:t>
      </w:r>
    </w:p>
    <w:p w14:paraId="70FC81EB" w14:textId="77777777" w:rsidR="0006659B" w:rsidRDefault="0006659B" w:rsidP="00E35F3B">
      <w:pPr>
        <w:spacing w:after="0" w:line="480" w:lineRule="auto"/>
      </w:pPr>
      <w:r>
        <w:t>Godfrey, Barry, Jane C. Richardson, and Sandra Walklate. "The crisis in the courts: Before and beyond COVID." The British Journal of Criminology 62, no. 4 (2022): 1036-1053.</w:t>
      </w:r>
    </w:p>
    <w:p w14:paraId="22110211" w14:textId="77777777" w:rsidR="0006659B" w:rsidRDefault="0006659B" w:rsidP="00E35F3B">
      <w:pPr>
        <w:spacing w:after="0" w:line="480" w:lineRule="auto"/>
      </w:pPr>
      <w:r>
        <w:t>HMCPSI., “CPS response to COVID-19: 16 March to 8 May 2020.” HMCPSI. (2020) Retrieved from: https://www.justiceinspectorates.gov.uk/hmcpsi/wp-content/uploads/sites/3/2021/04/2020-11-03-CPS-COVID-19-accessible.pdf</w:t>
      </w:r>
    </w:p>
    <w:p w14:paraId="01891D06" w14:textId="77777777" w:rsidR="0006659B" w:rsidRDefault="0006659B" w:rsidP="00E35F3B">
      <w:pPr>
        <w:spacing w:after="0" w:line="480" w:lineRule="auto"/>
      </w:pPr>
      <w:r>
        <w:t>HMCPSI., “CPS response to COVID-19: 16 March to 8 May 2020.” HMCPSI. (2020) Retrieved from: https://www.justiceinspectorates.gov.uk/hmcpsi/wp-content/uploads/sites/3/2021/04/2020-11-03-CPS-COVID-19-accessible.pdf</w:t>
      </w:r>
    </w:p>
    <w:sectPr w:rsidR="0006659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1B9DD" w14:textId="77777777" w:rsidR="0040591F" w:rsidRDefault="0040591F" w:rsidP="00910A69">
      <w:pPr>
        <w:spacing w:after="0" w:line="240" w:lineRule="auto"/>
      </w:pPr>
      <w:r>
        <w:separator/>
      </w:r>
    </w:p>
  </w:endnote>
  <w:endnote w:type="continuationSeparator" w:id="0">
    <w:p w14:paraId="18B322E7" w14:textId="77777777" w:rsidR="0040591F" w:rsidRDefault="0040591F" w:rsidP="00910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DEB33" w14:textId="77777777" w:rsidR="0040591F" w:rsidRDefault="0040591F" w:rsidP="00910A69">
      <w:pPr>
        <w:spacing w:after="0" w:line="240" w:lineRule="auto"/>
      </w:pPr>
      <w:r>
        <w:separator/>
      </w:r>
    </w:p>
  </w:footnote>
  <w:footnote w:type="continuationSeparator" w:id="0">
    <w:p w14:paraId="03A10974" w14:textId="77777777" w:rsidR="0040591F" w:rsidRDefault="0040591F" w:rsidP="00910A69">
      <w:pPr>
        <w:spacing w:after="0" w:line="240" w:lineRule="auto"/>
      </w:pPr>
      <w:r>
        <w:continuationSeparator/>
      </w:r>
    </w:p>
  </w:footnote>
  <w:footnote w:id="1">
    <w:p w14:paraId="29F958BE" w14:textId="77777777" w:rsidR="00910A69" w:rsidRPr="00910A69" w:rsidRDefault="00910A69">
      <w:pPr>
        <w:pStyle w:val="FootnoteText"/>
        <w:rPr>
          <w:lang w:val="en-US"/>
        </w:rPr>
      </w:pPr>
      <w:r>
        <w:rPr>
          <w:rStyle w:val="FootnoteReference"/>
        </w:rPr>
        <w:footnoteRef/>
      </w:r>
      <w:r>
        <w:t xml:space="preserve"> </w:t>
      </w:r>
      <w:r w:rsidRPr="00910A69">
        <w:t>Godfrey, Barry, Jane C. Richardson, and Sandra Walklate. "The crisis in the courts: Before and beyond COVID." </w:t>
      </w:r>
      <w:r w:rsidRPr="00910A69">
        <w:rPr>
          <w:i/>
          <w:iCs/>
        </w:rPr>
        <w:t>The British Journal of Criminology</w:t>
      </w:r>
      <w:r w:rsidRPr="00910A69">
        <w:t> 62, no. 4 (2022): 1036-1053.</w:t>
      </w:r>
    </w:p>
  </w:footnote>
  <w:footnote w:id="2">
    <w:p w14:paraId="5DCE4278" w14:textId="77777777" w:rsidR="00CE37E5" w:rsidRPr="00CE37E5" w:rsidRDefault="00CE37E5" w:rsidP="00CE37E5">
      <w:pPr>
        <w:pStyle w:val="FootnoteText"/>
      </w:pPr>
      <w:r>
        <w:rPr>
          <w:rStyle w:val="FootnoteReference"/>
        </w:rPr>
        <w:footnoteRef/>
      </w:r>
      <w:r>
        <w:t xml:space="preserve"> HMCPSI., “CPS response to COVID-19: 16 March to 8 May 2020.” </w:t>
      </w:r>
      <w:r w:rsidR="00831D7A" w:rsidRPr="00831D7A">
        <w:rPr>
          <w:i/>
        </w:rPr>
        <w:t>HMCPSI.</w:t>
      </w:r>
      <w:r w:rsidR="00831D7A">
        <w:t xml:space="preserve"> </w:t>
      </w:r>
      <w:r>
        <w:t xml:space="preserve">(2020) </w:t>
      </w:r>
      <w:r w:rsidR="00731DCD">
        <w:t>R</w:t>
      </w:r>
      <w:r>
        <w:t xml:space="preserve">etrieved from: </w:t>
      </w:r>
      <w:r w:rsidRPr="00CE37E5">
        <w:t>https://www.justiceinspectorates.gov.uk/hmcpsi/wp-content/uploads/sites/3/2021/04/2020-11-03-CPS-COVID-19-accessible.pdf</w:t>
      </w:r>
    </w:p>
  </w:footnote>
  <w:footnote w:id="3">
    <w:p w14:paraId="4CD8E071" w14:textId="77777777" w:rsidR="009A4663" w:rsidRPr="009A4663" w:rsidRDefault="009A4663">
      <w:pPr>
        <w:pStyle w:val="FootnoteText"/>
        <w:rPr>
          <w:lang w:val="en-US"/>
        </w:rPr>
      </w:pPr>
      <w:r>
        <w:rPr>
          <w:rStyle w:val="FootnoteReference"/>
        </w:rPr>
        <w:footnoteRef/>
      </w:r>
      <w:r>
        <w:t xml:space="preserve"> </w:t>
      </w:r>
      <w:r w:rsidR="00C5100B" w:rsidRPr="00C5100B">
        <w:t>Godfrey, Barry, Jane C. Richardson, and Sandra Walklate. "The crisis in the courts: Before and beyond COVID." The British Journal of Criminology 62, no. 4 (2022): 1036-1053.</w:t>
      </w:r>
    </w:p>
  </w:footnote>
  <w:footnote w:id="4">
    <w:p w14:paraId="372729A4" w14:textId="77777777" w:rsidR="002D20AA" w:rsidRPr="00831D7A" w:rsidRDefault="002D20AA" w:rsidP="00831D7A">
      <w:pPr>
        <w:pStyle w:val="FootnoteText"/>
      </w:pPr>
      <w:r>
        <w:rPr>
          <w:rStyle w:val="FootnoteReference"/>
        </w:rPr>
        <w:footnoteRef/>
      </w:r>
      <w:r>
        <w:t xml:space="preserve"> </w:t>
      </w:r>
      <w:r w:rsidR="002379B4" w:rsidRPr="002379B4">
        <w:t>CIPFA</w:t>
      </w:r>
      <w:r w:rsidR="002379B4">
        <w:t xml:space="preserve">.., </w:t>
      </w:r>
      <w:r w:rsidR="00831D7A">
        <w:t xml:space="preserve">“Performance Tracker 2019: A data-driven analysis of the performance of public services” </w:t>
      </w:r>
      <w:r w:rsidR="00831D7A" w:rsidRPr="00831D7A">
        <w:rPr>
          <w:i/>
        </w:rPr>
        <w:t>CIPFA.</w:t>
      </w:r>
      <w:r w:rsidR="00831D7A">
        <w:t xml:space="preserve"> </w:t>
      </w:r>
      <w:r w:rsidR="00C62740">
        <w:t xml:space="preserve">(2019). Retrieved from: </w:t>
      </w:r>
      <w:r w:rsidR="00B77F82" w:rsidRPr="00B77F82">
        <w:t>https://www.instituteforgovernment.org.uk/sites/default/files/publications/performance-tracker-2019.pdf</w:t>
      </w:r>
    </w:p>
  </w:footnote>
  <w:footnote w:id="5">
    <w:p w14:paraId="74754334" w14:textId="77777777" w:rsidR="00DA30CE" w:rsidRPr="00DA30CE" w:rsidRDefault="00DA30CE">
      <w:pPr>
        <w:pStyle w:val="FootnoteText"/>
        <w:rPr>
          <w:lang w:val="en-US"/>
        </w:rPr>
      </w:pPr>
      <w:r>
        <w:rPr>
          <w:rStyle w:val="FootnoteReference"/>
        </w:rPr>
        <w:footnoteRef/>
      </w:r>
      <w:r>
        <w:t xml:space="preserve"> </w:t>
      </w:r>
      <w:r w:rsidRPr="00DA30CE">
        <w:t>Dearden, L. "Coronavirus Sends Justice System into ‘Meltdown’as Criminal Court Case Backlog Passes 37,000’." The Independent (2020).</w:t>
      </w:r>
    </w:p>
  </w:footnote>
  <w:footnote w:id="6">
    <w:p w14:paraId="51A01ECC" w14:textId="77777777" w:rsidR="005A195F" w:rsidRPr="005A195F" w:rsidRDefault="005A195F">
      <w:pPr>
        <w:pStyle w:val="FootnoteText"/>
        <w:rPr>
          <w:lang w:val="en-US"/>
        </w:rPr>
      </w:pPr>
      <w:r>
        <w:rPr>
          <w:rStyle w:val="FootnoteReference"/>
        </w:rPr>
        <w:footnoteRef/>
      </w:r>
      <w:r>
        <w:t xml:space="preserve"> </w:t>
      </w:r>
      <w:r w:rsidR="001F1F29">
        <w:t>Sturge, Georgina., Robins, Joe., et al., “</w:t>
      </w:r>
      <w:r w:rsidR="001F1F29" w:rsidRPr="001F1F29">
        <w:t>The spending of the Ministry of Justice</w:t>
      </w:r>
      <w:r w:rsidR="001F1F29">
        <w:t xml:space="preserve">.” </w:t>
      </w:r>
      <w:r w:rsidR="001F1F29" w:rsidRPr="001F1F29">
        <w:rPr>
          <w:i/>
        </w:rPr>
        <w:t>House of Commons Library.</w:t>
      </w:r>
      <w:r w:rsidR="001F1F29">
        <w:t xml:space="preserve"> (2019). Retrieved from: </w:t>
      </w:r>
      <w:r w:rsidR="009B1E86" w:rsidRPr="009B1E86">
        <w:t>https://commonslibrary.parliament.uk/research-briefings/cdp-2019-0217/</w:t>
      </w:r>
    </w:p>
  </w:footnote>
  <w:footnote w:id="7">
    <w:p w14:paraId="06CA4A29" w14:textId="77777777" w:rsidR="00591905" w:rsidRPr="00591905" w:rsidRDefault="00591905">
      <w:pPr>
        <w:pStyle w:val="FootnoteText"/>
        <w:rPr>
          <w:lang w:val="en-US"/>
        </w:rPr>
      </w:pPr>
      <w:r>
        <w:rPr>
          <w:rStyle w:val="FootnoteReference"/>
        </w:rPr>
        <w:footnoteRef/>
      </w:r>
      <w:r>
        <w:t xml:space="preserve"> </w:t>
      </w:r>
      <w:r w:rsidRPr="00591905">
        <w:t>Godfrey, Barry, Jane C. Richardson, and Sandra Walklate. "The crisis in the courts: Before and beyond COVID." The British Journal of Criminology 62, no. 4 (2022): 1036-1053.</w:t>
      </w:r>
    </w:p>
  </w:footnote>
  <w:footnote w:id="8">
    <w:p w14:paraId="198BB667" w14:textId="77777777" w:rsidR="00DD0D80" w:rsidRPr="00DD0D80" w:rsidRDefault="00DD0D80">
      <w:pPr>
        <w:pStyle w:val="FootnoteText"/>
        <w:rPr>
          <w:lang w:val="en-US"/>
        </w:rPr>
      </w:pPr>
      <w:r>
        <w:rPr>
          <w:rStyle w:val="FootnoteReference"/>
        </w:rPr>
        <w:footnoteRef/>
      </w:r>
      <w:r>
        <w:t xml:space="preserve"> </w:t>
      </w:r>
      <w:r>
        <w:rPr>
          <w:lang w:val="en-US"/>
        </w:rPr>
        <w:t>Ibid.</w:t>
      </w:r>
    </w:p>
  </w:footnote>
  <w:footnote w:id="9">
    <w:p w14:paraId="1FE1470A" w14:textId="77777777" w:rsidR="00EF0DCD" w:rsidRPr="00EF0DCD" w:rsidRDefault="00EF0DCD">
      <w:pPr>
        <w:pStyle w:val="FootnoteText"/>
        <w:rPr>
          <w:lang w:val="en-US"/>
        </w:rPr>
      </w:pPr>
      <w:r>
        <w:rPr>
          <w:rStyle w:val="FootnoteReference"/>
        </w:rPr>
        <w:footnoteRef/>
      </w:r>
      <w:r>
        <w:t xml:space="preserve"> </w:t>
      </w:r>
      <w:r w:rsidRPr="00EF0DCD">
        <w:t>HMCPSI., “CPS response to COVID-19: 16 March to 8 May 2020.” HMCPSI. (2020) Retrieved from: https://www.justiceinspectorates.gov.uk/hmcpsi/wp-content/uploads/sites/3/2021/04/2020-11-03-CPS-COVID-19-accessible.pdf</w:t>
      </w:r>
    </w:p>
  </w:footnote>
  <w:footnote w:id="10">
    <w:p w14:paraId="206F1843" w14:textId="77777777" w:rsidR="00EA7952" w:rsidRPr="00EA7952" w:rsidRDefault="00EA7952">
      <w:pPr>
        <w:pStyle w:val="FootnoteText"/>
        <w:rPr>
          <w:lang w:val="en-US"/>
        </w:rPr>
      </w:pPr>
      <w:r>
        <w:rPr>
          <w:rStyle w:val="FootnoteReference"/>
        </w:rPr>
        <w:footnoteRef/>
      </w:r>
      <w:r>
        <w:t xml:space="preserve"> </w:t>
      </w:r>
      <w:r w:rsidRPr="00EA7952">
        <w:t>Ames, J., and C. Baski. "Coronavirus and Suspended Jury Trials—Resuming ‘Won’t Solve the Backlog Crisis’." The Times 14 (2020).</w:t>
      </w:r>
    </w:p>
  </w:footnote>
  <w:footnote w:id="11">
    <w:p w14:paraId="61027CB5" w14:textId="77777777" w:rsidR="000948B8" w:rsidRPr="000948B8" w:rsidRDefault="000948B8">
      <w:pPr>
        <w:pStyle w:val="FootnoteText"/>
        <w:rPr>
          <w:lang w:val="en-US"/>
        </w:rPr>
      </w:pPr>
      <w:r>
        <w:rPr>
          <w:rStyle w:val="FootnoteReference"/>
        </w:rPr>
        <w:footnoteRef/>
      </w:r>
      <w:r>
        <w:t xml:space="preserve"> </w:t>
      </w:r>
      <w:r w:rsidRPr="000948B8">
        <w:t>Dearden, L. "Coronavirus Sends Justice System into ‘Meltdown’as Criminal Court Case Backlog Passes 37,000’." The Independent (2020).</w:t>
      </w:r>
    </w:p>
  </w:footnote>
  <w:footnote w:id="12">
    <w:p w14:paraId="377718B3" w14:textId="77777777" w:rsidR="009A7118" w:rsidRPr="009A7118" w:rsidRDefault="009A7118">
      <w:pPr>
        <w:pStyle w:val="FootnoteText"/>
        <w:rPr>
          <w:lang w:val="en-US"/>
        </w:rPr>
      </w:pPr>
      <w:r>
        <w:rPr>
          <w:rStyle w:val="FootnoteReference"/>
        </w:rPr>
        <w:footnoteRef/>
      </w:r>
      <w:r>
        <w:t xml:space="preserve"> </w:t>
      </w:r>
      <w:r w:rsidRPr="00591905">
        <w:t>Godfrey, Barry, Jane C. Richardson, and Sandra Walklate. "The crisis in the courts: Before and beyond COVID." The British Journal of Criminology 62, no. 4 (2022): 1036-1053.</w:t>
      </w:r>
    </w:p>
  </w:footnote>
  <w:footnote w:id="13">
    <w:p w14:paraId="6EFB68E9" w14:textId="77777777" w:rsidR="00AD2B0C" w:rsidRPr="00AD2B0C" w:rsidRDefault="00AD2B0C">
      <w:pPr>
        <w:pStyle w:val="FootnoteText"/>
        <w:rPr>
          <w:lang w:val="en-US"/>
        </w:rPr>
      </w:pPr>
      <w:r>
        <w:rPr>
          <w:rStyle w:val="FootnoteReference"/>
        </w:rPr>
        <w:footnoteRef/>
      </w:r>
      <w:r>
        <w:t xml:space="preserve"> </w:t>
      </w:r>
      <w:r w:rsidR="009A7118">
        <w:t>Ibid.</w:t>
      </w:r>
    </w:p>
  </w:footnote>
  <w:footnote w:id="14">
    <w:p w14:paraId="3DF4A356" w14:textId="77777777" w:rsidR="00915CA8" w:rsidRPr="00F61AD7" w:rsidRDefault="00915CA8" w:rsidP="00F61AD7">
      <w:pPr>
        <w:pStyle w:val="FootnoteText"/>
      </w:pPr>
      <w:r>
        <w:rPr>
          <w:rStyle w:val="FootnoteReference"/>
        </w:rPr>
        <w:footnoteRef/>
      </w:r>
      <w:r>
        <w:t xml:space="preserve"> </w:t>
      </w:r>
      <w:r w:rsidR="00841BB6" w:rsidRPr="00841BB6">
        <w:t>HM Courts &amp; Tribunals Service.,</w:t>
      </w:r>
      <w:r w:rsidR="00841BB6">
        <w:t xml:space="preserve"> </w:t>
      </w:r>
      <w:r w:rsidR="00F61AD7">
        <w:t>“COVID-19: Update on the HMCTS response for criminal courts in England &amp; Wales.”</w:t>
      </w:r>
      <w:r w:rsidR="00506CB5">
        <w:t xml:space="preserve"> </w:t>
      </w:r>
      <w:r w:rsidR="00506CB5" w:rsidRPr="00506CB5">
        <w:rPr>
          <w:i/>
        </w:rPr>
        <w:t>HM Courts &amp; Tribunals Service.</w:t>
      </w:r>
      <w:r w:rsidR="00506CB5">
        <w:t xml:space="preserve"> (2020). Retrieved from: </w:t>
      </w:r>
      <w:r w:rsidR="00506CB5" w:rsidRPr="00506CB5">
        <w:t>https://assets.publishing.service.gov.uk/government/uploads/system/uploads/attachment_data/file/915493/HMCTS401_recovery_overview_for_crime_WEB.pdf</w:t>
      </w:r>
      <w:r w:rsidR="00506CB5">
        <w:t xml:space="preserve"> </w:t>
      </w:r>
    </w:p>
  </w:footnote>
  <w:footnote w:id="15">
    <w:p w14:paraId="6D2AFB46" w14:textId="77777777" w:rsidR="003B7AB2" w:rsidRPr="003B7AB2" w:rsidRDefault="003B7AB2">
      <w:pPr>
        <w:pStyle w:val="FootnoteText"/>
        <w:rPr>
          <w:lang w:val="en-US"/>
        </w:rPr>
      </w:pPr>
      <w:r>
        <w:rPr>
          <w:rStyle w:val="FootnoteReference"/>
        </w:rPr>
        <w:footnoteRef/>
      </w:r>
      <w:r>
        <w:t xml:space="preserve"> </w:t>
      </w:r>
      <w:r w:rsidRPr="00EF0DCD">
        <w:t>HMCPSI., “CPS response to COVID-19: 16 March to 8 May 2020.” HMCPSI. (2020) Retrieved from: https://www.justiceinspectorates.gov.uk/hmcpsi/wp-content/uploads/sites/3/2021/04/2020-11-03-CPS-COVID-19-accessible.pdf</w:t>
      </w:r>
    </w:p>
  </w:footnote>
  <w:footnote w:id="16">
    <w:p w14:paraId="24F68EE3" w14:textId="77777777" w:rsidR="00A1502E" w:rsidRPr="00A1502E" w:rsidRDefault="00A1502E">
      <w:pPr>
        <w:pStyle w:val="FootnoteText"/>
        <w:rPr>
          <w:lang w:val="en-US"/>
        </w:rPr>
      </w:pPr>
      <w:r>
        <w:rPr>
          <w:rStyle w:val="FootnoteReference"/>
        </w:rPr>
        <w:footnoteRef/>
      </w:r>
      <w:r>
        <w:t xml:space="preserve"> </w:t>
      </w:r>
      <w:r w:rsidR="00ED50A4" w:rsidRPr="00591905">
        <w:t>Godfrey, Barry, Jane C. Richardson, and Sandra Walklate. "The crisis in the courts: Before and beyond COVID." The British Journal of Criminology 62, no. 4 (2022): 1036-1053.</w:t>
      </w:r>
    </w:p>
  </w:footnote>
  <w:footnote w:id="17">
    <w:p w14:paraId="21D46805" w14:textId="77777777" w:rsidR="002C7C22" w:rsidRPr="002C7C22" w:rsidRDefault="002C7C22">
      <w:pPr>
        <w:pStyle w:val="FootnoteText"/>
        <w:rPr>
          <w:lang w:val="en-US"/>
        </w:rPr>
      </w:pPr>
      <w:r>
        <w:rPr>
          <w:rStyle w:val="FootnoteReference"/>
        </w:rPr>
        <w:footnoteRef/>
      </w:r>
      <w:r>
        <w:t xml:space="preserve"> </w:t>
      </w:r>
      <w:r w:rsidR="009B45E6">
        <w:t xml:space="preserve">The Police Foundation., </w:t>
      </w:r>
      <w:r w:rsidRPr="002C7C22">
        <w:t>‘Policing the Long Crisis: An Appraisal of the Police Response to Covid-19</w:t>
      </w:r>
      <w:r>
        <w:t xml:space="preserve">.’ </w:t>
      </w:r>
      <w:r w:rsidR="009B45E6" w:rsidRPr="009B45E6">
        <w:rPr>
          <w:i/>
        </w:rPr>
        <w:t>The Police Foundation.</w:t>
      </w:r>
      <w:r w:rsidR="009B45E6">
        <w:t xml:space="preserve"> </w:t>
      </w:r>
      <w:r w:rsidR="007633C8">
        <w:t xml:space="preserve">(2020). Retrieved from: </w:t>
      </w:r>
      <w:r w:rsidR="007633C8" w:rsidRPr="007633C8">
        <w:t>https://www.police-foundation.org.uk/2020/12/long-read-policing-the-long-crisis-an-appraisal-of-the-police-response-to-covid-19/</w:t>
      </w:r>
    </w:p>
  </w:footnote>
  <w:footnote w:id="18">
    <w:p w14:paraId="6CA73B37" w14:textId="77777777" w:rsidR="007C682D" w:rsidRPr="007C682D" w:rsidRDefault="007C682D">
      <w:pPr>
        <w:pStyle w:val="FootnoteText"/>
        <w:rPr>
          <w:lang w:val="en-US"/>
        </w:rPr>
      </w:pPr>
      <w:r>
        <w:rPr>
          <w:rStyle w:val="FootnoteReference"/>
        </w:rPr>
        <w:footnoteRef/>
      </w:r>
      <w:r>
        <w:t xml:space="preserve"> </w:t>
      </w:r>
      <w:r w:rsidRPr="007C682D">
        <w:t>Garside, Richard, and Roger Grimshaw. "Criminal justice systems in the UK." (2022).</w:t>
      </w:r>
    </w:p>
  </w:footnote>
  <w:footnote w:id="19">
    <w:p w14:paraId="66979E0C" w14:textId="77777777" w:rsidR="0014210F" w:rsidRPr="0014210F" w:rsidRDefault="0014210F">
      <w:pPr>
        <w:pStyle w:val="FootnoteText"/>
        <w:rPr>
          <w:lang w:val="en-US"/>
        </w:rPr>
      </w:pPr>
      <w:r>
        <w:rPr>
          <w:rStyle w:val="FootnoteReference"/>
        </w:rPr>
        <w:footnoteRef/>
      </w:r>
      <w:r>
        <w:t xml:space="preserve"> </w:t>
      </w:r>
      <w:r w:rsidR="00CA1E73">
        <w:t xml:space="preserve">Mason, Gary., </w:t>
      </w:r>
      <w:r w:rsidRPr="0014210F">
        <w:t>‘OOCDs The Path to Best Practice.</w:t>
      </w:r>
      <w:r w:rsidR="00987180">
        <w:t xml:space="preserve"> </w:t>
      </w:r>
      <w:r w:rsidR="00987180" w:rsidRPr="00987180">
        <w:rPr>
          <w:i/>
        </w:rPr>
        <w:t>The Police Oracle.</w:t>
      </w:r>
      <w:r w:rsidR="00987180">
        <w:t xml:space="preserve"> Retrieved from: </w:t>
      </w:r>
      <w:r w:rsidR="00987180" w:rsidRPr="00987180">
        <w:t>https://www.policeoracle.com/news/best_practice/2020/Nov/09/oocds--the-path-to-best-practice-_106136.html/features</w:t>
      </w:r>
    </w:p>
  </w:footnote>
  <w:footnote w:id="20">
    <w:p w14:paraId="61970FF1" w14:textId="77777777" w:rsidR="0092644C" w:rsidRPr="0092644C" w:rsidRDefault="0092644C">
      <w:pPr>
        <w:pStyle w:val="FootnoteText"/>
        <w:rPr>
          <w:lang w:val="en-US"/>
        </w:rPr>
      </w:pPr>
      <w:r>
        <w:rPr>
          <w:rStyle w:val="FootnoteReference"/>
        </w:rPr>
        <w:footnoteRef/>
      </w:r>
      <w:r>
        <w:t xml:space="preserve"> </w:t>
      </w:r>
      <w:r w:rsidRPr="0092644C">
        <w:t>Mason, Gary., ‘OOCDs The Path to Best Practice. The Police Oracle. Retrieved from: https://www.policeoracle.com/news/best_practice/2020/Nov/09/oocds--the-path-to-best-practice-_106136.html/features</w:t>
      </w:r>
    </w:p>
  </w:footnote>
  <w:footnote w:id="21">
    <w:p w14:paraId="7B4B8BBB" w14:textId="77777777" w:rsidR="00CA2D63" w:rsidRPr="00CA2D63" w:rsidRDefault="00CA2D63">
      <w:pPr>
        <w:pStyle w:val="FootnoteText"/>
        <w:rPr>
          <w:lang w:val="en-US"/>
        </w:rPr>
      </w:pPr>
      <w:r>
        <w:rPr>
          <w:rStyle w:val="FootnoteReference"/>
        </w:rPr>
        <w:footnoteRef/>
      </w:r>
      <w:r>
        <w:t xml:space="preserve"> </w:t>
      </w:r>
      <w:r>
        <w:rPr>
          <w:lang w:val="en-US"/>
        </w:rPr>
        <w:t>Ibid.</w:t>
      </w:r>
    </w:p>
  </w:footnote>
  <w:footnote w:id="22">
    <w:p w14:paraId="1C3C7674" w14:textId="77777777" w:rsidR="0068420F" w:rsidRPr="0068420F" w:rsidRDefault="0068420F">
      <w:pPr>
        <w:pStyle w:val="FootnoteText"/>
        <w:rPr>
          <w:lang w:val="en-US"/>
        </w:rPr>
      </w:pPr>
      <w:r>
        <w:rPr>
          <w:rStyle w:val="FootnoteReference"/>
        </w:rPr>
        <w:footnoteRef/>
      </w:r>
      <w:r>
        <w:t xml:space="preserve"> </w:t>
      </w:r>
      <w:r>
        <w:rPr>
          <w:lang w:val="en-US"/>
        </w:rPr>
        <w:t>Ibid.</w:t>
      </w:r>
    </w:p>
  </w:footnote>
  <w:footnote w:id="23">
    <w:p w14:paraId="5698FACF" w14:textId="77777777" w:rsidR="00BF2643" w:rsidRPr="00BF2643" w:rsidRDefault="00BF2643">
      <w:pPr>
        <w:pStyle w:val="FootnoteText"/>
        <w:rPr>
          <w:lang w:val="en-US"/>
        </w:rPr>
      </w:pPr>
      <w:r>
        <w:rPr>
          <w:rStyle w:val="FootnoteReference"/>
        </w:rPr>
        <w:footnoteRef/>
      </w:r>
      <w:r>
        <w:t xml:space="preserve"> </w:t>
      </w:r>
      <w:r w:rsidR="0055405E" w:rsidRPr="00591905">
        <w:t>Godfrey, Barry, Jane C. Richardson, and Sandra Walklate. "The crisis in the courts: Before and beyond COVID." The British Journal of Criminology 62, no. 4 (2022): 1036-1053.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007576"/>
      <w:docPartObj>
        <w:docPartGallery w:val="Page Numbers (Top of Page)"/>
        <w:docPartUnique/>
      </w:docPartObj>
    </w:sdtPr>
    <w:sdtEndPr>
      <w:rPr>
        <w:noProof/>
      </w:rPr>
    </w:sdtEndPr>
    <w:sdtContent>
      <w:p w14:paraId="6AEBE2F5" w14:textId="77777777" w:rsidR="00740B4C" w:rsidRDefault="00740B4C">
        <w:pPr>
          <w:pStyle w:val="Header"/>
          <w:jc w:val="right"/>
        </w:pPr>
        <w:r>
          <w:fldChar w:fldCharType="begin"/>
        </w:r>
        <w:r>
          <w:instrText xml:space="preserve"> PAGE   \* MERGEFORMAT </w:instrText>
        </w:r>
        <w:r>
          <w:fldChar w:fldCharType="separate"/>
        </w:r>
        <w:r w:rsidR="00C00BE1">
          <w:rPr>
            <w:noProof/>
          </w:rPr>
          <w:t>8</w:t>
        </w:r>
        <w:r>
          <w:rPr>
            <w:noProof/>
          </w:rPr>
          <w:fldChar w:fldCharType="end"/>
        </w:r>
      </w:p>
    </w:sdtContent>
  </w:sdt>
  <w:p w14:paraId="766EB81A" w14:textId="77777777" w:rsidR="00740B4C" w:rsidRDefault="00740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F38F8"/>
    <w:multiLevelType w:val="hybridMultilevel"/>
    <w:tmpl w:val="65FAA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6879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F39"/>
    <w:rsid w:val="00061D49"/>
    <w:rsid w:val="0006659B"/>
    <w:rsid w:val="000948B8"/>
    <w:rsid w:val="000C5D95"/>
    <w:rsid w:val="000F1BA6"/>
    <w:rsid w:val="001263C8"/>
    <w:rsid w:val="001307FB"/>
    <w:rsid w:val="0014210F"/>
    <w:rsid w:val="00171A92"/>
    <w:rsid w:val="00181589"/>
    <w:rsid w:val="001A24DA"/>
    <w:rsid w:val="001A4E7B"/>
    <w:rsid w:val="001F1F29"/>
    <w:rsid w:val="00206F77"/>
    <w:rsid w:val="00217CB6"/>
    <w:rsid w:val="002379B4"/>
    <w:rsid w:val="00247136"/>
    <w:rsid w:val="002B6C83"/>
    <w:rsid w:val="002C7C22"/>
    <w:rsid w:val="002D20AA"/>
    <w:rsid w:val="002E568F"/>
    <w:rsid w:val="00355F28"/>
    <w:rsid w:val="0037552D"/>
    <w:rsid w:val="00386E1D"/>
    <w:rsid w:val="00395587"/>
    <w:rsid w:val="003B1CC3"/>
    <w:rsid w:val="003B32CC"/>
    <w:rsid w:val="003B3404"/>
    <w:rsid w:val="003B7AB2"/>
    <w:rsid w:val="003B7E13"/>
    <w:rsid w:val="0040591F"/>
    <w:rsid w:val="00431AD5"/>
    <w:rsid w:val="00472CBF"/>
    <w:rsid w:val="004A609D"/>
    <w:rsid w:val="004C0CD3"/>
    <w:rsid w:val="004F2ABF"/>
    <w:rsid w:val="00506CB5"/>
    <w:rsid w:val="0055405E"/>
    <w:rsid w:val="005619FC"/>
    <w:rsid w:val="005625A7"/>
    <w:rsid w:val="00566498"/>
    <w:rsid w:val="00591905"/>
    <w:rsid w:val="005A195F"/>
    <w:rsid w:val="005E7E44"/>
    <w:rsid w:val="00603F8E"/>
    <w:rsid w:val="00611B78"/>
    <w:rsid w:val="00612A0B"/>
    <w:rsid w:val="00615F39"/>
    <w:rsid w:val="006278D3"/>
    <w:rsid w:val="00631680"/>
    <w:rsid w:val="00640C2C"/>
    <w:rsid w:val="00650695"/>
    <w:rsid w:val="0068420F"/>
    <w:rsid w:val="006B2880"/>
    <w:rsid w:val="00731DCD"/>
    <w:rsid w:val="007354AE"/>
    <w:rsid w:val="00736A4F"/>
    <w:rsid w:val="00740B4C"/>
    <w:rsid w:val="0076279D"/>
    <w:rsid w:val="007633C8"/>
    <w:rsid w:val="007705CB"/>
    <w:rsid w:val="007A6CDB"/>
    <w:rsid w:val="007B5A70"/>
    <w:rsid w:val="007C682D"/>
    <w:rsid w:val="007F7758"/>
    <w:rsid w:val="00804196"/>
    <w:rsid w:val="008075B7"/>
    <w:rsid w:val="00830095"/>
    <w:rsid w:val="00831D7A"/>
    <w:rsid w:val="00841BB6"/>
    <w:rsid w:val="00896D2C"/>
    <w:rsid w:val="008A10E1"/>
    <w:rsid w:val="008A7E29"/>
    <w:rsid w:val="008C6406"/>
    <w:rsid w:val="00910A69"/>
    <w:rsid w:val="00915CA8"/>
    <w:rsid w:val="0092644C"/>
    <w:rsid w:val="009343D6"/>
    <w:rsid w:val="009657D1"/>
    <w:rsid w:val="00987180"/>
    <w:rsid w:val="00994A72"/>
    <w:rsid w:val="00995C3F"/>
    <w:rsid w:val="009A4663"/>
    <w:rsid w:val="009A7118"/>
    <w:rsid w:val="009B1E86"/>
    <w:rsid w:val="009B45E6"/>
    <w:rsid w:val="009E0B1B"/>
    <w:rsid w:val="009E1E8C"/>
    <w:rsid w:val="009F5F07"/>
    <w:rsid w:val="00A06144"/>
    <w:rsid w:val="00A1502E"/>
    <w:rsid w:val="00A20481"/>
    <w:rsid w:val="00A22B0B"/>
    <w:rsid w:val="00A468D0"/>
    <w:rsid w:val="00A5272C"/>
    <w:rsid w:val="00A556E8"/>
    <w:rsid w:val="00A60C0D"/>
    <w:rsid w:val="00A630F2"/>
    <w:rsid w:val="00A8343A"/>
    <w:rsid w:val="00AB625D"/>
    <w:rsid w:val="00AC586C"/>
    <w:rsid w:val="00AD2B0C"/>
    <w:rsid w:val="00B13314"/>
    <w:rsid w:val="00B1701B"/>
    <w:rsid w:val="00B35ED0"/>
    <w:rsid w:val="00B67374"/>
    <w:rsid w:val="00B67BE1"/>
    <w:rsid w:val="00B71BFB"/>
    <w:rsid w:val="00B77F82"/>
    <w:rsid w:val="00B86AFD"/>
    <w:rsid w:val="00BA036E"/>
    <w:rsid w:val="00BE3395"/>
    <w:rsid w:val="00BF2643"/>
    <w:rsid w:val="00C00BE1"/>
    <w:rsid w:val="00C5100B"/>
    <w:rsid w:val="00C62740"/>
    <w:rsid w:val="00C923B6"/>
    <w:rsid w:val="00CA1E73"/>
    <w:rsid w:val="00CA2D63"/>
    <w:rsid w:val="00CB5239"/>
    <w:rsid w:val="00CE37E5"/>
    <w:rsid w:val="00D17D8E"/>
    <w:rsid w:val="00D2282C"/>
    <w:rsid w:val="00D3070F"/>
    <w:rsid w:val="00D3248D"/>
    <w:rsid w:val="00D40B7C"/>
    <w:rsid w:val="00D509EB"/>
    <w:rsid w:val="00D50A5D"/>
    <w:rsid w:val="00D76B8F"/>
    <w:rsid w:val="00DA30CE"/>
    <w:rsid w:val="00DD0D80"/>
    <w:rsid w:val="00DD23D4"/>
    <w:rsid w:val="00DE5240"/>
    <w:rsid w:val="00E143DD"/>
    <w:rsid w:val="00E15C60"/>
    <w:rsid w:val="00E24CD9"/>
    <w:rsid w:val="00E35F3B"/>
    <w:rsid w:val="00E4183C"/>
    <w:rsid w:val="00EA7952"/>
    <w:rsid w:val="00EB2997"/>
    <w:rsid w:val="00ED50A4"/>
    <w:rsid w:val="00EF0DCD"/>
    <w:rsid w:val="00EF4A92"/>
    <w:rsid w:val="00EF78B0"/>
    <w:rsid w:val="00F15E7A"/>
    <w:rsid w:val="00F204B6"/>
    <w:rsid w:val="00F3085F"/>
    <w:rsid w:val="00F329D4"/>
    <w:rsid w:val="00F61AD7"/>
    <w:rsid w:val="00F6320A"/>
    <w:rsid w:val="00FB3CDD"/>
    <w:rsid w:val="00FE5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58126"/>
  <w15:chartTrackingRefBased/>
  <w15:docId w15:val="{C6B75C3E-F51F-4667-89A9-BF5A28822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9D4"/>
    <w:rPr>
      <w:rFonts w:ascii="Times New Roman" w:hAnsi="Times New Roman"/>
      <w:sz w:val="24"/>
      <w:lang w:val="en-GB"/>
    </w:rPr>
  </w:style>
  <w:style w:type="paragraph" w:styleId="Heading1">
    <w:name w:val="heading 1"/>
    <w:basedOn w:val="Normal"/>
    <w:next w:val="Normal"/>
    <w:link w:val="Heading1Char"/>
    <w:autoRedefine/>
    <w:uiPriority w:val="9"/>
    <w:qFormat/>
    <w:rsid w:val="00F329D4"/>
    <w:pPr>
      <w:keepNext/>
      <w:keepLines/>
      <w:spacing w:before="240" w:after="0" w:line="240" w:lineRule="auto"/>
      <w:outlineLvl w:val="0"/>
    </w:pPr>
    <w:rPr>
      <w:rFonts w:eastAsiaTheme="majorEastAsia" w:cstheme="majorBidi"/>
      <w:b/>
      <w:i/>
      <w:szCs w:val="32"/>
    </w:rPr>
  </w:style>
  <w:style w:type="paragraph" w:styleId="Heading2">
    <w:name w:val="heading 2"/>
    <w:basedOn w:val="Normal"/>
    <w:next w:val="Normal"/>
    <w:link w:val="Heading2Char"/>
    <w:autoRedefine/>
    <w:uiPriority w:val="9"/>
    <w:semiHidden/>
    <w:unhideWhenUsed/>
    <w:qFormat/>
    <w:rsid w:val="00F329D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C923B6"/>
    <w:pPr>
      <w:keepNext/>
      <w:keepLines/>
      <w:spacing w:before="40" w:after="0"/>
      <w:outlineLvl w:val="2"/>
    </w:pPr>
    <w:rPr>
      <w:rFonts w:eastAsiaTheme="majorEastAsia" w:cstheme="majorBidi"/>
      <w:i/>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468D0"/>
    <w:pPr>
      <w:spacing w:after="0" w:line="240" w:lineRule="auto"/>
      <w:contextualSpacing/>
      <w:jc w:val="center"/>
    </w:pPr>
    <w:rPr>
      <w:rFonts w:eastAsiaTheme="majorEastAsia" w:cs="Times New Roman"/>
      <w:b/>
      <w:spacing w:val="-10"/>
      <w:kern w:val="28"/>
      <w:szCs w:val="24"/>
      <w:lang w:val="en-US"/>
    </w:rPr>
  </w:style>
  <w:style w:type="character" w:customStyle="1" w:styleId="TitleChar">
    <w:name w:val="Title Char"/>
    <w:basedOn w:val="DefaultParagraphFont"/>
    <w:link w:val="Title"/>
    <w:uiPriority w:val="10"/>
    <w:rsid w:val="00A468D0"/>
    <w:rPr>
      <w:rFonts w:ascii="Times New Roman" w:eastAsiaTheme="majorEastAsia" w:hAnsi="Times New Roman" w:cs="Times New Roman"/>
      <w:b/>
      <w:spacing w:val="-10"/>
      <w:kern w:val="28"/>
      <w:sz w:val="24"/>
      <w:szCs w:val="24"/>
    </w:rPr>
  </w:style>
  <w:style w:type="character" w:customStyle="1" w:styleId="Heading1Char">
    <w:name w:val="Heading 1 Char"/>
    <w:basedOn w:val="DefaultParagraphFont"/>
    <w:link w:val="Heading1"/>
    <w:uiPriority w:val="9"/>
    <w:rsid w:val="00F329D4"/>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F329D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C923B6"/>
    <w:rPr>
      <w:rFonts w:ascii="Times New Roman" w:eastAsiaTheme="majorEastAsia" w:hAnsi="Times New Roman" w:cstheme="majorBidi"/>
      <w:i/>
      <w:sz w:val="24"/>
      <w:szCs w:val="24"/>
    </w:rPr>
  </w:style>
  <w:style w:type="paragraph" w:styleId="FootnoteText">
    <w:name w:val="footnote text"/>
    <w:basedOn w:val="Normal"/>
    <w:link w:val="FootnoteTextChar"/>
    <w:uiPriority w:val="99"/>
    <w:semiHidden/>
    <w:unhideWhenUsed/>
    <w:rsid w:val="00910A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0A69"/>
    <w:rPr>
      <w:rFonts w:ascii="Times New Roman" w:hAnsi="Times New Roman"/>
      <w:sz w:val="20"/>
      <w:szCs w:val="20"/>
      <w:lang w:val="en-GB"/>
    </w:rPr>
  </w:style>
  <w:style w:type="character" w:styleId="FootnoteReference">
    <w:name w:val="footnote reference"/>
    <w:basedOn w:val="DefaultParagraphFont"/>
    <w:uiPriority w:val="99"/>
    <w:semiHidden/>
    <w:unhideWhenUsed/>
    <w:rsid w:val="00910A69"/>
    <w:rPr>
      <w:vertAlign w:val="superscript"/>
    </w:rPr>
  </w:style>
  <w:style w:type="paragraph" w:styleId="ListParagraph">
    <w:name w:val="List Paragraph"/>
    <w:basedOn w:val="Normal"/>
    <w:uiPriority w:val="34"/>
    <w:qFormat/>
    <w:rsid w:val="0006659B"/>
    <w:pPr>
      <w:ind w:left="720"/>
      <w:contextualSpacing/>
    </w:pPr>
  </w:style>
  <w:style w:type="paragraph" w:styleId="Header">
    <w:name w:val="header"/>
    <w:basedOn w:val="Normal"/>
    <w:link w:val="HeaderChar"/>
    <w:uiPriority w:val="99"/>
    <w:unhideWhenUsed/>
    <w:rsid w:val="00740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B4C"/>
    <w:rPr>
      <w:rFonts w:ascii="Times New Roman" w:hAnsi="Times New Roman"/>
      <w:sz w:val="24"/>
      <w:lang w:val="en-GB"/>
    </w:rPr>
  </w:style>
  <w:style w:type="paragraph" w:styleId="Footer">
    <w:name w:val="footer"/>
    <w:basedOn w:val="Normal"/>
    <w:link w:val="FooterChar"/>
    <w:uiPriority w:val="99"/>
    <w:unhideWhenUsed/>
    <w:rsid w:val="00740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B4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467726">
      <w:bodyDiv w:val="1"/>
      <w:marLeft w:val="0"/>
      <w:marRight w:val="0"/>
      <w:marTop w:val="0"/>
      <w:marBottom w:val="0"/>
      <w:divBdr>
        <w:top w:val="none" w:sz="0" w:space="0" w:color="auto"/>
        <w:left w:val="none" w:sz="0" w:space="0" w:color="auto"/>
        <w:bottom w:val="none" w:sz="0" w:space="0" w:color="auto"/>
        <w:right w:val="none" w:sz="0" w:space="0" w:color="auto"/>
      </w:divBdr>
    </w:div>
    <w:div w:id="965967722">
      <w:bodyDiv w:val="1"/>
      <w:marLeft w:val="0"/>
      <w:marRight w:val="0"/>
      <w:marTop w:val="0"/>
      <w:marBottom w:val="0"/>
      <w:divBdr>
        <w:top w:val="none" w:sz="0" w:space="0" w:color="auto"/>
        <w:left w:val="none" w:sz="0" w:space="0" w:color="auto"/>
        <w:bottom w:val="none" w:sz="0" w:space="0" w:color="auto"/>
        <w:right w:val="none" w:sz="0" w:space="0" w:color="auto"/>
      </w:divBdr>
      <w:divsChild>
        <w:div w:id="1185245743">
          <w:marLeft w:val="0"/>
          <w:marRight w:val="0"/>
          <w:marTop w:val="0"/>
          <w:marBottom w:val="0"/>
          <w:divBdr>
            <w:top w:val="none" w:sz="0" w:space="0" w:color="auto"/>
            <w:left w:val="none" w:sz="0" w:space="0" w:color="auto"/>
            <w:bottom w:val="none" w:sz="0" w:space="0" w:color="auto"/>
            <w:right w:val="none" w:sz="0" w:space="0" w:color="auto"/>
          </w:divBdr>
        </w:div>
      </w:divsChild>
    </w:div>
    <w:div w:id="100678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1920</Words>
  <Characters>10949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19arahouf</cp:lastModifiedBy>
  <cp:revision>3</cp:revision>
  <dcterms:created xsi:type="dcterms:W3CDTF">2023-10-09T17:40:00Z</dcterms:created>
  <dcterms:modified xsi:type="dcterms:W3CDTF">2023-10-09T17:40:00Z</dcterms:modified>
</cp:coreProperties>
</file>