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rPr>
          <w:b/>
          <w:sz w:val="24"/>
          <w:szCs w:val="24"/>
        </w:rPr>
      </w:pPr>
      <w:r>
        <w:rPr>
          <w:b/>
          <w:sz w:val="24"/>
          <w:szCs w:val="24"/>
          <w:rtl w:val="0"/>
        </w:rPr>
        <w:t xml:space="preserve">                                  University of Wales Trinity Saint David</w:t>
      </w:r>
      <w:r>
        <w:pict>
          <v:rect id="_x0000_i1025" o:spt="1" style="height:1.5pt;width:0pt;" fillcolor="#A0A0A0" filled="t" stroked="f" coordsize="21600,21600" o:hr="t" o:hrstd="t" o:hralign="center">
            <v:path/>
            <v:fill on="t" focussize="0,0"/>
            <v:stroke on="f"/>
            <v:imagedata o:title=""/>
            <o:lock v:ext="edit"/>
            <w10:wrap type="none"/>
            <w10:anchorlock/>
          </v:rect>
        </w:pict>
      </w:r>
      <w:r>
        <w:drawing>
          <wp:anchor distT="114300" distB="114300" distL="114300" distR="114300" simplePos="0" relativeHeight="251659264" behindDoc="0" locked="0" layoutInCell="1" allowOverlap="1">
            <wp:simplePos x="0" y="0"/>
            <wp:positionH relativeFrom="column">
              <wp:posOffset>2095500</wp:posOffset>
            </wp:positionH>
            <wp:positionV relativeFrom="paragraph">
              <wp:posOffset>114300</wp:posOffset>
            </wp:positionV>
            <wp:extent cx="1424940" cy="946150"/>
            <wp:effectExtent l="0" t="0" r="0" b="0"/>
            <wp:wrapTopAndBottom/>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8"/>
                    <a:srcRect/>
                    <a:stretch>
                      <a:fillRect/>
                    </a:stretch>
                  </pic:blipFill>
                  <pic:spPr>
                    <a:xfrm>
                      <a:off x="0" y="0"/>
                      <a:ext cx="1424955" cy="946344"/>
                    </a:xfrm>
                    <a:prstGeom prst="rect">
                      <a:avLst/>
                    </a:prstGeom>
                  </pic:spPr>
                </pic:pic>
              </a:graphicData>
            </a:graphic>
          </wp:anchor>
        </w:drawing>
      </w:r>
    </w:p>
    <w:p>
      <w:pPr>
        <w:spacing w:before="240" w:after="240"/>
        <w:rPr>
          <w:rFonts w:ascii="Playfair Display" w:hAnsi="Playfair Display" w:eastAsia="Playfair Display" w:cs="Playfair Display"/>
          <w:b/>
          <w:sz w:val="48"/>
          <w:szCs w:val="48"/>
        </w:rPr>
      </w:pPr>
      <w:r>
        <w:rPr>
          <w:rFonts w:ascii="Playfair Display" w:hAnsi="Playfair Display" w:eastAsia="Playfair Display" w:cs="Playfair Display"/>
          <w:b/>
          <w:sz w:val="46"/>
          <w:szCs w:val="46"/>
          <w:rtl w:val="0"/>
        </w:rPr>
        <w:t xml:space="preserve">                    </w:t>
      </w:r>
      <w:r>
        <w:rPr>
          <w:rFonts w:ascii="Playfair Display" w:hAnsi="Playfair Display" w:eastAsia="Playfair Display" w:cs="Playfair Display"/>
          <w:b/>
          <w:sz w:val="48"/>
          <w:szCs w:val="48"/>
          <w:rtl w:val="0"/>
        </w:rPr>
        <w:t>Report</w:t>
      </w:r>
    </w:p>
    <w:p>
      <w:pPr>
        <w:spacing w:before="240" w:after="240"/>
        <w:rPr>
          <w:rFonts w:ascii="Playfair Display" w:hAnsi="Playfair Display" w:eastAsia="Playfair Display" w:cs="Playfair Display"/>
          <w:b/>
          <w:sz w:val="34"/>
          <w:szCs w:val="34"/>
        </w:rPr>
      </w:pPr>
      <w:r>
        <w:rPr>
          <w:rFonts w:ascii="Playfair Display" w:hAnsi="Playfair Display" w:eastAsia="Playfair Display" w:cs="Playfair Display"/>
          <w:b/>
          <w:sz w:val="46"/>
          <w:szCs w:val="46"/>
          <w:rtl w:val="0"/>
        </w:rPr>
        <w:t xml:space="preserve">                      </w:t>
      </w:r>
      <w:r>
        <w:rPr>
          <w:rFonts w:ascii="Playfair Display" w:hAnsi="Playfair Display" w:eastAsia="Playfair Display" w:cs="Playfair Display"/>
          <w:b/>
          <w:sz w:val="48"/>
          <w:szCs w:val="48"/>
          <w:rtl w:val="0"/>
        </w:rPr>
        <w:t xml:space="preserve"> </w:t>
      </w:r>
      <w:r>
        <w:rPr>
          <w:rFonts w:ascii="Playfair Display" w:hAnsi="Playfair Display" w:eastAsia="Playfair Display" w:cs="Playfair Display"/>
          <w:b/>
          <w:sz w:val="34"/>
          <w:szCs w:val="34"/>
          <w:rtl w:val="0"/>
        </w:rPr>
        <w:t>by</w:t>
      </w:r>
    </w:p>
    <w:p>
      <w:pPr>
        <w:spacing w:before="240" w:after="240"/>
        <w:rPr>
          <w:rFonts w:ascii="Playfair Display" w:hAnsi="Playfair Display" w:eastAsia="Playfair Display" w:cs="Playfair Display"/>
          <w:b/>
          <w:sz w:val="46"/>
          <w:szCs w:val="46"/>
        </w:rPr>
      </w:pPr>
      <w:r>
        <w:rPr>
          <w:rFonts w:ascii="Playfair Display" w:hAnsi="Playfair Display" w:eastAsia="Playfair Display" w:cs="Playfair Display"/>
          <w:b/>
          <w:sz w:val="42"/>
          <w:szCs w:val="42"/>
          <w:rtl w:val="0"/>
        </w:rPr>
        <w:t xml:space="preserve">             </w:t>
      </w:r>
      <w:r>
        <w:rPr>
          <w:rFonts w:ascii="Playfair Display" w:hAnsi="Playfair Display" w:eastAsia="Playfair Display" w:cs="Playfair Display"/>
          <w:b/>
          <w:sz w:val="34"/>
          <w:szCs w:val="34"/>
          <w:rtl w:val="0"/>
        </w:rPr>
        <w:t xml:space="preserve"> Veronika Topolcanyova</w:t>
      </w:r>
    </w:p>
    <w:p>
      <w:pPr>
        <w:spacing w:before="240" w:after="240"/>
        <w:rPr>
          <w:rFonts w:ascii="Playfair Display" w:hAnsi="Playfair Display" w:eastAsia="Playfair Display" w:cs="Playfair Display"/>
          <w:b/>
          <w:sz w:val="40"/>
          <w:szCs w:val="40"/>
        </w:rPr>
      </w:pPr>
      <w:r>
        <w:rPr>
          <w:rFonts w:ascii="Playfair Display" w:hAnsi="Playfair Display" w:eastAsia="Playfair Display" w:cs="Playfair Display"/>
          <w:b/>
          <w:sz w:val="44"/>
          <w:szCs w:val="44"/>
          <w:rtl w:val="0"/>
        </w:rPr>
        <w:t xml:space="preserve">   </w:t>
      </w:r>
      <w:r>
        <w:rPr>
          <w:rFonts w:ascii="Playfair Display" w:hAnsi="Playfair Display" w:eastAsia="Playfair Display" w:cs="Playfair Display"/>
          <w:b/>
          <w:sz w:val="36"/>
          <w:szCs w:val="36"/>
          <w:rtl w:val="0"/>
        </w:rPr>
        <w:t xml:space="preserve"> The </w:t>
      </w:r>
      <w:r>
        <w:rPr>
          <w:rFonts w:hint="default" w:ascii="Playfair Display" w:hAnsi="Playfair Display" w:eastAsia="Playfair Display" w:cs="Playfair Display"/>
          <w:b/>
          <w:sz w:val="36"/>
          <w:szCs w:val="36"/>
          <w:rtl w:val="0"/>
          <w:lang w:val="en-GB"/>
        </w:rPr>
        <w:t>I</w:t>
      </w:r>
      <w:r>
        <w:rPr>
          <w:rFonts w:ascii="Playfair Display" w:hAnsi="Playfair Display" w:eastAsia="Playfair Display" w:cs="Playfair Display"/>
          <w:b/>
          <w:sz w:val="36"/>
          <w:szCs w:val="36"/>
          <w:rtl w:val="0"/>
        </w:rPr>
        <w:t xml:space="preserve">mprovement of an HR </w:t>
      </w:r>
      <w:r>
        <w:rPr>
          <w:rFonts w:hint="default" w:ascii="Playfair Display" w:hAnsi="Playfair Display" w:eastAsia="Playfair Display" w:cs="Playfair Display"/>
          <w:b/>
          <w:sz w:val="36"/>
          <w:szCs w:val="36"/>
          <w:rtl w:val="0"/>
          <w:lang w:val="en-GB"/>
        </w:rPr>
        <w:t>P</w:t>
      </w:r>
      <w:r>
        <w:rPr>
          <w:rFonts w:ascii="Playfair Display" w:hAnsi="Playfair Display" w:eastAsia="Playfair Display" w:cs="Playfair Display"/>
          <w:b/>
          <w:sz w:val="36"/>
          <w:szCs w:val="36"/>
          <w:rtl w:val="0"/>
        </w:rPr>
        <w:t xml:space="preserve">riority </w:t>
      </w:r>
      <w:r>
        <w:rPr>
          <w:rFonts w:hint="default" w:ascii="Playfair Display" w:hAnsi="Playfair Display" w:eastAsia="Playfair Display" w:cs="Playfair Display"/>
          <w:b/>
          <w:sz w:val="36"/>
          <w:szCs w:val="36"/>
          <w:rtl w:val="0"/>
          <w:lang w:val="en-GB"/>
        </w:rPr>
        <w:t>A</w:t>
      </w:r>
      <w:r>
        <w:rPr>
          <w:rFonts w:ascii="Playfair Display" w:hAnsi="Playfair Display" w:eastAsia="Playfair Display" w:cs="Playfair Display"/>
          <w:b/>
          <w:sz w:val="36"/>
          <w:szCs w:val="36"/>
          <w:rtl w:val="0"/>
        </w:rPr>
        <w:t>reas</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r>
        <w:rPr>
          <w:b/>
          <w:sz w:val="24"/>
          <w:szCs w:val="24"/>
          <w:rtl w:val="0"/>
        </w:rPr>
        <w:t xml:space="preserve">                                       Module:  Human Resource Management</w:t>
      </w:r>
    </w:p>
    <w:p>
      <w:pPr>
        <w:spacing w:before="240" w:after="240"/>
        <w:rPr>
          <w:b/>
          <w:sz w:val="24"/>
          <w:szCs w:val="24"/>
        </w:rPr>
      </w:pPr>
      <w:r>
        <w:pict>
          <v:rect id="_x0000_i1026" o:spt="1" style="height:1.5pt;width:0pt;" fillcolor="#A0A0A0" filled="t" stroked="f" coordsize="21600,21600" o:hr="t" o:hrstd="t" o:hralign="center">
            <v:path/>
            <v:fill on="t" focussize="0,0"/>
            <v:stroke on="f"/>
            <v:imagedata o:title=""/>
            <o:lock v:ext="edit"/>
            <w10:wrap type="none"/>
            <w10:anchorlock/>
          </v:rect>
        </w:pict>
      </w:r>
    </w:p>
    <w:p>
      <w:pPr>
        <w:pBdr>
          <w:top w:val="none" w:color="auto" w:sz="0" w:space="6"/>
          <w:bottom w:val="none" w:color="auto" w:sz="0" w:space="6"/>
          <w:between w:val="none" w:color="auto" w:sz="0" w:space="6"/>
        </w:pBdr>
        <w:spacing w:before="240" w:after="240"/>
        <w:jc w:val="both"/>
        <w:rPr>
          <w:b/>
          <w:sz w:val="20"/>
          <w:szCs w:val="20"/>
        </w:rPr>
      </w:pPr>
      <w:r>
        <w:rPr>
          <w:b/>
          <w:rtl w:val="0"/>
        </w:rPr>
        <w:t xml:space="preserve">         </w:t>
      </w:r>
      <w:r>
        <w:rPr>
          <w:b/>
          <w:sz w:val="20"/>
          <w:szCs w:val="20"/>
          <w:rtl w:val="0"/>
        </w:rPr>
        <w:t xml:space="preserve"> Student number: 1806303                                               Lecturer: Helen Evans                                                      </w:t>
      </w:r>
    </w:p>
    <w:p>
      <w:pPr>
        <w:pBdr>
          <w:top w:val="none" w:color="auto" w:sz="0" w:space="6"/>
          <w:bottom w:val="none" w:color="auto" w:sz="0" w:space="6"/>
          <w:between w:val="none" w:color="auto" w:sz="0" w:space="6"/>
        </w:pBdr>
        <w:spacing w:before="240" w:after="240"/>
        <w:jc w:val="both"/>
        <w:rPr>
          <w:b/>
          <w:sz w:val="20"/>
          <w:szCs w:val="20"/>
        </w:rPr>
      </w:pPr>
      <w:r>
        <w:rPr>
          <w:b/>
          <w:sz w:val="20"/>
          <w:szCs w:val="20"/>
          <w:rtl w:val="0"/>
        </w:rPr>
        <w:t xml:space="preserve">            Date: 2nd December 2022                                              Word count: 2500</w:t>
      </w:r>
    </w:p>
    <w:p>
      <w:pPr>
        <w:spacing w:before="240" w:after="240"/>
        <w:rPr>
          <w:b/>
          <w:sz w:val="24"/>
          <w:szCs w:val="24"/>
          <w:u w:val="single"/>
          <w:rtl w:val="0"/>
        </w:rPr>
      </w:pPr>
    </w:p>
    <w:p>
      <w:pPr>
        <w:spacing w:before="240" w:after="240"/>
        <w:rPr>
          <w:b/>
          <w:sz w:val="24"/>
          <w:szCs w:val="24"/>
          <w:u w:val="single"/>
          <w:rtl w:val="0"/>
        </w:rPr>
      </w:pPr>
    </w:p>
    <w:p>
      <w:pPr>
        <w:spacing w:before="240" w:after="240"/>
        <w:rPr>
          <w:b/>
          <w:sz w:val="24"/>
          <w:szCs w:val="24"/>
          <w:u w:val="single"/>
          <w:rtl w:val="0"/>
        </w:rPr>
      </w:pPr>
    </w:p>
    <w:p>
      <w:pPr>
        <w:spacing w:before="240" w:after="240"/>
        <w:rPr>
          <w:b/>
          <w:sz w:val="24"/>
          <w:szCs w:val="24"/>
          <w:u w:val="single"/>
        </w:rPr>
      </w:pPr>
      <w:r>
        <w:rPr>
          <w:b/>
          <w:sz w:val="24"/>
          <w:szCs w:val="24"/>
          <w:u w:val="single"/>
          <w:rtl w:val="0"/>
        </w:rPr>
        <w:t>Executive Summary</w:t>
      </w:r>
    </w:p>
    <w:p>
      <w:pPr>
        <w:spacing w:before="240" w:after="240"/>
      </w:pPr>
      <w:r>
        <w:rPr>
          <w:rtl w:val="0"/>
        </w:rPr>
        <w:t>The aim of this study is to explore two HR priority areas for JD Wetherspoon company, with a focus on employees' health and well-being and also the implications of diversity, equality, and inclusion (DEI) in their workforce. Rather controversial Wetherspoon chairman and company founder Tim Martin has frequently come under fire for putting money before people, but the truth is that his business has been recognised as a top employer for the past 17 years. I have looked at how the firm handles criticism in</w:t>
      </w:r>
      <w:r>
        <w:rPr>
          <w:rFonts w:hint="default"/>
          <w:rtl w:val="0"/>
          <w:lang w:val="en-GB"/>
        </w:rPr>
        <w:t xml:space="preserve"> </w:t>
      </w:r>
      <w:r>
        <w:rPr>
          <w:rtl w:val="0"/>
        </w:rPr>
        <w:t xml:space="preserve"> two</w:t>
      </w:r>
      <w:r>
        <w:rPr>
          <w:rFonts w:hint="default"/>
          <w:rtl w:val="0"/>
          <w:lang w:val="en-GB"/>
        </w:rPr>
        <w:t xml:space="preserve"> HRM</w:t>
      </w:r>
      <w:r>
        <w:rPr>
          <w:rtl w:val="0"/>
        </w:rPr>
        <w:t xml:space="preserve"> priority areas as an HR consultant and based on my investigation and the application of HRM models to the business, I have developed ways to improve workplace </w:t>
      </w:r>
      <w:r>
        <w:rPr>
          <w:rtl w:val="0"/>
          <w:lang w:val="en-GB"/>
        </w:rPr>
        <w:t>well-being</w:t>
      </w:r>
      <w:r>
        <w:rPr>
          <w:rtl w:val="0"/>
        </w:rPr>
        <w:t xml:space="preserve">. The business has to understand the good effects of fostering DEI and wellness and how crucial they are to the strategic goals of the organisation. Several models were used to tackle </w:t>
      </w:r>
      <w:r>
        <w:rPr>
          <w:rFonts w:hint="default"/>
          <w:rtl w:val="0"/>
          <w:lang w:val="en-GB"/>
        </w:rPr>
        <w:t>those key</w:t>
      </w:r>
      <w:r>
        <w:rPr>
          <w:rtl w:val="0"/>
        </w:rPr>
        <w:t xml:space="preserve"> areas after a brief explanation of the significance of strategic human resource management in the firm. These models included the Harvard model, the ACAS framework, and Schein's model of organisational culture. The research is concluded with key findings that illustrate the weaknesses and strengths of Wetherspoon's HRM priority areas, offer suggestions for development, and explain how doing so might be advantageous for both the firm and the employees. It appears that there is always room for improvement, and perhaps Tim Martin might learn from the success of other successful entrepreneurs.</w:t>
      </w:r>
    </w:p>
    <w:p>
      <w:pPr>
        <w:spacing w:before="240" w:after="240"/>
        <w:ind w:left="0" w:firstLine="0"/>
      </w:pPr>
    </w:p>
    <w:p>
      <w:pPr>
        <w:spacing w:before="240" w:after="240"/>
        <w:ind w:left="0" w:firstLine="0"/>
      </w:pPr>
    </w:p>
    <w:p>
      <w:pPr>
        <w:spacing w:before="240" w:after="240"/>
        <w:ind w:left="0" w:firstLine="0"/>
      </w:pPr>
      <w:r>
        <w:rPr>
          <w:rtl w:val="0"/>
        </w:rPr>
        <w:t>“I truly believe that if you take care of your employees, they will take care of your business.”        Richard Branson (Pinterest, 2015).</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Table of Contents</w:t>
      </w:r>
    </w:p>
    <w:p>
      <w:pPr>
        <w:spacing w:before="240" w:after="240"/>
      </w:pPr>
      <w:r>
        <w:rPr>
          <w:rtl w:val="0"/>
        </w:rPr>
        <w:t>1.0 Introduction…………………………………………………………………………………………..4</w:t>
      </w:r>
    </w:p>
    <w:p>
      <w:pPr>
        <w:spacing w:before="240" w:after="240"/>
      </w:pPr>
      <w:r>
        <w:rPr>
          <w:rtl w:val="0"/>
        </w:rPr>
        <w:t xml:space="preserve">2.0  Strategic Human Resource Management……………………………………………………….5 </w:t>
      </w:r>
    </w:p>
    <w:p>
      <w:pPr>
        <w:spacing w:before="240" w:after="240"/>
        <w:ind w:firstLine="720"/>
      </w:pPr>
      <w:r>
        <w:rPr>
          <w:rtl w:val="0"/>
        </w:rPr>
        <w:t>Figure 1. Harvard Model of HRM……………………………………………………………..5</w:t>
      </w:r>
    </w:p>
    <w:p>
      <w:pPr>
        <w:spacing w:before="240" w:after="240"/>
      </w:pPr>
      <w:r>
        <w:rPr>
          <w:rtl w:val="0"/>
        </w:rPr>
        <w:t xml:space="preserve">2.1 Application of Harvard </w:t>
      </w:r>
      <w:r>
        <w:rPr>
          <w:rFonts w:hint="default"/>
          <w:rtl w:val="0"/>
          <w:lang w:val="en-GB"/>
        </w:rPr>
        <w:t>M</w:t>
      </w:r>
      <w:r>
        <w:rPr>
          <w:rtl w:val="0"/>
        </w:rPr>
        <w:t xml:space="preserve">odel to J D Wetherspoon </w:t>
      </w:r>
      <w:r>
        <w:rPr>
          <w:rFonts w:hint="default"/>
          <w:rtl w:val="0"/>
          <w:lang w:val="en-GB"/>
        </w:rPr>
        <w:t>C</w:t>
      </w:r>
      <w:r>
        <w:rPr>
          <w:rtl w:val="0"/>
        </w:rPr>
        <w:t xml:space="preserve">hain of </w:t>
      </w:r>
      <w:r>
        <w:rPr>
          <w:rFonts w:hint="default"/>
          <w:rtl w:val="0"/>
          <w:lang w:val="en-GB"/>
        </w:rPr>
        <w:t>P</w:t>
      </w:r>
      <w:r>
        <w:rPr>
          <w:rtl w:val="0"/>
        </w:rPr>
        <w:t xml:space="preserve">ubs and </w:t>
      </w:r>
      <w:r>
        <w:rPr>
          <w:rFonts w:hint="default"/>
          <w:rtl w:val="0"/>
          <w:lang w:val="en-GB"/>
        </w:rPr>
        <w:t>H</w:t>
      </w:r>
      <w:r>
        <w:rPr>
          <w:rtl w:val="0"/>
        </w:rPr>
        <w:t>otels………………6</w:t>
      </w:r>
    </w:p>
    <w:p>
      <w:pPr>
        <w:spacing w:before="240" w:after="240"/>
        <w:ind w:left="720" w:firstLine="0"/>
      </w:pPr>
      <w:r>
        <w:rPr>
          <w:rtl w:val="0"/>
        </w:rPr>
        <w:t>2.1.1 Stakeholder Interest……………………………………………………………………..6</w:t>
      </w:r>
    </w:p>
    <w:p>
      <w:pPr>
        <w:spacing w:before="240" w:after="240"/>
        <w:ind w:left="720" w:firstLine="0"/>
      </w:pPr>
      <w:r>
        <w:rPr>
          <w:rtl w:val="0"/>
        </w:rPr>
        <w:t xml:space="preserve">2.1.2 Situational </w:t>
      </w:r>
      <w:r>
        <w:rPr>
          <w:rFonts w:hint="default"/>
          <w:rtl w:val="0"/>
          <w:lang w:val="en-GB"/>
        </w:rPr>
        <w:t>F</w:t>
      </w:r>
      <w:r>
        <w:rPr>
          <w:rtl w:val="0"/>
        </w:rPr>
        <w:t>actors……………………………………………………………………….6</w:t>
      </w:r>
    </w:p>
    <w:p>
      <w:pPr>
        <w:spacing w:before="240" w:after="240"/>
        <w:ind w:left="720" w:firstLine="0"/>
      </w:pPr>
      <w:r>
        <w:rPr>
          <w:rtl w:val="0"/>
        </w:rPr>
        <w:t xml:space="preserve">2.1.3 HRM Policies and Policy Choices……………………………………………………6-7 </w:t>
      </w:r>
    </w:p>
    <w:p>
      <w:pPr>
        <w:spacing w:before="240" w:after="240"/>
        <w:ind w:left="720" w:firstLine="0"/>
      </w:pPr>
      <w:r>
        <w:rPr>
          <w:rtl w:val="0"/>
        </w:rPr>
        <w:t>2.1.4 HR Outcomes…………………………………………………………………………….7</w:t>
      </w:r>
    </w:p>
    <w:p>
      <w:pPr>
        <w:spacing w:before="240" w:after="240"/>
        <w:ind w:left="720" w:firstLine="0"/>
      </w:pPr>
      <w:r>
        <w:rPr>
          <w:rtl w:val="0"/>
        </w:rPr>
        <w:t xml:space="preserve">2.1.5 Long-term </w:t>
      </w:r>
      <w:r>
        <w:rPr>
          <w:rFonts w:hint="default"/>
          <w:rtl w:val="0"/>
          <w:lang w:val="en-GB"/>
        </w:rPr>
        <w:t>C</w:t>
      </w:r>
      <w:r>
        <w:rPr>
          <w:rtl w:val="0"/>
        </w:rPr>
        <w:t>onsequences……………………………………………………………….7</w:t>
      </w:r>
    </w:p>
    <w:p>
      <w:pPr>
        <w:spacing w:before="240" w:after="240"/>
      </w:pPr>
      <w:r>
        <w:rPr>
          <w:rtl w:val="0"/>
        </w:rPr>
        <w:t>2.2  Promoting  Diversity, Equality, and Inclusion (DEI) in the Workplace………………………</w:t>
      </w:r>
      <w:r>
        <w:rPr>
          <w:rFonts w:hint="default"/>
          <w:rtl w:val="0"/>
          <w:lang w:val="en-GB"/>
        </w:rPr>
        <w:t>…</w:t>
      </w:r>
      <w:r>
        <w:rPr>
          <w:rtl w:val="0"/>
        </w:rPr>
        <w:t>7</w:t>
      </w:r>
    </w:p>
    <w:p>
      <w:pPr>
        <w:spacing w:before="240" w:after="240"/>
      </w:pPr>
      <w:r>
        <w:rPr>
          <w:rtl w:val="0"/>
        </w:rPr>
        <w:t>2.3.  Employee Well-being……………………………………………………………………………</w:t>
      </w:r>
      <w:r>
        <w:rPr>
          <w:rFonts w:hint="default"/>
          <w:rtl w:val="0"/>
          <w:lang w:val="en-GB"/>
        </w:rPr>
        <w:t>…</w:t>
      </w:r>
      <w:r>
        <w:rPr>
          <w:rtl w:val="0"/>
        </w:rPr>
        <w:t>8</w:t>
      </w:r>
    </w:p>
    <w:p>
      <w:pPr>
        <w:spacing w:before="240" w:after="240"/>
        <w:ind w:firstLine="720"/>
      </w:pPr>
      <w:r>
        <w:rPr>
          <w:rtl w:val="0"/>
        </w:rPr>
        <w:t xml:space="preserve">Figure 2. ACAS Framework for </w:t>
      </w:r>
      <w:r>
        <w:rPr>
          <w:rFonts w:hint="default"/>
          <w:rtl w:val="0"/>
          <w:lang w:val="en-GB"/>
        </w:rPr>
        <w:t>P</w:t>
      </w:r>
      <w:r>
        <w:rPr>
          <w:rtl w:val="0"/>
        </w:rPr>
        <w:t xml:space="preserve">ositive </w:t>
      </w:r>
      <w:r>
        <w:rPr>
          <w:rFonts w:hint="default"/>
          <w:rtl w:val="0"/>
          <w:lang w:val="en-GB"/>
        </w:rPr>
        <w:t>M</w:t>
      </w:r>
      <w:r>
        <w:rPr>
          <w:rtl w:val="0"/>
        </w:rPr>
        <w:t xml:space="preserve">ental </w:t>
      </w:r>
      <w:r>
        <w:rPr>
          <w:rFonts w:hint="default"/>
          <w:rtl w:val="0"/>
          <w:lang w:val="en-GB"/>
        </w:rPr>
        <w:t>H</w:t>
      </w:r>
      <w:r>
        <w:rPr>
          <w:rtl w:val="0"/>
        </w:rPr>
        <w:t xml:space="preserve">ealth at </w:t>
      </w:r>
      <w:r>
        <w:rPr>
          <w:rFonts w:hint="default"/>
          <w:rtl w:val="0"/>
          <w:lang w:val="en-GB"/>
        </w:rPr>
        <w:t>W</w:t>
      </w:r>
      <w:r>
        <w:rPr>
          <w:rtl w:val="0"/>
        </w:rPr>
        <w:t>ork…………………………</w:t>
      </w:r>
      <w:r>
        <w:rPr>
          <w:rFonts w:hint="default"/>
          <w:rtl w:val="0"/>
          <w:lang w:val="en-GB"/>
        </w:rPr>
        <w:t>..</w:t>
      </w:r>
      <w:r>
        <w:rPr>
          <w:rtl w:val="0"/>
        </w:rPr>
        <w:t>8</w:t>
      </w:r>
    </w:p>
    <w:p>
      <w:pPr>
        <w:spacing w:before="240" w:after="240"/>
        <w:ind w:firstLine="720"/>
      </w:pPr>
      <w:r>
        <w:rPr>
          <w:rtl w:val="0"/>
        </w:rPr>
        <w:t xml:space="preserve">2.3.1 3 C’s </w:t>
      </w:r>
      <w:r>
        <w:rPr>
          <w:rFonts w:hint="default"/>
          <w:rtl w:val="0"/>
          <w:lang w:val="en-GB"/>
        </w:rPr>
        <w:t>F</w:t>
      </w:r>
      <w:r>
        <w:rPr>
          <w:rtl w:val="0"/>
        </w:rPr>
        <w:t xml:space="preserve">ramework to </w:t>
      </w:r>
      <w:r>
        <w:rPr>
          <w:rFonts w:hint="default"/>
          <w:rtl w:val="0"/>
          <w:lang w:val="en-GB"/>
        </w:rPr>
        <w:t>K</w:t>
      </w:r>
      <w:r>
        <w:rPr>
          <w:rtl w:val="0"/>
        </w:rPr>
        <w:t xml:space="preserve">eep the </w:t>
      </w:r>
      <w:r>
        <w:rPr>
          <w:rFonts w:hint="default"/>
          <w:rtl w:val="0"/>
          <w:lang w:val="en-GB"/>
        </w:rPr>
        <w:t>W</w:t>
      </w:r>
      <w:r>
        <w:rPr>
          <w:rtl w:val="0"/>
        </w:rPr>
        <w:t xml:space="preserve">orkforce </w:t>
      </w:r>
      <w:r>
        <w:rPr>
          <w:rFonts w:hint="default"/>
          <w:rtl w:val="0"/>
          <w:lang w:val="en-GB"/>
        </w:rPr>
        <w:t>E</w:t>
      </w:r>
      <w:r>
        <w:rPr>
          <w:rtl w:val="0"/>
        </w:rPr>
        <w:t xml:space="preserve">ngaged and </w:t>
      </w:r>
      <w:r>
        <w:rPr>
          <w:rFonts w:hint="default"/>
          <w:rtl w:val="0"/>
          <w:lang w:val="en-GB"/>
        </w:rPr>
        <w:t>H</w:t>
      </w:r>
      <w:r>
        <w:rPr>
          <w:rtl w:val="0"/>
        </w:rPr>
        <w:t>appy…………………</w:t>
      </w:r>
      <w:r>
        <w:rPr>
          <w:rFonts w:hint="default"/>
          <w:rtl w:val="0"/>
          <w:lang w:val="en-GB"/>
        </w:rPr>
        <w:t>…...</w:t>
      </w:r>
      <w:r>
        <w:rPr>
          <w:rtl w:val="0"/>
        </w:rPr>
        <w:t xml:space="preserve">9 </w:t>
      </w:r>
    </w:p>
    <w:p>
      <w:pPr>
        <w:spacing w:before="240" w:after="240"/>
        <w:ind w:firstLine="720"/>
      </w:pPr>
      <w:r>
        <w:rPr>
          <w:rtl w:val="0"/>
        </w:rPr>
        <w:t xml:space="preserve">2.3.2 How </w:t>
      </w:r>
      <w:r>
        <w:rPr>
          <w:rFonts w:hint="default"/>
          <w:rtl w:val="0"/>
          <w:lang w:val="en-GB"/>
        </w:rPr>
        <w:t>C</w:t>
      </w:r>
      <w:r>
        <w:rPr>
          <w:rtl w:val="0"/>
        </w:rPr>
        <w:t xml:space="preserve">an a </w:t>
      </w:r>
      <w:r>
        <w:rPr>
          <w:rFonts w:hint="default"/>
          <w:rtl w:val="0"/>
          <w:lang w:val="en-GB"/>
        </w:rPr>
        <w:t>C</w:t>
      </w:r>
      <w:r>
        <w:rPr>
          <w:rtl w:val="0"/>
        </w:rPr>
        <w:t xml:space="preserve">ulture be </w:t>
      </w:r>
      <w:r>
        <w:rPr>
          <w:rFonts w:hint="default"/>
          <w:rtl w:val="0"/>
          <w:lang w:val="en-GB"/>
        </w:rPr>
        <w:t>E</w:t>
      </w:r>
      <w:r>
        <w:rPr>
          <w:rtl w:val="0"/>
        </w:rPr>
        <w:t xml:space="preserve">stablished </w:t>
      </w:r>
      <w:r>
        <w:rPr>
          <w:rFonts w:hint="default"/>
          <w:rtl w:val="0"/>
          <w:lang w:val="en-GB"/>
        </w:rPr>
        <w:t>T</w:t>
      </w:r>
      <w:r>
        <w:rPr>
          <w:rtl w:val="0"/>
        </w:rPr>
        <w:t xml:space="preserve">hat </w:t>
      </w:r>
      <w:r>
        <w:rPr>
          <w:rFonts w:hint="default"/>
          <w:rtl w:val="0"/>
          <w:lang w:val="en-GB"/>
        </w:rPr>
        <w:t>P</w:t>
      </w:r>
      <w:r>
        <w:rPr>
          <w:rtl w:val="0"/>
        </w:rPr>
        <w:t xml:space="preserve">uts </w:t>
      </w:r>
      <w:r>
        <w:rPr>
          <w:rFonts w:hint="default"/>
          <w:rtl w:val="0"/>
          <w:lang w:val="en-GB"/>
        </w:rPr>
        <w:t>E</w:t>
      </w:r>
      <w:r>
        <w:rPr>
          <w:rtl w:val="0"/>
        </w:rPr>
        <w:t xml:space="preserve">mployee </w:t>
      </w:r>
      <w:r>
        <w:rPr>
          <w:rFonts w:hint="default"/>
          <w:rtl w:val="0"/>
          <w:lang w:val="en-GB"/>
        </w:rPr>
        <w:t>H</w:t>
      </w:r>
      <w:r>
        <w:rPr>
          <w:rtl w:val="0"/>
        </w:rPr>
        <w:t xml:space="preserve">ealth and </w:t>
      </w:r>
      <w:r>
        <w:rPr>
          <w:rFonts w:hint="default"/>
          <w:rtl w:val="0"/>
          <w:lang w:val="en-GB"/>
        </w:rPr>
        <w:t>W</w:t>
      </w:r>
      <w:r>
        <w:rPr>
          <w:rtl w:val="0"/>
          <w:lang w:val="en-GB"/>
        </w:rPr>
        <w:t>ell-being</w:t>
      </w:r>
      <w:r>
        <w:rPr>
          <w:rtl w:val="0"/>
        </w:rPr>
        <w:t xml:space="preserve"> </w:t>
      </w:r>
      <w:r>
        <w:rPr>
          <w:rFonts w:hint="default"/>
          <w:rtl w:val="0"/>
          <w:lang w:val="en-GB"/>
        </w:rPr>
        <w:t>F</w:t>
      </w:r>
      <w:r>
        <w:rPr>
          <w:rtl w:val="0"/>
        </w:rPr>
        <w:t>irst?…</w:t>
      </w:r>
      <w:r>
        <w:rPr>
          <w:rFonts w:hint="default"/>
          <w:rtl w:val="0"/>
          <w:lang w:val="en-GB"/>
        </w:rPr>
        <w:t>…………………………………………………………………………………………………….</w:t>
      </w:r>
      <w:r>
        <w:rPr>
          <w:rtl w:val="0"/>
        </w:rPr>
        <w:t>9</w:t>
      </w:r>
    </w:p>
    <w:p>
      <w:pPr>
        <w:spacing w:before="240" w:after="240"/>
        <w:ind w:firstLine="720"/>
      </w:pPr>
      <w:r>
        <w:rPr>
          <w:rtl w:val="0"/>
        </w:rPr>
        <w:t>Figure 3: Schein's Model of Organisational Culture…………………………………………9</w:t>
      </w:r>
    </w:p>
    <w:p>
      <w:pPr>
        <w:spacing w:before="240" w:after="240"/>
        <w:ind w:firstLine="720"/>
      </w:pPr>
      <w:r>
        <w:rPr>
          <w:rtl w:val="0"/>
        </w:rPr>
        <w:t xml:space="preserve">2.3.3 Application of Schein’s </w:t>
      </w:r>
      <w:r>
        <w:rPr>
          <w:rFonts w:hint="default"/>
          <w:rtl w:val="0"/>
          <w:lang w:val="en-GB"/>
        </w:rPr>
        <w:t>F</w:t>
      </w:r>
      <w:r>
        <w:rPr>
          <w:rtl w:val="0"/>
        </w:rPr>
        <w:t xml:space="preserve">ramework to an </w:t>
      </w:r>
      <w:r>
        <w:rPr>
          <w:rFonts w:hint="default"/>
          <w:rtl w:val="0"/>
          <w:lang w:val="en-GB"/>
        </w:rPr>
        <w:t>O</w:t>
      </w:r>
      <w:r>
        <w:rPr>
          <w:rtl w:val="0"/>
        </w:rPr>
        <w:t>rganisation…………………………</w:t>
      </w:r>
      <w:r>
        <w:rPr>
          <w:rFonts w:hint="default"/>
          <w:rtl w:val="0"/>
          <w:lang w:val="en-GB"/>
        </w:rPr>
        <w:t>.</w:t>
      </w:r>
      <w:r>
        <w:rPr>
          <w:rtl w:val="0"/>
        </w:rPr>
        <w:t>10-11</w:t>
      </w:r>
    </w:p>
    <w:p>
      <w:pPr>
        <w:spacing w:before="240" w:after="240"/>
      </w:pPr>
      <w:r>
        <w:rPr>
          <w:rtl w:val="0"/>
        </w:rPr>
        <w:t>3.0 Conclusion…………………………………………………………………………………………..11</w:t>
      </w:r>
    </w:p>
    <w:p>
      <w:pPr>
        <w:spacing w:before="240" w:after="240"/>
      </w:pPr>
      <w:r>
        <w:rPr>
          <w:rtl w:val="0"/>
        </w:rPr>
        <w:t>4.0 References………………………………………………………………………………………12-15</w:t>
      </w:r>
    </w:p>
    <w:p>
      <w:pPr>
        <w:spacing w:before="240" w:after="240"/>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1.0 Introduction</w:t>
      </w:r>
    </w:p>
    <w:p>
      <w:pPr>
        <w:spacing w:before="240" w:after="240"/>
      </w:pPr>
      <w:r>
        <w:rPr>
          <w:rtl w:val="0"/>
        </w:rPr>
        <w:t xml:space="preserve">The purpose of this report is to evaluate two HRM priority areas: employee well-being and equality, diversity, and inclusion (EDI) in the workplace. It was requested by a lecturer at the University of Wales Trinity Saint David. I've selected JD Wetherspoon and applied several HRM frameworks to business HRM. As an HR consultant, my role is to conduct an analysis to discover if an organization's resources meet the demands of its key stakeholders, i.e., its employees, and to evaluate the strengths and weaknesses of those HRM priority areas. In order to demonstrate how Wetherspoon HR operations, which are crucial to the strategic function of the organisation, may be improved, a few recommendations were made. </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 xml:space="preserve">2.0  Strategic Human Resource Management </w:t>
      </w:r>
    </w:p>
    <w:p>
      <w:pPr>
        <w:spacing w:before="240" w:after="240"/>
      </w:pPr>
      <w:r>
        <w:rPr>
          <w:rtl w:val="0"/>
        </w:rPr>
        <w:t>Practices in human resources cannot be created merely to address employee issues. Kudla (2021) argues that the most successful businesses are those that design human resource management systems that satisfy the requirements of all major stakeholders. However, according to HRM Guide (2022), having a strong HR plan in place is crucial to preventing employee burnout and disengagement given the amount of work your HR staff is expected to complete. One of the four main HRM models is the Harvard model. Hard perspectives of HR management differ from "soft" views in that they place a greater emphasis on outcomes, goals, KP</w:t>
      </w:r>
      <w:r>
        <w:rPr>
          <w:rFonts w:hint="default"/>
          <w:rtl w:val="0"/>
          <w:lang w:val="en-GB"/>
        </w:rPr>
        <w:t>’</w:t>
      </w:r>
      <w:r>
        <w:rPr>
          <w:rtl w:val="0"/>
        </w:rPr>
        <w:t xml:space="preserve">Is, or deliverables. More attention is paid to people, attitudes, culture, and motivation in soft models. According to Personio (2022), The Harvard HRM model is regarded as one of the most influential "soft HRM" strategies because it focuses more on people than results. </w:t>
      </w:r>
    </w:p>
    <w:p>
      <w:pPr>
        <w:spacing w:before="240" w:after="240"/>
        <w:rPr>
          <w:b/>
          <w:sz w:val="24"/>
          <w:szCs w:val="24"/>
        </w:rPr>
      </w:pPr>
    </w:p>
    <w:p>
      <w:pPr>
        <w:spacing w:before="240" w:after="240"/>
        <w:rPr>
          <w:b/>
          <w:sz w:val="24"/>
          <w:szCs w:val="24"/>
        </w:rPr>
      </w:pPr>
      <w:r>
        <w:rPr>
          <w:b/>
          <w:sz w:val="24"/>
          <w:szCs w:val="24"/>
          <w:rtl w:val="0"/>
        </w:rPr>
        <w:t>Figure 1. Harvard Model of HRM</w:t>
      </w:r>
    </w:p>
    <w:p>
      <w:pPr>
        <w:spacing w:before="240" w:after="240"/>
        <w:rPr>
          <w:b/>
        </w:rPr>
      </w:pPr>
      <w:r>
        <w:rPr>
          <w:b/>
        </w:rPr>
        <w:drawing>
          <wp:inline distT="114300" distB="114300" distL="114300" distR="114300">
            <wp:extent cx="6049645" cy="332613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9"/>
                    <a:srcRect/>
                    <a:stretch>
                      <a:fillRect/>
                    </a:stretch>
                  </pic:blipFill>
                  <pic:spPr>
                    <a:xfrm>
                      <a:off x="0" y="0"/>
                      <a:ext cx="6050279" cy="3326448"/>
                    </a:xfrm>
                    <a:prstGeom prst="rect">
                      <a:avLst/>
                    </a:prstGeom>
                  </pic:spPr>
                </pic:pic>
              </a:graphicData>
            </a:graphic>
          </wp:inline>
        </w:drawing>
      </w:r>
    </w:p>
    <w:p>
      <w:pPr>
        <w:spacing w:before="240" w:after="240"/>
        <w:rPr>
          <w:rFonts w:hint="default"/>
          <w:lang w:val="en-GB"/>
        </w:rPr>
      </w:pPr>
      <w:r>
        <w:rPr>
          <w:rFonts w:hint="default"/>
          <w:sz w:val="18"/>
          <w:szCs w:val="18"/>
          <w:rtl w:val="0"/>
          <w:lang w:val="en-GB"/>
        </w:rPr>
        <w:t>(</w:t>
      </w:r>
      <w:r>
        <w:rPr>
          <w:sz w:val="18"/>
          <w:szCs w:val="18"/>
          <w:rtl w:val="0"/>
        </w:rPr>
        <w:t>Image source: https://www.selectsoftwarereviews.com/blog/top-10-hr-models</w:t>
      </w:r>
      <w:r>
        <w:rPr>
          <w:rFonts w:hint="default"/>
          <w:sz w:val="18"/>
          <w:szCs w:val="18"/>
          <w:rtl w:val="0"/>
          <w:lang w:val="en-GB"/>
        </w:rPr>
        <w:t>)</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r>
        <w:rPr>
          <w:b/>
          <w:sz w:val="24"/>
          <w:szCs w:val="24"/>
          <w:rtl w:val="0"/>
        </w:rPr>
        <w:t xml:space="preserve">2.1 Application of Harvard </w:t>
      </w:r>
      <w:r>
        <w:rPr>
          <w:rFonts w:hint="default"/>
          <w:b/>
          <w:sz w:val="24"/>
          <w:szCs w:val="24"/>
          <w:rtl w:val="0"/>
          <w:lang w:val="en-GB"/>
        </w:rPr>
        <w:t>M</w:t>
      </w:r>
      <w:r>
        <w:rPr>
          <w:b/>
          <w:sz w:val="24"/>
          <w:szCs w:val="24"/>
          <w:rtl w:val="0"/>
        </w:rPr>
        <w:t xml:space="preserve">odel to J D Wetherspoon </w:t>
      </w:r>
      <w:r>
        <w:rPr>
          <w:rFonts w:hint="default"/>
          <w:b/>
          <w:sz w:val="24"/>
          <w:szCs w:val="24"/>
          <w:rtl w:val="0"/>
          <w:lang w:val="en-GB"/>
        </w:rPr>
        <w:t>C</w:t>
      </w:r>
      <w:r>
        <w:rPr>
          <w:b/>
          <w:sz w:val="24"/>
          <w:szCs w:val="24"/>
          <w:rtl w:val="0"/>
        </w:rPr>
        <w:t xml:space="preserve">hain of </w:t>
      </w:r>
      <w:r>
        <w:rPr>
          <w:rFonts w:hint="default"/>
          <w:b/>
          <w:sz w:val="24"/>
          <w:szCs w:val="24"/>
          <w:rtl w:val="0"/>
          <w:lang w:val="en-GB"/>
        </w:rPr>
        <w:t>P</w:t>
      </w:r>
      <w:r>
        <w:rPr>
          <w:b/>
          <w:sz w:val="24"/>
          <w:szCs w:val="24"/>
          <w:rtl w:val="0"/>
        </w:rPr>
        <w:t xml:space="preserve">ubs and </w:t>
      </w:r>
      <w:r>
        <w:rPr>
          <w:rFonts w:hint="default"/>
          <w:b/>
          <w:sz w:val="24"/>
          <w:szCs w:val="24"/>
          <w:rtl w:val="0"/>
          <w:lang w:val="en-GB"/>
        </w:rPr>
        <w:t>H</w:t>
      </w:r>
      <w:r>
        <w:rPr>
          <w:b/>
          <w:sz w:val="24"/>
          <w:szCs w:val="24"/>
          <w:rtl w:val="0"/>
        </w:rPr>
        <w:t xml:space="preserve">otels </w:t>
      </w:r>
    </w:p>
    <w:p>
      <w:pPr>
        <w:spacing w:before="240" w:after="240"/>
      </w:pPr>
      <w:r>
        <w:rPr>
          <w:rtl w:val="0"/>
        </w:rPr>
        <w:t>The company has been successful in creating a distinct brand identity as a pub that sells a wide variety of beers at reasonable prices, however, some of the company's other brand attributes are much less clearly perceived by customers, and customer service is not always very efficient in promoting and improving the brand (Jones et.al., 2022).</w:t>
      </w:r>
    </w:p>
    <w:p>
      <w:pPr>
        <w:spacing w:before="240" w:after="240"/>
        <w:ind w:left="720" w:firstLine="0"/>
        <w:rPr>
          <w:b/>
          <w:sz w:val="24"/>
          <w:szCs w:val="24"/>
        </w:rPr>
      </w:pPr>
      <w:r>
        <w:rPr>
          <w:b/>
          <w:sz w:val="24"/>
          <w:szCs w:val="24"/>
          <w:rtl w:val="0"/>
        </w:rPr>
        <w:t>2.1.1 Stakeholder Interest</w:t>
      </w:r>
    </w:p>
    <w:p>
      <w:pPr>
        <w:spacing w:before="240" w:after="240"/>
      </w:pPr>
      <w:r>
        <w:rPr>
          <w:rtl w:val="0"/>
        </w:rPr>
        <w:t>The Harvard model suggests that the values, opinions, and viewpoints of several stakeholders must be taken into account. Employees are a business's most valuable resource and key stakeholder. Mc Grath (2018) posted an article on Wetherspoon employees striking over poor working conditions and physically and psychologically exhausting labour for a little wage. Workers complained that these issues, as well as business policies such as the lack of sick pay, are making their life considerably more difficult. Working in the hospitality industry can be demanding, antisocial, and ungrateful. A fair wage means that people have enough money to pay their rent, food, and expenses while maintaining the bare minimum of dignity. Employees must work for the firm for at least 18 months to qualify for the free shares plan, which is demotivating (Barrie, 2020).</w:t>
      </w:r>
    </w:p>
    <w:p>
      <w:pPr>
        <w:spacing w:before="240" w:after="240"/>
        <w:ind w:left="720" w:firstLine="0"/>
        <w:rPr>
          <w:b/>
          <w:sz w:val="24"/>
          <w:szCs w:val="24"/>
        </w:rPr>
      </w:pPr>
      <w:r>
        <w:rPr>
          <w:b/>
          <w:sz w:val="24"/>
          <w:szCs w:val="24"/>
          <w:rtl w:val="0"/>
        </w:rPr>
        <w:t xml:space="preserve">2.1.2 Situational </w:t>
      </w:r>
      <w:r>
        <w:rPr>
          <w:rFonts w:hint="default"/>
          <w:b/>
          <w:sz w:val="24"/>
          <w:szCs w:val="24"/>
          <w:rtl w:val="0"/>
          <w:lang w:val="en-GB"/>
        </w:rPr>
        <w:t>F</w:t>
      </w:r>
      <w:r>
        <w:rPr>
          <w:b/>
          <w:sz w:val="24"/>
          <w:szCs w:val="24"/>
          <w:rtl w:val="0"/>
        </w:rPr>
        <w:t>actors</w:t>
      </w:r>
    </w:p>
    <w:p>
      <w:pPr>
        <w:spacing w:before="240" w:after="240"/>
        <w:ind w:left="0" w:firstLine="0"/>
      </w:pPr>
      <w:r>
        <w:rPr>
          <w:rtl w:val="0"/>
        </w:rPr>
        <w:t>Since both internal and external influences have an impact on how people behave, they should both be taken into account before making policy decisions. Equal opportunity is something that Wetherspoon is dedicated to. In order to prevent any direct or indirect victimisation of their workers, job applicants, clients, or contractors, the company wants to foster a diverse and inclusive work environment. To uphold the equal opportunities - (EDI) policy, terms and conditions of employment, personnel, and management practices that ensure no individual receives less favorable treatment because of their age, disability, race, religion, or belief, sex, sexual orientation, gender reassignment, marriage or civil partnership, pregnancy, or maternity are introduced and apply to all employees as well as a head office (Cacioppo, 2022). When Sutherland (the manager at Standard Bearer pub in Stevenage) received a complaint about Mr. Rush using racist and transphobic language against his employee, Sutherland discharged Rush, and he also lost his tribunal battle against Wetherspoon for gross misconduct, according to Assets Publishing Service (2021).</w:t>
      </w:r>
    </w:p>
    <w:p>
      <w:pPr>
        <w:spacing w:before="240" w:after="240"/>
        <w:ind w:left="720" w:firstLine="0"/>
        <w:rPr>
          <w:b/>
          <w:sz w:val="24"/>
          <w:szCs w:val="24"/>
        </w:rPr>
      </w:pPr>
      <w:r>
        <w:rPr>
          <w:b/>
          <w:sz w:val="24"/>
          <w:szCs w:val="24"/>
          <w:rtl w:val="0"/>
        </w:rPr>
        <w:t xml:space="preserve">2.1.3 HRM Policies and Policy Choices </w:t>
      </w:r>
    </w:p>
    <w:p>
      <w:pPr>
        <w:spacing w:before="240" w:after="240"/>
        <w:ind w:left="0" w:firstLine="0"/>
      </w:pPr>
      <w:r>
        <w:rPr>
          <w:rtl w:val="0"/>
        </w:rPr>
        <w:t xml:space="preserve">HR policy govern how management will work, how they will be rewarded, how HR operates, and how they will affect staff. When these factors are in harmony, workers perform at their best. </w:t>
      </w:r>
      <w:r>
        <w:fldChar w:fldCharType="begin"/>
      </w:r>
      <w:r>
        <w:instrText xml:space="preserve"> HYPERLINK "https://www.emerald.com/insight/search?q=Figen%20Cakar" \h </w:instrText>
      </w:r>
      <w:r>
        <w:fldChar w:fldCharType="separate"/>
      </w:r>
      <w:r>
        <w:rPr>
          <w:highlight w:val="white"/>
          <w:rtl w:val="0"/>
        </w:rPr>
        <w:t>Cakar</w:t>
      </w:r>
      <w:r>
        <w:rPr>
          <w:highlight w:val="white"/>
          <w:rtl w:val="0"/>
        </w:rPr>
        <w:fldChar w:fldCharType="end"/>
      </w:r>
      <w:r>
        <w:rPr>
          <w:highlight w:val="white"/>
          <w:rtl w:val="0"/>
        </w:rPr>
        <w:t xml:space="preserve">, </w:t>
      </w:r>
      <w:r>
        <w:fldChar w:fldCharType="begin"/>
      </w:r>
      <w:r>
        <w:instrText xml:space="preserve"> HYPERLINK "https://www.emerald.com/insight/search?q=Umit%20S.%20Bititci" \h </w:instrText>
      </w:r>
      <w:r>
        <w:fldChar w:fldCharType="separate"/>
      </w:r>
      <w:r>
        <w:rPr>
          <w:highlight w:val="white"/>
          <w:rtl w:val="0"/>
        </w:rPr>
        <w:t>Bititci</w:t>
      </w:r>
      <w:r>
        <w:rPr>
          <w:highlight w:val="white"/>
          <w:rtl w:val="0"/>
        </w:rPr>
        <w:fldChar w:fldCharType="end"/>
      </w:r>
      <w:r>
        <w:rPr>
          <w:highlight w:val="white"/>
          <w:rtl w:val="0"/>
        </w:rPr>
        <w:t xml:space="preserve">, and </w:t>
      </w:r>
      <w:r>
        <w:fldChar w:fldCharType="begin"/>
      </w:r>
      <w:r>
        <w:instrText xml:space="preserve"> HYPERLINK "https://www.emerald.com/insight/search?q=Jillian%20MacBryde" \h </w:instrText>
      </w:r>
      <w:r>
        <w:fldChar w:fldCharType="separate"/>
      </w:r>
      <w:r>
        <w:rPr>
          <w:highlight w:val="white"/>
          <w:rtl w:val="0"/>
        </w:rPr>
        <w:t>MacBryde</w:t>
      </w:r>
      <w:r>
        <w:rPr>
          <w:highlight w:val="white"/>
          <w:rtl w:val="0"/>
        </w:rPr>
        <w:fldChar w:fldCharType="end"/>
      </w:r>
      <w:r>
        <w:rPr>
          <w:highlight w:val="white"/>
          <w:rtl w:val="0"/>
        </w:rPr>
        <w:t xml:space="preserve"> (2003) argue that</w:t>
      </w:r>
      <w:r>
        <w:rPr>
          <w:rtl w:val="0"/>
        </w:rPr>
        <w:t xml:space="preserve"> companies must create HR policies, practices, forms of compensation, staffing practices, appraisal procedures, and working conditions in accordance with significant strategic requirements. According to Hawkins (2019) Wetherspoon is not addressing mental health concerns since untreated harassment and </w:t>
      </w:r>
      <w:r>
        <w:rPr>
          <w:rtl w:val="0"/>
          <w:lang w:val="en-GB"/>
        </w:rPr>
        <w:t>under staffing</w:t>
      </w:r>
      <w:r>
        <w:rPr>
          <w:rtl w:val="0"/>
        </w:rPr>
        <w:t xml:space="preserve"> were producing depression or anxiety among its employees. According to Patton (2009) in a CIPD statement, the impacts of poor mental health, anxiety, and depression are considerably affecting the productivity of many organisations throughout the UK, at a time when businesses need to be at their strongest to deal with the recession. However, just four out of ten respondents thought their organisation provided adequate help to individuals suffering from mental illnesses.</w:t>
      </w:r>
    </w:p>
    <w:p>
      <w:pPr>
        <w:spacing w:before="240" w:after="240"/>
        <w:ind w:left="720" w:firstLine="0"/>
        <w:rPr>
          <w:b/>
          <w:sz w:val="24"/>
          <w:szCs w:val="24"/>
        </w:rPr>
      </w:pPr>
      <w:r>
        <w:rPr>
          <w:b/>
          <w:sz w:val="24"/>
          <w:szCs w:val="24"/>
          <w:rtl w:val="0"/>
        </w:rPr>
        <w:t>2.1.4 HR Outcomes</w:t>
      </w:r>
    </w:p>
    <w:p>
      <w:pPr>
        <w:spacing w:before="240" w:after="240"/>
        <w:ind w:left="0" w:firstLine="0"/>
      </w:pPr>
      <w:r>
        <w:rPr>
          <w:rtl w:val="0"/>
        </w:rPr>
        <w:t xml:space="preserve">Maslow's hierarchy of needs, according to McLeod (2020) advises businesses to care for their workers' basic, psychological and </w:t>
      </w:r>
      <w:r>
        <w:rPr>
          <w:rtl w:val="0"/>
          <w:lang w:val="en-GB"/>
        </w:rPr>
        <w:t>self-fulfilment</w:t>
      </w:r>
      <w:r>
        <w:rPr>
          <w:rtl w:val="0"/>
        </w:rPr>
        <w:t xml:space="preserve"> needs. Wetherspoon maintained all of its workers, according to Tim Martin's statement, more than 99% of staff got furlough money to help their families at this tough period and those who decided to leave were welcomed back if they wished (Munbodh, 2021).</w:t>
      </w:r>
    </w:p>
    <w:p>
      <w:pPr>
        <w:spacing w:before="240" w:after="240"/>
        <w:ind w:left="720" w:firstLine="0"/>
        <w:rPr>
          <w:b/>
          <w:sz w:val="24"/>
          <w:szCs w:val="24"/>
        </w:rPr>
      </w:pPr>
      <w:r>
        <w:rPr>
          <w:b/>
          <w:sz w:val="24"/>
          <w:szCs w:val="24"/>
          <w:rtl w:val="0"/>
        </w:rPr>
        <w:t xml:space="preserve">2.1.5 Long-term </w:t>
      </w:r>
      <w:r>
        <w:rPr>
          <w:rFonts w:hint="default"/>
          <w:b/>
          <w:sz w:val="24"/>
          <w:szCs w:val="24"/>
          <w:rtl w:val="0"/>
          <w:lang w:val="en-GB"/>
        </w:rPr>
        <w:t>C</w:t>
      </w:r>
      <w:r>
        <w:rPr>
          <w:b/>
          <w:sz w:val="24"/>
          <w:szCs w:val="24"/>
          <w:rtl w:val="0"/>
        </w:rPr>
        <w:t>onsequences</w:t>
      </w:r>
    </w:p>
    <w:p>
      <w:pPr>
        <w:spacing w:before="240" w:after="240"/>
        <w:ind w:left="0" w:firstLine="0"/>
      </w:pPr>
      <w:r>
        <w:rPr>
          <w:rtl w:val="0"/>
        </w:rPr>
        <w:t>This component comes after the HR policy and results section. It is interested in the well-being of individuals. The company must take into account whether HR policies and results fulfill the demands of employees and promote their well-being. Wetherspoon received a 3.2 out of 5-star rating on Indeed (2022) for being a stressful workplace. Despite being the top employer for the last 17 years, it was due to insufficient management, a poor work/life balance, job stability, and a toxic work environment (Russell, 2016).</w:t>
      </w:r>
    </w:p>
    <w:p>
      <w:pPr>
        <w:spacing w:before="240" w:after="240"/>
        <w:ind w:left="0" w:firstLine="0"/>
        <w:rPr>
          <w:b/>
          <w:sz w:val="24"/>
          <w:szCs w:val="24"/>
        </w:rPr>
      </w:pPr>
    </w:p>
    <w:p>
      <w:pPr>
        <w:spacing w:before="240" w:after="240"/>
        <w:ind w:left="0" w:firstLine="0"/>
        <w:rPr>
          <w:b/>
          <w:sz w:val="24"/>
          <w:szCs w:val="24"/>
        </w:rPr>
      </w:pPr>
      <w:r>
        <w:rPr>
          <w:b/>
          <w:sz w:val="24"/>
          <w:szCs w:val="24"/>
          <w:rtl w:val="0"/>
        </w:rPr>
        <w:t>2.2  Promoting  Diversity, Equality, and Inclusion (DEI) in the Workplace</w:t>
      </w:r>
    </w:p>
    <w:p>
      <w:pPr>
        <w:spacing w:before="240" w:after="240"/>
      </w:pPr>
      <w:r>
        <w:rPr>
          <w:rtl w:val="0"/>
        </w:rPr>
        <w:t xml:space="preserve">Data gathered from 171 respondents showed that organisational commitment and workforce diversity benefit job performance. The combined impact of those two factors on job performance was also demonstrated by the findings. Additionally, the findings showed that there is no substantial difference in organisational commitment to workforce diversity across age groups, genders, and levels of experience (Jnaneswar, Rajendrababu, and Gayathri, 2022). Companies need to understand that while valuing human performance and human dignity at work is and should be at the core of human resource management, we do not deny fair compensation, fundamental rights, security, and dignity to all employees (Bratton et al., 2022). Equal opportunity is something that Wetherspoon is dedicated to. In order to prevent any direct or indirect victimisation of its workers, job applicants, clients, or contractors, the company wants to foster a multicultural and welcoming work environment. Wetherspoon works hard to ensure that no one is subjected to less </w:t>
      </w:r>
      <w:r>
        <w:rPr>
          <w:rtl w:val="0"/>
          <w:lang w:val="en-GB"/>
        </w:rPr>
        <w:t>favourable</w:t>
      </w:r>
      <w:r>
        <w:rPr>
          <w:rtl w:val="0"/>
        </w:rPr>
        <w:t xml:space="preserve"> treatment because of their age, disability, race, religion, political affiliation, sex, sexual preference, gender identity, gender expression, marriage, civil union, pregnancy, or maternity (JD Wetherspoon, 2019).</w:t>
      </w:r>
    </w:p>
    <w:p>
      <w:pPr>
        <w:spacing w:before="240" w:after="240"/>
        <w:rPr>
          <w:b/>
        </w:rPr>
      </w:pPr>
    </w:p>
    <w:p>
      <w:pPr>
        <w:spacing w:before="240" w:after="240"/>
        <w:rPr>
          <w:b/>
          <w:sz w:val="24"/>
          <w:szCs w:val="24"/>
        </w:rPr>
      </w:pPr>
      <w:r>
        <w:rPr>
          <w:b/>
          <w:sz w:val="24"/>
          <w:szCs w:val="24"/>
          <w:rtl w:val="0"/>
        </w:rPr>
        <w:t xml:space="preserve">2.3.  Employee Well-being </w:t>
      </w:r>
    </w:p>
    <w:p>
      <w:pPr>
        <w:spacing w:before="240" w:after="240"/>
      </w:pPr>
      <w:r>
        <w:rPr>
          <w:rtl w:val="0"/>
        </w:rPr>
        <w:t xml:space="preserve">According to the CIPD (2022) promoting well-being can aid in the prevention of stress and the formation of positive work environments in which people and organisations can thrive. Employee retention and organisational performance can both benefit from improved health and well-being. Armstrong and Taylor (2015) argue that the government, regulatory agencies, and the media put pressure on businesses to treat their employees fairly, which is one of the external variables affecting employee well-being. Organizations must also consider the external demands that employees must deal with, such as the need to maintain a healthy work-life balance, care for children and </w:t>
      </w:r>
      <w:r>
        <w:rPr>
          <w:rtl w:val="0"/>
          <w:lang w:val="en-GB"/>
        </w:rPr>
        <w:t>dependants</w:t>
      </w:r>
      <w:r>
        <w:rPr>
          <w:rtl w:val="0"/>
        </w:rPr>
        <w:t xml:space="preserve">, deal with health issues, and deal with financial difficulties. The Nationals (2021) proclaims that there has been a lot of seriously negligent </w:t>
      </w:r>
      <w:r>
        <w:rPr>
          <w:rtl w:val="0"/>
          <w:lang w:val="en-GB"/>
        </w:rPr>
        <w:t>behaviour</w:t>
      </w:r>
      <w:r>
        <w:rPr>
          <w:rtl w:val="0"/>
        </w:rPr>
        <w:t xml:space="preserve"> on the part of several large corporations during the coronavirus outbreak, and JD Wetherspoon is the best example of how capitalism prioritises profit before people. Now that Wetherspoon has been in the spotlight for mistreating its employees and putting profits ahead of the public for a previous couple of years, everyone is calling for stronger HR policies to be implemented. The company may adhere to the Ulrich model, with the HR function represented at the leadership table and its duties divided among three pillars: business partners, shared services, and centers of excellence (CoEs). HR makes an effort to be a change agent, listen to employees, and reflect on the overall business plan. However, theory and practice don't always correspond. The need for HR to serve as a genuine strategic partner and a link between the workers and the corporation has never been greater (Blumenfeld et al., 2022). Employers, managers, and employees all have a role to play in promoting positive mental health and well-being at work, according to the Acas (no date) framework for it.</w:t>
      </w:r>
    </w:p>
    <w:p>
      <w:pPr>
        <w:spacing w:before="240" w:after="240"/>
        <w:rPr>
          <w:b/>
          <w:sz w:val="24"/>
          <w:szCs w:val="24"/>
        </w:rPr>
      </w:pPr>
      <w:r>
        <w:rPr>
          <w:b/>
          <w:sz w:val="24"/>
          <w:szCs w:val="24"/>
          <w:rtl w:val="0"/>
        </w:rPr>
        <w:t xml:space="preserve">Figure 2. ACAS Framework </w:t>
      </w:r>
      <w:r>
        <w:rPr>
          <w:rFonts w:hint="default"/>
          <w:b/>
          <w:sz w:val="24"/>
          <w:szCs w:val="24"/>
          <w:rtl w:val="0"/>
          <w:lang w:val="en-GB"/>
        </w:rPr>
        <w:t>F</w:t>
      </w:r>
      <w:r>
        <w:rPr>
          <w:b/>
          <w:sz w:val="24"/>
          <w:szCs w:val="24"/>
          <w:rtl w:val="0"/>
        </w:rPr>
        <w:t xml:space="preserve">or </w:t>
      </w:r>
      <w:r>
        <w:rPr>
          <w:rFonts w:hint="default"/>
          <w:b/>
          <w:sz w:val="24"/>
          <w:szCs w:val="24"/>
          <w:rtl w:val="0"/>
          <w:lang w:val="en-GB"/>
        </w:rPr>
        <w:t>P</w:t>
      </w:r>
      <w:r>
        <w:rPr>
          <w:b/>
          <w:sz w:val="24"/>
          <w:szCs w:val="24"/>
          <w:rtl w:val="0"/>
        </w:rPr>
        <w:t xml:space="preserve">ositive </w:t>
      </w:r>
      <w:r>
        <w:rPr>
          <w:rFonts w:hint="default"/>
          <w:b/>
          <w:sz w:val="24"/>
          <w:szCs w:val="24"/>
          <w:rtl w:val="0"/>
          <w:lang w:val="en-GB"/>
        </w:rPr>
        <w:t>M</w:t>
      </w:r>
      <w:r>
        <w:rPr>
          <w:b/>
          <w:sz w:val="24"/>
          <w:szCs w:val="24"/>
          <w:rtl w:val="0"/>
        </w:rPr>
        <w:t xml:space="preserve">ental </w:t>
      </w:r>
      <w:r>
        <w:rPr>
          <w:rFonts w:hint="default"/>
          <w:b/>
          <w:sz w:val="24"/>
          <w:szCs w:val="24"/>
          <w:rtl w:val="0"/>
          <w:lang w:val="en-GB"/>
        </w:rPr>
        <w:t>H</w:t>
      </w:r>
      <w:r>
        <w:rPr>
          <w:b/>
          <w:sz w:val="24"/>
          <w:szCs w:val="24"/>
          <w:rtl w:val="0"/>
        </w:rPr>
        <w:t xml:space="preserve">ealth at </w:t>
      </w:r>
      <w:r>
        <w:rPr>
          <w:rFonts w:hint="default"/>
          <w:b/>
          <w:sz w:val="24"/>
          <w:szCs w:val="24"/>
          <w:rtl w:val="0"/>
          <w:lang w:val="en-GB"/>
        </w:rPr>
        <w:t>W</w:t>
      </w:r>
      <w:r>
        <w:rPr>
          <w:b/>
          <w:sz w:val="24"/>
          <w:szCs w:val="24"/>
          <w:rtl w:val="0"/>
        </w:rPr>
        <w:t>ork</w:t>
      </w:r>
    </w:p>
    <w:p>
      <w:pPr>
        <w:spacing w:before="240" w:after="240"/>
        <w:rPr>
          <w:b/>
          <w:sz w:val="20"/>
          <w:szCs w:val="20"/>
        </w:rPr>
      </w:pPr>
      <w:r>
        <w:drawing>
          <wp:inline distT="114300" distB="114300" distL="114300" distR="114300">
            <wp:extent cx="3538220" cy="264668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0"/>
                    <a:srcRect/>
                    <a:stretch>
                      <a:fillRect/>
                    </a:stretch>
                  </pic:blipFill>
                  <pic:spPr>
                    <a:xfrm>
                      <a:off x="0" y="0"/>
                      <a:ext cx="3538538" cy="2647285"/>
                    </a:xfrm>
                    <a:prstGeom prst="rect">
                      <a:avLst/>
                    </a:prstGeom>
                  </pic:spPr>
                </pic:pic>
              </a:graphicData>
            </a:graphic>
          </wp:inline>
        </w:drawing>
      </w:r>
      <w:r>
        <w:rPr>
          <w:rtl w:val="0"/>
        </w:rPr>
        <w:t>(</w:t>
      </w:r>
      <w:r>
        <w:rPr>
          <w:sz w:val="20"/>
          <w:szCs w:val="20"/>
          <w:rtl w:val="0"/>
        </w:rPr>
        <w:t>Image source:</w:t>
      </w:r>
      <w:r>
        <w:fldChar w:fldCharType="begin"/>
      </w:r>
      <w:r>
        <w:instrText xml:space="preserve"> HYPERLINK "https://www.acas.org.uk/sites/default/files/2021-03/Acas-framework-for-positive-mental-health-at-work.pdf" \h </w:instrText>
      </w:r>
      <w:r>
        <w:fldChar w:fldCharType="separate"/>
      </w:r>
      <w:r>
        <w:rPr>
          <w:color w:val="1155CC"/>
          <w:sz w:val="20"/>
          <w:szCs w:val="20"/>
          <w:u w:val="single"/>
          <w:rtl w:val="0"/>
        </w:rPr>
        <w:t>https://www.acas.org.uk/sites/default/files/2021-03/Acas-framework-for-positive-mental-health-at-work.pdf</w:t>
      </w:r>
      <w:r>
        <w:rPr>
          <w:color w:val="1155CC"/>
          <w:sz w:val="20"/>
          <w:szCs w:val="20"/>
          <w:u w:val="single"/>
          <w:rtl w:val="0"/>
        </w:rPr>
        <w:fldChar w:fldCharType="end"/>
      </w:r>
      <w:r>
        <w:rPr>
          <w:sz w:val="20"/>
          <w:szCs w:val="20"/>
          <w:rtl w:val="0"/>
        </w:rPr>
        <w:t xml:space="preserve"> ).</w:t>
      </w:r>
    </w:p>
    <w:p>
      <w:pPr>
        <w:spacing w:before="240" w:after="240"/>
        <w:rPr>
          <w:b/>
          <w:sz w:val="24"/>
          <w:szCs w:val="24"/>
        </w:rPr>
      </w:pPr>
    </w:p>
    <w:p>
      <w:pPr>
        <w:spacing w:before="240" w:after="240"/>
        <w:rPr>
          <w:b/>
          <w:sz w:val="24"/>
          <w:szCs w:val="24"/>
        </w:rPr>
      </w:pPr>
      <w:r>
        <w:rPr>
          <w:b/>
          <w:sz w:val="24"/>
          <w:szCs w:val="24"/>
          <w:rtl w:val="0"/>
        </w:rPr>
        <w:t xml:space="preserve">2.3.1  3 C’s </w:t>
      </w:r>
      <w:r>
        <w:rPr>
          <w:rFonts w:hint="default"/>
          <w:b/>
          <w:sz w:val="24"/>
          <w:szCs w:val="24"/>
          <w:rtl w:val="0"/>
          <w:lang w:val="en-GB"/>
        </w:rPr>
        <w:t>F</w:t>
      </w:r>
      <w:r>
        <w:rPr>
          <w:b/>
          <w:sz w:val="24"/>
          <w:szCs w:val="24"/>
          <w:rtl w:val="0"/>
        </w:rPr>
        <w:t xml:space="preserve">ramework to </w:t>
      </w:r>
      <w:r>
        <w:rPr>
          <w:rFonts w:hint="default"/>
          <w:b/>
          <w:sz w:val="24"/>
          <w:szCs w:val="24"/>
          <w:rtl w:val="0"/>
          <w:lang w:val="en-GB"/>
        </w:rPr>
        <w:t>K</w:t>
      </w:r>
      <w:r>
        <w:rPr>
          <w:b/>
          <w:sz w:val="24"/>
          <w:szCs w:val="24"/>
          <w:rtl w:val="0"/>
        </w:rPr>
        <w:t xml:space="preserve">eep the </w:t>
      </w:r>
      <w:r>
        <w:rPr>
          <w:rFonts w:hint="default"/>
          <w:b/>
          <w:sz w:val="24"/>
          <w:szCs w:val="24"/>
          <w:rtl w:val="0"/>
          <w:lang w:val="en-GB"/>
        </w:rPr>
        <w:t>W</w:t>
      </w:r>
      <w:r>
        <w:rPr>
          <w:b/>
          <w:sz w:val="24"/>
          <w:szCs w:val="24"/>
          <w:rtl w:val="0"/>
        </w:rPr>
        <w:t xml:space="preserve">orkforce </w:t>
      </w:r>
      <w:r>
        <w:rPr>
          <w:rFonts w:hint="default"/>
          <w:b/>
          <w:sz w:val="24"/>
          <w:szCs w:val="24"/>
          <w:rtl w:val="0"/>
          <w:lang w:val="en-GB"/>
        </w:rPr>
        <w:t>E</w:t>
      </w:r>
      <w:r>
        <w:rPr>
          <w:b/>
          <w:sz w:val="24"/>
          <w:szCs w:val="24"/>
          <w:rtl w:val="0"/>
        </w:rPr>
        <w:t xml:space="preserve">ngaged and </w:t>
      </w:r>
      <w:r>
        <w:rPr>
          <w:rFonts w:hint="default"/>
          <w:b/>
          <w:sz w:val="24"/>
          <w:szCs w:val="24"/>
          <w:rtl w:val="0"/>
          <w:lang w:val="en-GB"/>
        </w:rPr>
        <w:t>H</w:t>
      </w:r>
      <w:r>
        <w:rPr>
          <w:b/>
          <w:sz w:val="24"/>
          <w:szCs w:val="24"/>
          <w:rtl w:val="0"/>
        </w:rPr>
        <w:t xml:space="preserve">appy </w:t>
      </w:r>
    </w:p>
    <w:p>
      <w:pPr>
        <w:spacing w:before="240" w:after="240"/>
      </w:pPr>
      <w:r>
        <w:rPr>
          <w:b/>
          <w:rtl w:val="0"/>
        </w:rPr>
        <w:t xml:space="preserve">1. Career - </w:t>
      </w:r>
      <w:r>
        <w:rPr>
          <w:rtl w:val="0"/>
        </w:rPr>
        <w:t>According to Sripada (2011) we place a lot of value on our careers. Having a fulfilling career that we like may give our lives a purpose and offer an income. The amount of money we earn determines our level of life, and work frequently enhances our sense of identity and self-worth. Workplace issues can negatively impact our physical, emotional, and mental well-being. Job unhappiness, workplace accidents, stress, bullying and discrimination, violence, accidental deaths, and retirement are common problems. Distress and difficulty can also result from a loss of employment, layoffs, or an unanticipated decrease in income (Department of Health &amp; Human Services, 2010).</w:t>
      </w:r>
    </w:p>
    <w:p>
      <w:pPr>
        <w:spacing w:before="240" w:after="240"/>
      </w:pPr>
      <w:r>
        <w:rPr>
          <w:b/>
          <w:rtl w:val="0"/>
        </w:rPr>
        <w:t xml:space="preserve">2. Competence - </w:t>
      </w:r>
      <w:r>
        <w:rPr>
          <w:rtl w:val="0"/>
        </w:rPr>
        <w:t>In terms of everyday requirements, autonomy is linked with positive mood and vitality, competence is connected with all four well-being measures, and relatedness is correlated significantly with positive attitude and energy (Reid et al., 2000).</w:t>
      </w:r>
    </w:p>
    <w:p>
      <w:pPr>
        <w:spacing w:before="240" w:after="240"/>
      </w:pPr>
      <w:r>
        <w:rPr>
          <w:b/>
          <w:rtl w:val="0"/>
        </w:rPr>
        <w:t xml:space="preserve">3. Care - </w:t>
      </w:r>
      <w:r>
        <w:rPr>
          <w:rtl w:val="0"/>
        </w:rPr>
        <w:t xml:space="preserve">To be compassionate, managers must display sensitivity, understanding, and genuine interest. The little things that managers do on a daily basis show that they care. HR must ensure that managers are aware of their workers' emotions, feel comfortable discussing personal issues with them, are aware of their workload, and are taking steps to reduce their stress (Joshi &amp; Jhala, 2022). </w:t>
      </w:r>
    </w:p>
    <w:p>
      <w:pPr>
        <w:spacing w:before="240" w:after="240"/>
      </w:pPr>
    </w:p>
    <w:p>
      <w:pPr>
        <w:spacing w:before="240" w:after="240"/>
        <w:rPr>
          <w:b/>
          <w:sz w:val="24"/>
          <w:szCs w:val="24"/>
        </w:rPr>
      </w:pPr>
      <w:r>
        <w:rPr>
          <w:b/>
          <w:sz w:val="24"/>
          <w:szCs w:val="24"/>
          <w:rtl w:val="0"/>
        </w:rPr>
        <w:t xml:space="preserve">2.3.2 How </w:t>
      </w:r>
      <w:r>
        <w:rPr>
          <w:rFonts w:hint="default"/>
          <w:b/>
          <w:sz w:val="24"/>
          <w:szCs w:val="24"/>
          <w:rtl w:val="0"/>
          <w:lang w:val="en-GB"/>
        </w:rPr>
        <w:t>C</w:t>
      </w:r>
      <w:r>
        <w:rPr>
          <w:b/>
          <w:sz w:val="24"/>
          <w:szCs w:val="24"/>
          <w:rtl w:val="0"/>
        </w:rPr>
        <w:t xml:space="preserve">an a </w:t>
      </w:r>
      <w:r>
        <w:rPr>
          <w:rFonts w:hint="default"/>
          <w:b/>
          <w:sz w:val="24"/>
          <w:szCs w:val="24"/>
          <w:rtl w:val="0"/>
          <w:lang w:val="en-GB"/>
        </w:rPr>
        <w:t>C</w:t>
      </w:r>
      <w:r>
        <w:rPr>
          <w:b/>
          <w:sz w:val="24"/>
          <w:szCs w:val="24"/>
          <w:rtl w:val="0"/>
        </w:rPr>
        <w:t xml:space="preserve">ulture be </w:t>
      </w:r>
      <w:r>
        <w:rPr>
          <w:rFonts w:hint="default"/>
          <w:b/>
          <w:sz w:val="24"/>
          <w:szCs w:val="24"/>
          <w:rtl w:val="0"/>
          <w:lang w:val="en-GB"/>
        </w:rPr>
        <w:t>E</w:t>
      </w:r>
      <w:r>
        <w:rPr>
          <w:b/>
          <w:sz w:val="24"/>
          <w:szCs w:val="24"/>
          <w:rtl w:val="0"/>
        </w:rPr>
        <w:t xml:space="preserve">stablished </w:t>
      </w:r>
      <w:r>
        <w:rPr>
          <w:rFonts w:hint="default"/>
          <w:b/>
          <w:sz w:val="24"/>
          <w:szCs w:val="24"/>
          <w:rtl w:val="0"/>
          <w:lang w:val="en-GB"/>
        </w:rPr>
        <w:t>T</w:t>
      </w:r>
      <w:r>
        <w:rPr>
          <w:b/>
          <w:sz w:val="24"/>
          <w:szCs w:val="24"/>
          <w:rtl w:val="0"/>
        </w:rPr>
        <w:t xml:space="preserve">hat </w:t>
      </w:r>
      <w:r>
        <w:rPr>
          <w:rFonts w:hint="default"/>
          <w:b/>
          <w:sz w:val="24"/>
          <w:szCs w:val="24"/>
          <w:rtl w:val="0"/>
          <w:lang w:val="en-GB"/>
        </w:rPr>
        <w:t>P</w:t>
      </w:r>
      <w:r>
        <w:rPr>
          <w:b/>
          <w:sz w:val="24"/>
          <w:szCs w:val="24"/>
          <w:rtl w:val="0"/>
        </w:rPr>
        <w:t xml:space="preserve">uts </w:t>
      </w:r>
      <w:r>
        <w:rPr>
          <w:rFonts w:hint="default"/>
          <w:b/>
          <w:sz w:val="24"/>
          <w:szCs w:val="24"/>
          <w:rtl w:val="0"/>
          <w:lang w:val="en-GB"/>
        </w:rPr>
        <w:t>E</w:t>
      </w:r>
      <w:r>
        <w:rPr>
          <w:b/>
          <w:sz w:val="24"/>
          <w:szCs w:val="24"/>
          <w:rtl w:val="0"/>
        </w:rPr>
        <w:t xml:space="preserve">mployee </w:t>
      </w:r>
      <w:r>
        <w:rPr>
          <w:rFonts w:hint="default"/>
          <w:b/>
          <w:sz w:val="24"/>
          <w:szCs w:val="24"/>
          <w:rtl w:val="0"/>
          <w:lang w:val="en-GB"/>
        </w:rPr>
        <w:t>H</w:t>
      </w:r>
      <w:r>
        <w:rPr>
          <w:b/>
          <w:sz w:val="24"/>
          <w:szCs w:val="24"/>
          <w:rtl w:val="0"/>
        </w:rPr>
        <w:t xml:space="preserve">ealth and </w:t>
      </w:r>
      <w:r>
        <w:rPr>
          <w:rFonts w:hint="default"/>
          <w:b/>
          <w:sz w:val="24"/>
          <w:szCs w:val="24"/>
          <w:rtl w:val="0"/>
          <w:lang w:val="en-GB"/>
        </w:rPr>
        <w:t>W</w:t>
      </w:r>
      <w:r>
        <w:rPr>
          <w:b/>
          <w:sz w:val="24"/>
          <w:szCs w:val="24"/>
          <w:rtl w:val="0"/>
        </w:rPr>
        <w:t xml:space="preserve">ell-being </w:t>
      </w:r>
      <w:r>
        <w:rPr>
          <w:rFonts w:hint="default"/>
          <w:b/>
          <w:sz w:val="24"/>
          <w:szCs w:val="24"/>
          <w:rtl w:val="0"/>
          <w:lang w:val="en-GB"/>
        </w:rPr>
        <w:t>F</w:t>
      </w:r>
      <w:r>
        <w:rPr>
          <w:b/>
          <w:sz w:val="24"/>
          <w:szCs w:val="24"/>
          <w:rtl w:val="0"/>
        </w:rPr>
        <w:t>irst?</w:t>
      </w:r>
    </w:p>
    <w:p>
      <w:pPr>
        <w:spacing w:before="240" w:after="240"/>
      </w:pPr>
      <w:r>
        <w:rPr>
          <w:rtl w:val="0"/>
        </w:rPr>
        <w:t xml:space="preserve">Goodall (2019) argues that employee welfare depends on a positive work environment. To be fully effective, whatever wellness plan you implement must be in line with the organisational culture. Can you make the workplace seem nicer and provide better working conditions? For example, you may lower outside noise, regulate the temperature better, or add more natural light. </w:t>
      </w:r>
      <w:r>
        <w:rPr>
          <w:rFonts w:hint="default"/>
          <w:rtl w:val="0"/>
          <w:lang w:val="en-GB"/>
        </w:rPr>
        <w:t>P</w:t>
      </w:r>
      <w:r>
        <w:rPr>
          <w:rtl w:val="0"/>
        </w:rPr>
        <w:t xml:space="preserve">romote awareness of both physical and emotional health, </w:t>
      </w:r>
      <w:r>
        <w:rPr>
          <w:rFonts w:hint="default"/>
          <w:rtl w:val="0"/>
          <w:lang w:val="en-GB"/>
        </w:rPr>
        <w:t>e</w:t>
      </w:r>
      <w:r>
        <w:rPr>
          <w:rtl w:val="0"/>
        </w:rPr>
        <w:t>ncourage open dialogue, set a good example</w:t>
      </w:r>
      <w:r>
        <w:rPr>
          <w:rFonts w:hint="default"/>
          <w:rtl w:val="0"/>
          <w:lang w:val="en-GB"/>
        </w:rPr>
        <w:t xml:space="preserve"> or</w:t>
      </w:r>
      <w:r>
        <w:rPr>
          <w:rtl w:val="0"/>
        </w:rPr>
        <w:t xml:space="preserve"> </w:t>
      </w:r>
      <w:r>
        <w:rPr>
          <w:rFonts w:hint="default"/>
          <w:rtl w:val="0"/>
          <w:lang w:val="en-GB"/>
        </w:rPr>
        <w:t>s</w:t>
      </w:r>
      <w:r>
        <w:rPr>
          <w:rtl w:val="0"/>
        </w:rPr>
        <w:t>elect a piece of software that enables workers to manage their work lives. There is a reason why poisonous corporate cultures have a terrible reputation. The data unequivocally demonstrate that excessive office time, job stress, and overtime can result in burnout among workers. The physical and emotional health of employees can be seriously impacted by a toxic workplace culture. Employee burnout and mental health stigma cost the UK economy £1.4 billion a year in unaccounted-for sick days. Despite 75% of decision-makers believing that mental illness is a valid reason for absence, 40% of employees say they feel embarrassed asking for time off (BreatheHR, 2019).</w:t>
      </w:r>
    </w:p>
    <w:p>
      <w:pPr>
        <w:spacing w:before="240" w:after="240"/>
      </w:pPr>
    </w:p>
    <w:p>
      <w:pPr>
        <w:spacing w:before="240" w:after="240"/>
        <w:rPr>
          <w:b/>
        </w:rPr>
      </w:pPr>
    </w:p>
    <w:p>
      <w:pPr>
        <w:spacing w:before="240" w:after="240"/>
        <w:rPr>
          <w:b/>
        </w:rPr>
      </w:pPr>
    </w:p>
    <w:p>
      <w:pPr>
        <w:spacing w:before="240" w:after="240"/>
        <w:rPr>
          <w:b/>
          <w:sz w:val="24"/>
          <w:szCs w:val="24"/>
        </w:rPr>
      </w:pPr>
      <w:r>
        <w:rPr>
          <w:b/>
          <w:sz w:val="24"/>
          <w:szCs w:val="24"/>
          <w:rtl w:val="0"/>
        </w:rPr>
        <w:t>Figure 3: Schein's Model of Organisational Culture</w:t>
      </w:r>
    </w:p>
    <w:p>
      <w:pPr>
        <w:spacing w:before="240" w:after="240"/>
      </w:pPr>
    </w:p>
    <w:p>
      <w:pPr>
        <w:spacing w:before="240" w:after="240"/>
      </w:pPr>
      <w:r>
        <w:drawing>
          <wp:inline distT="114300" distB="114300" distL="114300" distR="114300">
            <wp:extent cx="5114925" cy="3400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1"/>
                    <a:srcRect/>
                    <a:stretch>
                      <a:fillRect/>
                    </a:stretch>
                  </pic:blipFill>
                  <pic:spPr>
                    <a:xfrm>
                      <a:off x="0" y="0"/>
                      <a:ext cx="5114925" cy="3400425"/>
                    </a:xfrm>
                    <a:prstGeom prst="rect">
                      <a:avLst/>
                    </a:prstGeom>
                  </pic:spPr>
                </pic:pic>
              </a:graphicData>
            </a:graphic>
          </wp:inline>
        </w:drawing>
      </w:r>
    </w:p>
    <w:p>
      <w:pPr>
        <w:spacing w:before="240" w:after="240"/>
        <w:rPr>
          <w:sz w:val="18"/>
          <w:szCs w:val="18"/>
        </w:rPr>
      </w:pPr>
      <w:r>
        <w:rPr>
          <w:sz w:val="18"/>
          <w:szCs w:val="18"/>
          <w:rtl w:val="0"/>
        </w:rPr>
        <w:t>( Image source: https://www.semanticscholar.org/paper/Organizational-culture%2C-innovation%2C-and-A-test-of-Hogan-Coote/e65c34b4d064895f54cf7d5f98d386e893e64e27).</w:t>
      </w:r>
    </w:p>
    <w:p>
      <w:pPr>
        <w:spacing w:before="240" w:after="240"/>
      </w:pPr>
    </w:p>
    <w:p>
      <w:pPr>
        <w:spacing w:before="240" w:after="240"/>
        <w:rPr>
          <w:b/>
          <w:sz w:val="24"/>
          <w:szCs w:val="24"/>
        </w:rPr>
      </w:pPr>
      <w:r>
        <w:rPr>
          <w:b/>
          <w:sz w:val="24"/>
          <w:szCs w:val="24"/>
          <w:rtl w:val="0"/>
        </w:rPr>
        <w:t xml:space="preserve">2.3.3 Application of Schein’s </w:t>
      </w:r>
      <w:r>
        <w:rPr>
          <w:rFonts w:hint="default"/>
          <w:b/>
          <w:sz w:val="24"/>
          <w:szCs w:val="24"/>
          <w:rtl w:val="0"/>
          <w:lang w:val="en-GB"/>
        </w:rPr>
        <w:t>F</w:t>
      </w:r>
      <w:r>
        <w:rPr>
          <w:b/>
          <w:sz w:val="24"/>
          <w:szCs w:val="24"/>
          <w:rtl w:val="0"/>
        </w:rPr>
        <w:t xml:space="preserve">ramework to an </w:t>
      </w:r>
      <w:r>
        <w:rPr>
          <w:rFonts w:hint="default"/>
          <w:b/>
          <w:sz w:val="24"/>
          <w:szCs w:val="24"/>
          <w:rtl w:val="0"/>
          <w:lang w:val="en-GB"/>
        </w:rPr>
        <w:t>O</w:t>
      </w:r>
      <w:r>
        <w:rPr>
          <w:b/>
          <w:sz w:val="24"/>
          <w:szCs w:val="24"/>
          <w:rtl w:val="0"/>
        </w:rPr>
        <w:t>rganisation</w:t>
      </w:r>
    </w:p>
    <w:p>
      <w:pPr>
        <w:spacing w:before="240" w:after="240"/>
      </w:pPr>
      <w:r>
        <w:rPr>
          <w:rtl w:val="0"/>
        </w:rPr>
        <w:t xml:space="preserve">According to Schein (2010), there are three ways to examine a group's culture: through its artifacts, through its proclaimed beliefs and values, and through underlying assumptions. According to Whittington et al. (2019) another model by Johnson and Scholes, artifacts may also represent stories about the organisation. There have been many tales written about Wetherspoon, but there are always two sides to every story, and not all of the claims made were factual. Very frequently, the press has had to issue an apology and retract the claims and comments (JD Wetherspoon, 2021). </w:t>
      </w:r>
    </w:p>
    <w:p>
      <w:pPr>
        <w:spacing w:before="240" w:after="240"/>
      </w:pPr>
      <w:r>
        <w:rPr>
          <w:rtl w:val="0"/>
        </w:rPr>
        <w:t>The values of the individuals strongly influence the organisational culture. The mindset and behaviour of employees greatly influence the culture of any given firm. The JD Wetherspoon company was viewed positively by 53% of participants in a study performed in June 2022 and unfavourably by 18%, according to Lock (2022). The level of inclusivity in an organisation is also determined by the ritualistic practices of the firm as for Wetherspoon their approach to DEI.</w:t>
      </w:r>
    </w:p>
    <w:p>
      <w:pPr>
        <w:spacing w:before="240" w:after="240"/>
      </w:pPr>
      <w:r>
        <w:rPr>
          <w:rtl w:val="0"/>
        </w:rPr>
        <w:t>Rituals and routines show how Wetherspoon addresses inequality and discrimination, the behaviours the company supports and discourages, and the ritualistic practices of the company. The primary driving force behind JD Wetherspoon is its founder and chairman, Tim Martin. According to Simpson (2021) he goes about things his way and is the most misunderstood corporate executive in Britain, yet he usually comes out on top.</w:t>
      </w:r>
    </w:p>
    <w:p>
      <w:pPr>
        <w:spacing w:before="240" w:after="240"/>
      </w:pPr>
      <w:r>
        <w:rPr>
          <w:rtl w:val="0"/>
        </w:rPr>
        <w:t xml:space="preserve">Taking care of employees' well-being should start on their first day on the job. Employees are more likely to quit if they don't feel fully integrated into the corporate culture. Marchant (2022) explains that new employees will immediately develop a feeling of what they are working toward, how they fit in, and what their personal contribution achieves if the induction includes training and information on the company's values and mission. Matkó </w:t>
      </w:r>
      <w:r>
        <w:rPr>
          <w:rFonts w:hint="default"/>
          <w:rtl w:val="0"/>
          <w:lang w:val="en-GB"/>
        </w:rPr>
        <w:t>and</w:t>
      </w:r>
      <w:r>
        <w:rPr>
          <w:rtl w:val="0"/>
        </w:rPr>
        <w:t xml:space="preserve"> Takács (2017) suggest that an engaged workforce generally tends to be more productive and dedicated to the company, which benefits overall profitability.  </w:t>
      </w:r>
    </w:p>
    <w:p>
      <w:pPr>
        <w:spacing w:before="240" w:after="240"/>
        <w:rPr>
          <w:b/>
        </w:rPr>
      </w:pPr>
    </w:p>
    <w:p>
      <w:pPr>
        <w:spacing w:before="240" w:after="240"/>
        <w:rPr>
          <w:b/>
        </w:rPr>
      </w:pPr>
    </w:p>
    <w:p>
      <w:pPr>
        <w:spacing w:before="240" w:after="240"/>
        <w:rPr>
          <w:b/>
          <w:sz w:val="24"/>
          <w:szCs w:val="24"/>
          <w:u w:val="single"/>
        </w:rPr>
      </w:pPr>
      <w:r>
        <w:rPr>
          <w:b/>
          <w:sz w:val="24"/>
          <w:szCs w:val="24"/>
          <w:u w:val="single"/>
          <w:rtl w:val="0"/>
        </w:rPr>
        <w:t>3.0 Conclusion</w:t>
      </w:r>
    </w:p>
    <w:p>
      <w:pPr>
        <w:spacing w:before="240" w:after="240"/>
        <w:rPr>
          <w:b/>
        </w:rPr>
      </w:pPr>
      <w:r>
        <w:rPr>
          <w:rtl w:val="0"/>
        </w:rPr>
        <w:t xml:space="preserve">It is obvious that human resource management is not only intended to manage the company's employees, but also to meet the needs of all major stakeholders. Employees, on the other hand, are the most valuable asset, and thus the company's rituals and procedures will reflect on people's behaviours and attitudes. By applying the Harvard model and the Johnson and Scholes model to Wetherspoon, research demonstrates how HRM should look, highlighting two major areas for improvement. Looking back at the time of the Covid 19 pandemic, it is safe to say that Wetherspoon demonstrated a lack of support and failed to accommodate their employees' needs throughout and after the pandemic. The time has come for businesses to step up and demonstrate empathy and understanding that employee health and </w:t>
      </w:r>
      <w:r>
        <w:rPr>
          <w:rtl w:val="0"/>
          <w:lang w:val="en-GB"/>
        </w:rPr>
        <w:t>well-being</w:t>
      </w:r>
      <w:r>
        <w:rPr>
          <w:rtl w:val="0"/>
        </w:rPr>
        <w:t xml:space="preserve"> should be prioritised and that a healthy organisational culture boosts employee performance. Discrimination has no place in this world, and any unfairness must be addressed. It occurs to me that despite all policies and government legislation, we are still dealing with this issue. My final question is, "Will there ever be an HR model that teaches employers humanity and makes them realise that not looking after their employees' needs is damaging the company's name and reputation and de-motivates the workforce?" Imagine living in a world where we don't have to work unsociable hours, where we can maintain a good work-life balance, and where there is no discrimination or mistreatment. My recommendation to Tim Martin would be to prioritise the requirements of his key stakeholders over those of the company's shareholders, implement improved HRM practices to increase employees' health and well-being, and prioritise people before profits.</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4.0 References</w:t>
      </w:r>
    </w:p>
    <w:p>
      <w:pPr>
        <w:spacing w:before="240" w:after="240"/>
      </w:pPr>
    </w:p>
    <w:p>
      <w:pPr>
        <w:spacing w:before="240" w:after="240"/>
      </w:pPr>
      <w:r>
        <w:rPr>
          <w:rtl w:val="0"/>
        </w:rPr>
        <w:t xml:space="preserve">Acas (no date) </w:t>
      </w:r>
      <w:r>
        <w:rPr>
          <w:i/>
          <w:rtl w:val="0"/>
        </w:rPr>
        <w:t>Supporting mental health at work</w:t>
      </w:r>
      <w:r>
        <w:rPr>
          <w:rtl w:val="0"/>
        </w:rPr>
        <w:t xml:space="preserve">. </w:t>
      </w:r>
      <w:r>
        <w:rPr>
          <w:i/>
          <w:rtl w:val="0"/>
        </w:rPr>
        <w:t>Acas</w:t>
      </w:r>
      <w:r>
        <w:rPr>
          <w:rtl w:val="0"/>
        </w:rPr>
        <w:t xml:space="preserve">. Available at: </w:t>
      </w:r>
      <w:r>
        <w:fldChar w:fldCharType="begin"/>
      </w:r>
      <w:r>
        <w:instrText xml:space="preserve"> HYPERLINK "https://www.acas.org.uk/supporting-mental-health-workplace" \h </w:instrText>
      </w:r>
      <w:r>
        <w:fldChar w:fldCharType="separate"/>
      </w:r>
      <w:r>
        <w:rPr>
          <w:u w:val="single"/>
          <w:rtl w:val="0"/>
        </w:rPr>
        <w:t>https://www.acas.org.uk/supporting-mental-health-workplace</w:t>
      </w:r>
      <w:r>
        <w:rPr>
          <w:u w:val="single"/>
          <w:rtl w:val="0"/>
        </w:rPr>
        <w:fldChar w:fldCharType="end"/>
      </w:r>
      <w:r>
        <w:rPr>
          <w:rtl w:val="0"/>
        </w:rPr>
        <w:t xml:space="preserve">. (Accessed: November 20, 2022).  </w:t>
      </w:r>
    </w:p>
    <w:p>
      <w:pPr>
        <w:spacing w:before="240" w:after="240"/>
      </w:pPr>
      <w:r>
        <w:rPr>
          <w:rtl w:val="0"/>
        </w:rPr>
        <w:t xml:space="preserve">Armstrong, M. and Taylor, S. (2020) </w:t>
      </w:r>
      <w:r>
        <w:rPr>
          <w:i/>
          <w:rtl w:val="0"/>
        </w:rPr>
        <w:t>Armstrong’s handbook of human resource management practice</w:t>
      </w:r>
      <w:r>
        <w:rPr>
          <w:rtl w:val="0"/>
        </w:rPr>
        <w:t>. 15th ed. London, United Kingdom; New York, NY: Kogan Page.</w:t>
      </w:r>
    </w:p>
    <w:p>
      <w:pPr>
        <w:spacing w:before="240" w:after="240"/>
      </w:pPr>
      <w:r>
        <w:rPr>
          <w:rtl w:val="0"/>
        </w:rPr>
        <w:t xml:space="preserve">Assets Publishing Service (2021) </w:t>
      </w:r>
      <w:r>
        <w:rPr>
          <w:i/>
          <w:rtl w:val="0"/>
        </w:rPr>
        <w:t xml:space="preserve">Employment Tribunals. </w:t>
      </w:r>
      <w:r>
        <w:rPr>
          <w:rtl w:val="0"/>
        </w:rPr>
        <w:t xml:space="preserve">Available at: </w:t>
      </w:r>
      <w:r>
        <w:fldChar w:fldCharType="begin"/>
      </w:r>
      <w:r>
        <w:instrText xml:space="preserve"> HYPERLINK "https://assets.publishing.service.gov.uk/media/6059bc7fe90e0724c9d5d0d8/Mr_A_Rush_v_JD_Wetherspoon_Plc_-_3303984-20_FMH_RESERVED_JUDGMENT_and_REASONS.pdf" \h </w:instrText>
      </w:r>
      <w:r>
        <w:fldChar w:fldCharType="separate"/>
      </w:r>
      <w:r>
        <w:rPr>
          <w:rtl w:val="0"/>
        </w:rPr>
        <w:t>https://assets.publishing.service.gov.uk/media/6059bc7fe90e0724c9d5d0d8/Mr_A_Rush_v_JD_Wetherspoon_Plc_-_3303984-20_FMH_RESERVED_JUDGMENT_and_REASONS.pdf</w:t>
      </w:r>
      <w:r>
        <w:rPr>
          <w:rtl w:val="0"/>
        </w:rPr>
        <w:fldChar w:fldCharType="end"/>
      </w:r>
      <w:r>
        <w:rPr>
          <w:rtl w:val="0"/>
        </w:rPr>
        <w:t>.  (Accessed: November 18th, 2022).</w:t>
      </w:r>
    </w:p>
    <w:p>
      <w:pPr>
        <w:spacing w:before="240" w:after="240"/>
      </w:pPr>
      <w:r>
        <w:rPr>
          <w:rtl w:val="0"/>
        </w:rPr>
        <w:t xml:space="preserve">Barrie, J. (2020) </w:t>
      </w:r>
      <w:r>
        <w:rPr>
          <w:i/>
          <w:rtl w:val="0"/>
        </w:rPr>
        <w:t>Tim Martin says Wetherspoon's not paying real living wage 'sensible'</w:t>
      </w:r>
      <w:r>
        <w:rPr>
          <w:rtl w:val="0"/>
        </w:rPr>
        <w:t xml:space="preserve">, </w:t>
      </w:r>
      <w:r>
        <w:rPr>
          <w:i/>
          <w:rtl w:val="0"/>
        </w:rPr>
        <w:t>inews.co.uk</w:t>
      </w:r>
      <w:r>
        <w:rPr>
          <w:rtl w:val="0"/>
        </w:rPr>
        <w:t xml:space="preserve">. Available at: </w:t>
      </w:r>
      <w:r>
        <w:fldChar w:fldCharType="begin"/>
      </w:r>
      <w:r>
        <w:instrText xml:space="preserve"> HYPERLINK "https://inews.co.uk/news/consumer/tim-martin-wetherspoons-owen-jones-wages-living-wage-interview-257494" \h </w:instrText>
      </w:r>
      <w:r>
        <w:fldChar w:fldCharType="separate"/>
      </w:r>
      <w:r>
        <w:rPr>
          <w:color w:val="1155CC"/>
          <w:u w:val="single"/>
          <w:rtl w:val="0"/>
        </w:rPr>
        <w:t>https://inews.co.uk/news/consumer/tim-martin-wetherspoons-owen-jones-wages-living-wage-interview-257494</w:t>
      </w:r>
      <w:r>
        <w:rPr>
          <w:color w:val="1155CC"/>
          <w:u w:val="single"/>
          <w:rtl w:val="0"/>
        </w:rPr>
        <w:fldChar w:fldCharType="end"/>
      </w:r>
      <w:r>
        <w:rPr>
          <w:rtl w:val="0"/>
        </w:rPr>
        <w:t xml:space="preserve">.  (Accessed: November 29, 2022). </w:t>
      </w:r>
    </w:p>
    <w:p>
      <w:pPr>
        <w:spacing w:before="240" w:after="240"/>
      </w:pPr>
      <w:r>
        <w:rPr>
          <w:rtl w:val="0"/>
        </w:rPr>
        <w:t xml:space="preserve">Blumenfeld, L. </w:t>
      </w:r>
      <w:r>
        <w:rPr>
          <w:i/>
          <w:rtl w:val="0"/>
        </w:rPr>
        <w:t>et al.</w:t>
      </w:r>
      <w:r>
        <w:rPr>
          <w:rtl w:val="0"/>
        </w:rPr>
        <w:t xml:space="preserve"> (2022) </w:t>
      </w:r>
      <w:r>
        <w:rPr>
          <w:i/>
          <w:rtl w:val="0"/>
        </w:rPr>
        <w:t>Reimagining HR: Insights from people leaders</w:t>
      </w:r>
      <w:r>
        <w:rPr>
          <w:rtl w:val="0"/>
        </w:rPr>
        <w:t xml:space="preserve">, </w:t>
      </w:r>
      <w:r>
        <w:rPr>
          <w:i/>
          <w:rtl w:val="0"/>
        </w:rPr>
        <w:t>McKinsey &amp; Company</w:t>
      </w:r>
      <w:r>
        <w:rPr>
          <w:rtl w:val="0"/>
        </w:rPr>
        <w:t xml:space="preserve">. McKinsey &amp; Company. Available at: </w:t>
      </w:r>
      <w:r>
        <w:fldChar w:fldCharType="begin"/>
      </w:r>
      <w:r>
        <w:instrText xml:space="preserve"> HYPERLINK "https://www.mckinsey.com/capabilities/people-and-organizational-performance/our-insights/reimagining-hr-insights-from-people-leaders" \h </w:instrText>
      </w:r>
      <w:r>
        <w:fldChar w:fldCharType="separate"/>
      </w:r>
      <w:r>
        <w:rPr>
          <w:u w:val="single"/>
          <w:rtl w:val="0"/>
        </w:rPr>
        <w:t>https://www.mckinsey.com/capabilities/people-and-organizational-performance/our-insights/reimagining-hr-insights-from-people-leaders</w:t>
      </w:r>
      <w:r>
        <w:rPr>
          <w:u w:val="single"/>
          <w:rtl w:val="0"/>
        </w:rPr>
        <w:fldChar w:fldCharType="end"/>
      </w:r>
      <w:r>
        <w:rPr>
          <w:u w:val="single"/>
          <w:rtl w:val="0"/>
        </w:rPr>
        <w:t xml:space="preserve">. </w:t>
      </w:r>
      <w:r>
        <w:rPr>
          <w:rtl w:val="0"/>
        </w:rPr>
        <w:t xml:space="preserve">(Accessed: November 20, 2022). </w:t>
      </w:r>
    </w:p>
    <w:p>
      <w:pPr>
        <w:spacing w:before="240" w:after="240"/>
      </w:pPr>
      <w:r>
        <w:rPr>
          <w:rtl w:val="0"/>
        </w:rPr>
        <w:t xml:space="preserve">Bratton, J. </w:t>
      </w:r>
      <w:r>
        <w:rPr>
          <w:i/>
          <w:rtl w:val="0"/>
        </w:rPr>
        <w:t>et al.</w:t>
      </w:r>
      <w:r>
        <w:rPr>
          <w:rtl w:val="0"/>
        </w:rPr>
        <w:t xml:space="preserve"> (2022) </w:t>
      </w:r>
      <w:r>
        <w:rPr>
          <w:i/>
          <w:rtl w:val="0"/>
        </w:rPr>
        <w:t>Human Resource Management: A critical approach</w:t>
      </w:r>
      <w:r>
        <w:rPr>
          <w:rtl w:val="0"/>
        </w:rPr>
        <w:t xml:space="preserve">. London: Bloomsbury Academic. </w:t>
      </w:r>
    </w:p>
    <w:p>
      <w:pPr>
        <w:spacing w:before="240" w:after="240"/>
      </w:pPr>
      <w:r>
        <w:rPr>
          <w:rtl w:val="0"/>
        </w:rPr>
        <w:t xml:space="preserve">BreatheHR (2019) </w:t>
      </w:r>
      <w:r>
        <w:rPr>
          <w:i/>
          <w:rtl w:val="0"/>
        </w:rPr>
        <w:t>Breathe sick report 2019</w:t>
      </w:r>
      <w:r>
        <w:rPr>
          <w:rtl w:val="0"/>
        </w:rPr>
        <w:t xml:space="preserve">. Available at: </w:t>
      </w:r>
      <w:r>
        <w:fldChar w:fldCharType="begin"/>
      </w:r>
      <w:r>
        <w:instrText xml:space="preserve"> HYPERLINK "https://www.breathehr.com/en-gb/sick-report-2019" \h </w:instrText>
      </w:r>
      <w:r>
        <w:fldChar w:fldCharType="separate"/>
      </w:r>
      <w:r>
        <w:rPr>
          <w:color w:val="1155CC"/>
          <w:u w:val="single"/>
          <w:rtl w:val="0"/>
        </w:rPr>
        <w:t>https://www.breathehr.com/en-gb/sick-report-2019</w:t>
      </w:r>
      <w:r>
        <w:rPr>
          <w:color w:val="1155CC"/>
          <w:u w:val="single"/>
          <w:rtl w:val="0"/>
        </w:rPr>
        <w:fldChar w:fldCharType="end"/>
      </w:r>
      <w:r>
        <w:rPr>
          <w:rtl w:val="0"/>
        </w:rPr>
        <w:t xml:space="preserve">.  (Accessed: November 29, 2022). </w:t>
      </w:r>
    </w:p>
    <w:p>
      <w:pPr>
        <w:spacing w:before="240" w:after="240"/>
      </w:pPr>
      <w:r>
        <w:rPr>
          <w:rtl w:val="0"/>
        </w:rPr>
        <w:t xml:space="preserve">Cacioppo, S. (2022) </w:t>
      </w:r>
      <w:r>
        <w:rPr>
          <w:i/>
          <w:rtl w:val="0"/>
        </w:rPr>
        <w:t>Antiharassment, antisexual harassment and antibullying policy (UK)</w:t>
      </w:r>
      <w:r>
        <w:rPr>
          <w:rtl w:val="0"/>
        </w:rPr>
        <w:t xml:space="preserve">. JD Wetherspoon. Available at: </w:t>
      </w:r>
      <w:r>
        <w:fldChar w:fldCharType="begin"/>
      </w:r>
      <w:r>
        <w:instrText xml:space="preserve"> HYPERLINK "https://www.jdwetherspoon.com/~/media/files/pdf-documents/events-2022/antiharassment-antisexual-and-antibullying-policy-uk-website.pdf?la=en" \h </w:instrText>
      </w:r>
      <w:r>
        <w:fldChar w:fldCharType="separate"/>
      </w:r>
      <w:r>
        <w:rPr>
          <w:rtl w:val="0"/>
        </w:rPr>
        <w:t>https://www.jdwetherspoon.com/~/media/files/pdf-documents/events-2022/antiharassment-antisexual-and-antibullying-policy-uk-website.pdf?la=en</w:t>
      </w:r>
      <w:r>
        <w:rPr>
          <w:rtl w:val="0"/>
        </w:rPr>
        <w:fldChar w:fldCharType="end"/>
      </w:r>
      <w:r>
        <w:rPr>
          <w:rtl w:val="0"/>
        </w:rPr>
        <w:t>. (Accessed: November 18th, 2022).</w:t>
      </w:r>
    </w:p>
    <w:p>
      <w:pPr>
        <w:spacing w:before="240" w:after="240"/>
      </w:pPr>
      <w:r>
        <w:fldChar w:fldCharType="begin"/>
      </w:r>
      <w:r>
        <w:instrText xml:space="preserve"> HYPERLINK "https://www.emerald.com/insight/search?q=Figen%20Cakar" \h </w:instrText>
      </w:r>
      <w:r>
        <w:fldChar w:fldCharType="separate"/>
      </w:r>
      <w:r>
        <w:rPr>
          <w:rtl w:val="0"/>
        </w:rPr>
        <w:t>Cakar, F.</w:t>
      </w:r>
      <w:r>
        <w:rPr>
          <w:rtl w:val="0"/>
        </w:rPr>
        <w:fldChar w:fldCharType="end"/>
      </w:r>
      <w:r>
        <w:rPr>
          <w:rtl w:val="0"/>
        </w:rPr>
        <w:t xml:space="preserve">, </w:t>
      </w:r>
      <w:r>
        <w:fldChar w:fldCharType="begin"/>
      </w:r>
      <w:r>
        <w:instrText xml:space="preserve"> HYPERLINK "https://www.emerald.com/insight/search?q=Umit%20S.%20Bititci" \h </w:instrText>
      </w:r>
      <w:r>
        <w:fldChar w:fldCharType="separate"/>
      </w:r>
      <w:r>
        <w:rPr>
          <w:rtl w:val="0"/>
        </w:rPr>
        <w:t>Bititci, U.S.</w:t>
      </w:r>
      <w:r>
        <w:rPr>
          <w:rtl w:val="0"/>
        </w:rPr>
        <w:fldChar w:fldCharType="end"/>
      </w:r>
      <w:r>
        <w:rPr>
          <w:rtl w:val="0"/>
        </w:rPr>
        <w:t xml:space="preserve"> and </w:t>
      </w:r>
      <w:r>
        <w:fldChar w:fldCharType="begin"/>
      </w:r>
      <w:r>
        <w:instrText xml:space="preserve"> HYPERLINK "https://www.emerald.com/insight/search?q=Jillian%20MacBryde" \h </w:instrText>
      </w:r>
      <w:r>
        <w:fldChar w:fldCharType="separate"/>
      </w:r>
      <w:r>
        <w:rPr>
          <w:rtl w:val="0"/>
        </w:rPr>
        <w:t>MacBryde, J.</w:t>
      </w:r>
      <w:r>
        <w:rPr>
          <w:rtl w:val="0"/>
        </w:rPr>
        <w:fldChar w:fldCharType="end"/>
      </w:r>
      <w:r>
        <w:rPr>
          <w:rtl w:val="0"/>
        </w:rPr>
        <w:t xml:space="preserve"> (2003) A business process approach to human resource management.  </w:t>
      </w:r>
      <w:r>
        <w:fldChar w:fldCharType="begin"/>
      </w:r>
      <w:r>
        <w:instrText xml:space="preserve"> HYPERLINK "https://www.emerald.com/insight/publication/issn/1463-7154" \h </w:instrText>
      </w:r>
      <w:r>
        <w:fldChar w:fldCharType="separate"/>
      </w:r>
      <w:r>
        <w:rPr>
          <w:i/>
          <w:rtl w:val="0"/>
        </w:rPr>
        <w:t>Business Process Management Journal</w:t>
      </w:r>
      <w:r>
        <w:rPr>
          <w:i/>
          <w:rtl w:val="0"/>
        </w:rPr>
        <w:fldChar w:fldCharType="end"/>
      </w:r>
      <w:r>
        <w:rPr>
          <w:rtl w:val="0"/>
        </w:rPr>
        <w:t xml:space="preserve">, Vol. 9 No. 2, pp. 190-207. </w:t>
      </w:r>
      <w:r>
        <w:fldChar w:fldCharType="begin"/>
      </w:r>
      <w:r>
        <w:instrText xml:space="preserve"> HYPERLINK "https://doi.org/10.1108/14637150310468" \h </w:instrText>
      </w:r>
      <w:r>
        <w:fldChar w:fldCharType="separate"/>
      </w:r>
      <w:r>
        <w:rPr>
          <w:rtl w:val="0"/>
        </w:rPr>
        <w:t>https://doi.org/10.1108/14637150310468</w:t>
      </w:r>
      <w:r>
        <w:rPr>
          <w:rtl w:val="0"/>
        </w:rPr>
        <w:fldChar w:fldCharType="end"/>
      </w:r>
    </w:p>
    <w:p>
      <w:pPr>
        <w:spacing w:line="360" w:lineRule="auto"/>
      </w:pPr>
      <w:r>
        <w:rPr>
          <w:rtl w:val="0"/>
        </w:rPr>
        <w:t xml:space="preserve">CIPD (2022) </w:t>
      </w:r>
      <w:r>
        <w:rPr>
          <w:i/>
          <w:rtl w:val="0"/>
        </w:rPr>
        <w:t>Well-being at work | Factsheets | CIPD</w:t>
      </w:r>
      <w:r>
        <w:rPr>
          <w:rtl w:val="0"/>
        </w:rPr>
        <w:t xml:space="preserve">.  Available at: </w:t>
      </w:r>
      <w:r>
        <w:fldChar w:fldCharType="begin"/>
      </w:r>
      <w:r>
        <w:instrText xml:space="preserve"> HYPERLINK "https://www.cipd.co.uk/knowledge/culture/well-being/factsheet" \h </w:instrText>
      </w:r>
      <w:r>
        <w:fldChar w:fldCharType="separate"/>
      </w:r>
      <w:r>
        <w:rPr>
          <w:rtl w:val="0"/>
        </w:rPr>
        <w:t>https://www.cipd.co.uk/knowledge/culture/well-being/factsheet</w:t>
      </w:r>
      <w:r>
        <w:rPr>
          <w:rtl w:val="0"/>
        </w:rPr>
        <w:fldChar w:fldCharType="end"/>
      </w:r>
      <w:r>
        <w:rPr>
          <w:rtl w:val="0"/>
        </w:rPr>
        <w:t>. (Accessed: November 20th, 2022).</w:t>
      </w:r>
    </w:p>
    <w:p>
      <w:pPr>
        <w:spacing w:line="360" w:lineRule="auto"/>
        <w:rPr>
          <w:rtl w:val="0"/>
        </w:rPr>
      </w:pPr>
      <w:r>
        <w:rPr>
          <w:rtl w:val="0"/>
        </w:rPr>
        <w:t xml:space="preserve">Department of Health &amp; Human Services (2010) </w:t>
      </w:r>
      <w:r>
        <w:rPr>
          <w:i/>
          <w:rtl w:val="0"/>
        </w:rPr>
        <w:t>Work and your health</w:t>
      </w:r>
      <w:r>
        <w:rPr>
          <w:rtl w:val="0"/>
        </w:rPr>
        <w:t xml:space="preserve">, </w:t>
      </w:r>
      <w:r>
        <w:rPr>
          <w:i/>
          <w:rtl w:val="0"/>
        </w:rPr>
        <w:t>Better Health Channel</w:t>
      </w:r>
      <w:r>
        <w:rPr>
          <w:rtl w:val="0"/>
        </w:rPr>
        <w:t>. Availableat:</w:t>
      </w:r>
      <w:r>
        <w:fldChar w:fldCharType="begin"/>
      </w:r>
      <w:r>
        <w:instrText xml:space="preserve"> HYPERLINK "https://www.betterhealth.vic.gov.au/health/healthyliving/work-and-your-health" \h </w:instrText>
      </w:r>
      <w:r>
        <w:fldChar w:fldCharType="separate"/>
      </w:r>
      <w:r>
        <w:rPr>
          <w:color w:val="1155CC"/>
          <w:u w:val="single"/>
          <w:rtl w:val="0"/>
        </w:rPr>
        <w:t>https://www.betterhealth.vic.gov.au/health/healthyliving/work-and-your-health</w:t>
      </w:r>
      <w:r>
        <w:rPr>
          <w:color w:val="1155CC"/>
          <w:u w:val="single"/>
          <w:rtl w:val="0"/>
        </w:rPr>
        <w:fldChar w:fldCharType="end"/>
      </w:r>
      <w:r>
        <w:rPr>
          <w:rtl w:val="0"/>
        </w:rPr>
        <w:t xml:space="preserve">.  (Accessed: November 29, 2022). </w:t>
      </w:r>
    </w:p>
    <w:p>
      <w:pPr>
        <w:spacing w:line="360" w:lineRule="auto"/>
        <w:rPr>
          <w:rtl w:val="0"/>
        </w:rPr>
      </w:pPr>
    </w:p>
    <w:p>
      <w:pPr>
        <w:spacing w:line="360" w:lineRule="auto"/>
      </w:pPr>
      <w:r>
        <w:rPr>
          <w:rtl w:val="0"/>
        </w:rPr>
        <w:t xml:space="preserve">Goodall, O. (2019) </w:t>
      </w:r>
      <w:r>
        <w:rPr>
          <w:i/>
          <w:rtl w:val="0"/>
        </w:rPr>
        <w:t>How company culture affects employee health and wellbeing</w:t>
      </w:r>
      <w:r>
        <w:rPr>
          <w:rtl w:val="0"/>
        </w:rPr>
        <w:t>,</w:t>
      </w:r>
      <w:bookmarkStart w:id="0" w:name="_GoBack"/>
      <w:bookmarkEnd w:id="0"/>
      <w:r>
        <w:rPr>
          <w:rtl w:val="0"/>
        </w:rPr>
        <w:t xml:space="preserve"> </w:t>
      </w:r>
      <w:r>
        <w:rPr>
          <w:i/>
          <w:rtl w:val="0"/>
        </w:rPr>
        <w:t>Real Business</w:t>
      </w:r>
      <w:r>
        <w:rPr>
          <w:rtl w:val="0"/>
        </w:rPr>
        <w:t xml:space="preserve">. Available at: </w:t>
      </w:r>
      <w:r>
        <w:fldChar w:fldCharType="begin"/>
      </w:r>
      <w:r>
        <w:instrText xml:space="preserve"> HYPERLINK "https://realbusiness.co.uk/company-culture-employee-health-and-wellbeing#:~:text=A%20healthy%20workplace%20culture%20is,company%27s%20on%20the%20right%20track" \h </w:instrText>
      </w:r>
      <w:r>
        <w:fldChar w:fldCharType="separate"/>
      </w:r>
      <w:r>
        <w:rPr>
          <w:color w:val="1155CC"/>
          <w:u w:val="single"/>
          <w:rtl w:val="0"/>
        </w:rPr>
        <w:t>https://realbusiness.co.uk/company-culture-employee-health-and-wellbeing#:~:text=A%20healthy%20workplace%20culture%20is,company%27s%20on%20the%20right%20track</w:t>
      </w:r>
      <w:r>
        <w:rPr>
          <w:color w:val="1155CC"/>
          <w:u w:val="single"/>
          <w:rtl w:val="0"/>
        </w:rPr>
        <w:fldChar w:fldCharType="end"/>
      </w:r>
      <w:r>
        <w:rPr>
          <w:rtl w:val="0"/>
        </w:rPr>
        <w:t xml:space="preserve">. (Accessed: November 29, 2022). </w:t>
      </w:r>
    </w:p>
    <w:p>
      <w:pPr>
        <w:spacing w:before="240" w:after="240" w:line="360" w:lineRule="auto"/>
      </w:pPr>
      <w:r>
        <w:rPr>
          <w:rtl w:val="0"/>
        </w:rPr>
        <w:t xml:space="preserve">Hawkins, E. (2019) </w:t>
      </w:r>
      <w:r>
        <w:rPr>
          <w:i/>
          <w:rtl w:val="0"/>
        </w:rPr>
        <w:t>JD Wetherspoon 'not addressing mental health issues'</w:t>
      </w:r>
      <w:r>
        <w:rPr>
          <w:rtl w:val="0"/>
        </w:rPr>
        <w:t xml:space="preserve">, </w:t>
      </w:r>
      <w:r>
        <w:rPr>
          <w:i/>
          <w:rtl w:val="0"/>
        </w:rPr>
        <w:t>morningadvertiser.co.uk</w:t>
      </w:r>
      <w:r>
        <w:rPr>
          <w:rtl w:val="0"/>
        </w:rPr>
        <w:t xml:space="preserve">. William Reed Ltd. Available at: </w:t>
      </w:r>
      <w:r>
        <w:fldChar w:fldCharType="begin"/>
      </w:r>
      <w:r>
        <w:instrText xml:space="preserve"> HYPERLINK "https://www.morningadvertiser.co.uk/Article/2019/04/09/JD-Wetherspoon-not-addressing-mental-health-issues" \h </w:instrText>
      </w:r>
      <w:r>
        <w:fldChar w:fldCharType="separate"/>
      </w:r>
      <w:r>
        <w:rPr>
          <w:color w:val="1155CC"/>
          <w:u w:val="single"/>
          <w:rtl w:val="0"/>
        </w:rPr>
        <w:t>https://www.morningadvertiser.co.uk/Article/2019/04/09/JD-Wetherspoon-not-addressing-mental-health-issues</w:t>
      </w:r>
      <w:r>
        <w:rPr>
          <w:color w:val="1155CC"/>
          <w:u w:val="single"/>
          <w:rtl w:val="0"/>
        </w:rPr>
        <w:fldChar w:fldCharType="end"/>
      </w:r>
      <w:r>
        <w:rPr>
          <w:rtl w:val="0"/>
        </w:rPr>
        <w:t xml:space="preserve">. (Accessed: November 29, 2022). </w:t>
      </w:r>
    </w:p>
    <w:p>
      <w:pPr>
        <w:spacing w:before="240" w:after="240" w:line="360" w:lineRule="auto"/>
      </w:pPr>
      <w:r>
        <w:rPr>
          <w:rtl w:val="0"/>
        </w:rPr>
        <w:t xml:space="preserve">Hogan, S.J., &amp; Coote, L.V. (2014). Organizational culture, innovation, and performance: A test of Schein's model. </w:t>
      </w:r>
      <w:r>
        <w:rPr>
          <w:i/>
          <w:rtl w:val="0"/>
        </w:rPr>
        <w:t>Journal of Business Research, 67</w:t>
      </w:r>
      <w:r>
        <w:rPr>
          <w:rtl w:val="0"/>
        </w:rPr>
        <w:t>, 1609-1621.</w:t>
      </w:r>
    </w:p>
    <w:p>
      <w:pPr>
        <w:spacing w:before="240" w:after="240"/>
      </w:pPr>
      <w:r>
        <w:rPr>
          <w:rtl w:val="0"/>
        </w:rPr>
        <w:t xml:space="preserve">‌HRM Guide (2022) </w:t>
      </w:r>
      <w:r>
        <w:rPr>
          <w:i/>
          <w:rtl w:val="0"/>
        </w:rPr>
        <w:t>How Small Businesses Can Improve Their Human Resources Department</w:t>
      </w:r>
      <w:r>
        <w:rPr>
          <w:rtl w:val="0"/>
        </w:rPr>
        <w:t xml:space="preserve">, </w:t>
      </w:r>
      <w:r>
        <w:rPr>
          <w:i/>
          <w:rtl w:val="0"/>
        </w:rPr>
        <w:t>HRM Guide</w:t>
      </w:r>
      <w:r>
        <w:rPr>
          <w:rtl w:val="0"/>
        </w:rPr>
        <w:t xml:space="preserve">. Available at: </w:t>
      </w:r>
      <w:r>
        <w:fldChar w:fldCharType="begin"/>
      </w:r>
      <w:r>
        <w:instrText xml:space="preserve"> HYPERLINK "https://www.hrmguide.co.uk/sme/improve-hr-department.htm" \h </w:instrText>
      </w:r>
      <w:r>
        <w:fldChar w:fldCharType="separate"/>
      </w:r>
      <w:r>
        <w:rPr>
          <w:u w:val="single"/>
          <w:rtl w:val="0"/>
        </w:rPr>
        <w:t>https://www.hrmguide.co.uk/sme/improve-hr-department.ht</w:t>
      </w:r>
      <w:r>
        <w:rPr>
          <w:u w:val="single"/>
          <w:rtl w:val="0"/>
        </w:rPr>
        <w:fldChar w:fldCharType="end"/>
      </w:r>
      <w:r>
        <w:rPr>
          <w:rtl w:val="0"/>
        </w:rPr>
        <w:t xml:space="preserve">m.   (Accessed: November 18, 2022). </w:t>
      </w:r>
    </w:p>
    <w:p>
      <w:pPr>
        <w:spacing w:line="360" w:lineRule="auto"/>
      </w:pPr>
      <w:r>
        <w:rPr>
          <w:rtl w:val="0"/>
        </w:rPr>
        <w:t xml:space="preserve">Indeed (2022) </w:t>
      </w:r>
      <w:r>
        <w:rPr>
          <w:i/>
          <w:rtl w:val="0"/>
        </w:rPr>
        <w:t>J D Wetherspoon PLC Employee Reviews</w:t>
      </w:r>
      <w:r>
        <w:rPr>
          <w:rtl w:val="0"/>
        </w:rPr>
        <w:t xml:space="preserve">. [online] Indeed. Available at: </w:t>
      </w:r>
      <w:r>
        <w:fldChar w:fldCharType="begin"/>
      </w:r>
      <w:r>
        <w:instrText xml:space="preserve"> HYPERLINK "https://uk.indeed.com/cmp/J-D-Wetherspoon-PLC/reviews?fcountry=GB" \h </w:instrText>
      </w:r>
      <w:r>
        <w:fldChar w:fldCharType="separate"/>
      </w:r>
      <w:r>
        <w:rPr>
          <w:u w:val="single"/>
          <w:rtl w:val="0"/>
        </w:rPr>
        <w:t>https://uk.indeed.com/cmp/J-D-Wetherspoon-PLC/reviews?fcountry=GB</w:t>
      </w:r>
      <w:r>
        <w:rPr>
          <w:u w:val="single"/>
          <w:rtl w:val="0"/>
        </w:rPr>
        <w:fldChar w:fldCharType="end"/>
      </w:r>
      <w:r>
        <w:rPr>
          <w:rtl w:val="0"/>
        </w:rPr>
        <w:t>. (Accessed 20 Nov. 2022).</w:t>
      </w:r>
    </w:p>
    <w:p>
      <w:pPr>
        <w:spacing w:before="240" w:after="240"/>
      </w:pPr>
      <w:r>
        <w:rPr>
          <w:rtl w:val="0"/>
        </w:rPr>
        <w:t xml:space="preserve">Jnaneswar, K. and Rajendrababu, G., (2022) Effect of Workforce Diversity and Organisational Commitment on Employees' Job Performance. </w:t>
      </w:r>
      <w:r>
        <w:rPr>
          <w:i/>
          <w:rtl w:val="0"/>
        </w:rPr>
        <w:t xml:space="preserve">Journal of Strategic Human Resource Management, </w:t>
      </w:r>
      <w:r>
        <w:rPr>
          <w:rtl w:val="0"/>
        </w:rPr>
        <w:t>11(1), pp. 1-10.</w:t>
      </w:r>
    </w:p>
    <w:p>
      <w:pPr>
        <w:spacing w:before="240" w:after="240"/>
      </w:pPr>
      <w:r>
        <w:fldChar w:fldCharType="begin"/>
      </w:r>
      <w:r>
        <w:instrText xml:space="preserve"> HYPERLINK "https://www.emerald.com/insight/search?q=Peter%20Jones" \h </w:instrText>
      </w:r>
      <w:r>
        <w:fldChar w:fldCharType="separate"/>
      </w:r>
      <w:r>
        <w:rPr>
          <w:rtl w:val="0"/>
        </w:rPr>
        <w:t>Jones, P.</w:t>
      </w:r>
      <w:r>
        <w:rPr>
          <w:rtl w:val="0"/>
        </w:rPr>
        <w:fldChar w:fldCharType="end"/>
      </w:r>
      <w:r>
        <w:rPr>
          <w:rtl w:val="0"/>
        </w:rPr>
        <w:t xml:space="preserve">, </w:t>
      </w:r>
      <w:r>
        <w:fldChar w:fldCharType="begin"/>
      </w:r>
      <w:r>
        <w:instrText xml:space="preserve"> HYPERLINK "https://www.emerald.com/insight/search?q=Peter%20Shears" \h </w:instrText>
      </w:r>
      <w:r>
        <w:fldChar w:fldCharType="separate"/>
      </w:r>
      <w:r>
        <w:rPr>
          <w:rtl w:val="0"/>
        </w:rPr>
        <w:t>Shears, P.</w:t>
      </w:r>
      <w:r>
        <w:rPr>
          <w:rtl w:val="0"/>
        </w:rPr>
        <w:fldChar w:fldCharType="end"/>
      </w:r>
      <w:r>
        <w:rPr>
          <w:rtl w:val="0"/>
        </w:rPr>
        <w:t xml:space="preserve">, </w:t>
      </w:r>
      <w:r>
        <w:fldChar w:fldCharType="begin"/>
      </w:r>
      <w:r>
        <w:instrText xml:space="preserve"> HYPERLINK "https://www.emerald.com/insight/search?q=David%20Hillier" \h </w:instrText>
      </w:r>
      <w:r>
        <w:fldChar w:fldCharType="separate"/>
      </w:r>
      <w:r>
        <w:rPr>
          <w:rtl w:val="0"/>
        </w:rPr>
        <w:t>Hillier, D.</w:t>
      </w:r>
      <w:r>
        <w:rPr>
          <w:rtl w:val="0"/>
        </w:rPr>
        <w:fldChar w:fldCharType="end"/>
      </w:r>
      <w:r>
        <w:rPr>
          <w:rtl w:val="0"/>
        </w:rPr>
        <w:t xml:space="preserve"> and </w:t>
      </w:r>
      <w:r>
        <w:fldChar w:fldCharType="begin"/>
      </w:r>
      <w:r>
        <w:instrText xml:space="preserve"> HYPERLINK "https://www.emerald.com/insight/search?q=Colin%20Clarke%E2%80%90Hill" \h </w:instrText>
      </w:r>
      <w:r>
        <w:fldChar w:fldCharType="separate"/>
      </w:r>
      <w:r>
        <w:rPr>
          <w:rtl w:val="0"/>
        </w:rPr>
        <w:t>Clarke‐Hill, C.</w:t>
      </w:r>
      <w:r>
        <w:rPr>
          <w:rtl w:val="0"/>
        </w:rPr>
        <w:fldChar w:fldCharType="end"/>
      </w:r>
      <w:r>
        <w:rPr>
          <w:rtl w:val="0"/>
        </w:rPr>
        <w:t xml:space="preserve"> (2002) Customer perceptions of services brands: a case study of J.D. Wetherspoons. </w:t>
      </w:r>
      <w:r>
        <w:fldChar w:fldCharType="begin"/>
      </w:r>
      <w:r>
        <w:instrText xml:space="preserve"> HYPERLINK "https://www.emerald.com/insight/publication/issn/0007-070X" \h </w:instrText>
      </w:r>
      <w:r>
        <w:fldChar w:fldCharType="separate"/>
      </w:r>
      <w:r>
        <w:rPr>
          <w:i/>
          <w:rtl w:val="0"/>
        </w:rPr>
        <w:t>British Food Journal</w:t>
      </w:r>
      <w:r>
        <w:rPr>
          <w:i/>
          <w:rtl w:val="0"/>
        </w:rPr>
        <w:fldChar w:fldCharType="end"/>
      </w:r>
      <w:r>
        <w:rPr>
          <w:rtl w:val="0"/>
        </w:rPr>
        <w:t xml:space="preserve">, Vol. 104 No. 10, pp. 845-854. </w:t>
      </w:r>
      <w:r>
        <w:fldChar w:fldCharType="begin"/>
      </w:r>
      <w:r>
        <w:instrText xml:space="preserve"> HYPERLINK "https://doi.org/10.1108/00070700210448935" \h </w:instrText>
      </w:r>
      <w:r>
        <w:fldChar w:fldCharType="separate"/>
      </w:r>
      <w:r>
        <w:rPr>
          <w:rtl w:val="0"/>
        </w:rPr>
        <w:t>https://doi.org/10.1108/00070700210448935</w:t>
      </w:r>
      <w:r>
        <w:rPr>
          <w:rtl w:val="0"/>
        </w:rPr>
        <w:fldChar w:fldCharType="end"/>
      </w:r>
    </w:p>
    <w:p>
      <w:pPr>
        <w:spacing w:before="240" w:after="240" w:line="360" w:lineRule="auto"/>
      </w:pPr>
      <w:r>
        <w:rPr>
          <w:rtl w:val="0"/>
        </w:rPr>
        <w:t xml:space="preserve">Joshi, R. and Jhala, G. (2022) </w:t>
      </w:r>
      <w:r>
        <w:rPr>
          <w:i/>
          <w:rtl w:val="0"/>
        </w:rPr>
        <w:t>The 3 CS : Key organisational shifts to thrive in the new normal and successfully navigate the power shift to employees</w:t>
      </w:r>
      <w:r>
        <w:rPr>
          <w:rtl w:val="0"/>
        </w:rPr>
        <w:t xml:space="preserve">, </w:t>
      </w:r>
      <w:r>
        <w:rPr>
          <w:i/>
          <w:rtl w:val="0"/>
        </w:rPr>
        <w:t>People Matters</w:t>
      </w:r>
      <w:r>
        <w:rPr>
          <w:rtl w:val="0"/>
        </w:rPr>
        <w:t xml:space="preserve">. Available at: </w:t>
      </w:r>
      <w:r>
        <w:fldChar w:fldCharType="begin"/>
      </w:r>
      <w:r>
        <w:instrText xml:space="preserve"> HYPERLINK "https://www.peoplematters.in/article/strategic-hr/the-3-cs-key-organisational-shifts-to-thrive-in-the-new-normal-and-successfully-navigate-the-power-shift-to-employees-34200" \h </w:instrText>
      </w:r>
      <w:r>
        <w:fldChar w:fldCharType="separate"/>
      </w:r>
      <w:r>
        <w:rPr>
          <w:color w:val="1155CC"/>
          <w:u w:val="single"/>
          <w:rtl w:val="0"/>
        </w:rPr>
        <w:t>https://www.peoplematters.in/article/strategic-hr/the-3-cs-key-organisational-shifts-to-thrive-in-the-new-normal-and-successfully-navigate-the-power-shift-to-employees-34200</w:t>
      </w:r>
      <w:r>
        <w:rPr>
          <w:color w:val="1155CC"/>
          <w:u w:val="single"/>
          <w:rtl w:val="0"/>
        </w:rPr>
        <w:fldChar w:fldCharType="end"/>
      </w:r>
      <w:r>
        <w:rPr>
          <w:rtl w:val="0"/>
        </w:rPr>
        <w:t xml:space="preserve">. (Accessed: November 29, 2022). </w:t>
      </w:r>
    </w:p>
    <w:p>
      <w:pPr>
        <w:spacing w:before="240" w:after="240" w:line="360" w:lineRule="auto"/>
      </w:pPr>
      <w:r>
        <w:rPr>
          <w:rtl w:val="0"/>
        </w:rPr>
        <w:t xml:space="preserve">JD Wetherspoon (2019) </w:t>
      </w:r>
      <w:r>
        <w:rPr>
          <w:i/>
          <w:rtl w:val="0"/>
        </w:rPr>
        <w:t>People - J D Wetherspoon</w:t>
      </w:r>
      <w:r>
        <w:rPr>
          <w:rtl w:val="0"/>
        </w:rPr>
        <w:t xml:space="preserve">. [online] Available at: </w:t>
      </w:r>
      <w:r>
        <w:fldChar w:fldCharType="begin"/>
      </w:r>
      <w:r>
        <w:instrText xml:space="preserve"> HYPERLINK "https://www.jdwetherspoon.com/investors-home/bsr/people" \h </w:instrText>
      </w:r>
      <w:r>
        <w:fldChar w:fldCharType="separate"/>
      </w:r>
      <w:r>
        <w:rPr>
          <w:u w:val="single"/>
          <w:rtl w:val="0"/>
        </w:rPr>
        <w:t>https://www.jdwetherspoon.com/investors-home/bsr/people</w:t>
      </w:r>
      <w:r>
        <w:rPr>
          <w:u w:val="single"/>
          <w:rtl w:val="0"/>
        </w:rPr>
        <w:fldChar w:fldCharType="end"/>
      </w:r>
      <w:r>
        <w:rPr>
          <w:rtl w:val="0"/>
        </w:rPr>
        <w:t>. (Accessed: November 19th, 2022).</w:t>
      </w:r>
    </w:p>
    <w:p>
      <w:pPr>
        <w:spacing w:before="240" w:after="240" w:line="360" w:lineRule="auto"/>
      </w:pPr>
      <w:r>
        <w:rPr>
          <w:rtl w:val="0"/>
        </w:rPr>
        <w:t xml:space="preserve">JD Wetherspoon (2021) </w:t>
      </w:r>
      <w:r>
        <w:rPr>
          <w:i/>
          <w:rtl w:val="0"/>
        </w:rPr>
        <w:t>Does Truth Matter - J D Wetherspoon</w:t>
      </w:r>
      <w:r>
        <w:rPr>
          <w:rtl w:val="0"/>
        </w:rPr>
        <w:t xml:space="preserve">. Available at: </w:t>
      </w:r>
      <w:r>
        <w:fldChar w:fldCharType="begin"/>
      </w:r>
      <w:r>
        <w:instrText xml:space="preserve"> HYPERLINK "https://www.jdwetherspoon.com/news/2021/08/does-truth-matter?page=4&amp;y=0&amp;c&amp;i=10" \h </w:instrText>
      </w:r>
      <w:r>
        <w:fldChar w:fldCharType="separate"/>
      </w:r>
      <w:r>
        <w:rPr>
          <w:u w:val="single"/>
          <w:rtl w:val="0"/>
        </w:rPr>
        <w:t>https://www.jdwetherspoon.com/news/2021/08/does-truth-matter?page=4&amp;y=0&amp;c&amp;i=10</w:t>
      </w:r>
      <w:r>
        <w:rPr>
          <w:u w:val="single"/>
          <w:rtl w:val="0"/>
        </w:rPr>
        <w:fldChar w:fldCharType="end"/>
      </w:r>
      <w:r>
        <w:rPr>
          <w:rtl w:val="0"/>
        </w:rPr>
        <w:t>.  (Accessed: November 21, 2022).</w:t>
      </w:r>
    </w:p>
    <w:p>
      <w:pPr>
        <w:spacing w:before="240" w:after="240" w:line="360" w:lineRule="auto"/>
      </w:pPr>
      <w:r>
        <w:rPr>
          <w:rtl w:val="0"/>
        </w:rPr>
        <w:t xml:space="preserve">Kudła, B.M., (2021) </w:t>
      </w:r>
      <w:r>
        <w:rPr>
          <w:i/>
          <w:rtl w:val="0"/>
        </w:rPr>
        <w:t>Human resource management in contemporary enterprises.</w:t>
      </w:r>
      <w:r>
        <w:rPr>
          <w:rtl w:val="0"/>
        </w:rPr>
        <w:t xml:space="preserve"> </w:t>
      </w:r>
      <w:r>
        <w:rPr>
          <w:i/>
          <w:rtl w:val="0"/>
        </w:rPr>
        <w:t>VUZF Review</w:t>
      </w:r>
      <w:r>
        <w:rPr>
          <w:rtl w:val="0"/>
        </w:rPr>
        <w:t xml:space="preserve">, </w:t>
      </w:r>
      <w:r>
        <w:rPr>
          <w:i/>
          <w:rtl w:val="0"/>
        </w:rPr>
        <w:t>6</w:t>
      </w:r>
      <w:r>
        <w:rPr>
          <w:rtl w:val="0"/>
        </w:rPr>
        <w:t>(3), p.59.</w:t>
      </w:r>
    </w:p>
    <w:p>
      <w:pPr>
        <w:spacing w:before="240" w:after="240"/>
      </w:pPr>
      <w:r>
        <w:rPr>
          <w:rtl w:val="0"/>
        </w:rPr>
        <w:t xml:space="preserve">Lock, S. (2022) </w:t>
      </w:r>
      <w:r>
        <w:rPr>
          <w:i/>
          <w:rtl w:val="0"/>
        </w:rPr>
        <w:t>Public opinion on J D Wetherspoon 2022</w:t>
      </w:r>
      <w:r>
        <w:rPr>
          <w:rtl w:val="0"/>
        </w:rPr>
        <w:t xml:space="preserve">, </w:t>
      </w:r>
      <w:r>
        <w:rPr>
          <w:i/>
          <w:rtl w:val="0"/>
        </w:rPr>
        <w:t>Statista</w:t>
      </w:r>
      <w:r>
        <w:rPr>
          <w:rtl w:val="0"/>
        </w:rPr>
        <w:t xml:space="preserve">. Available at: </w:t>
      </w:r>
      <w:r>
        <w:fldChar w:fldCharType="begin"/>
      </w:r>
      <w:r>
        <w:instrText xml:space="preserve"> HYPERLINK "https://www.statista.com/statistics/973720/j-d-wetherspoon-public-opinion/" \h </w:instrText>
      </w:r>
      <w:r>
        <w:fldChar w:fldCharType="separate"/>
      </w:r>
      <w:r>
        <w:rPr>
          <w:u w:val="single"/>
          <w:rtl w:val="0"/>
        </w:rPr>
        <w:t>https://www.statista.com/statistics/973720/j-d-wetherspoon-public-opinion</w:t>
      </w:r>
      <w:r>
        <w:rPr>
          <w:u w:val="single"/>
          <w:rtl w:val="0"/>
        </w:rPr>
        <w:fldChar w:fldCharType="end"/>
      </w:r>
      <w:r>
        <w:rPr>
          <w:rtl w:val="0"/>
        </w:rPr>
        <w:t xml:space="preserve">. (Accessed: November 21, 2022). </w:t>
      </w:r>
    </w:p>
    <w:p>
      <w:pPr>
        <w:spacing w:before="240" w:after="240"/>
      </w:pPr>
      <w:r>
        <w:rPr>
          <w:rtl w:val="0"/>
        </w:rPr>
        <w:t xml:space="preserve">Marchant, K. (2022) </w:t>
      </w:r>
      <w:r>
        <w:rPr>
          <w:i/>
          <w:rtl w:val="0"/>
        </w:rPr>
        <w:t>How an employee induction plan can save business money</w:t>
      </w:r>
      <w:r>
        <w:rPr>
          <w:rtl w:val="0"/>
        </w:rPr>
        <w:t xml:space="preserve">. Available at: </w:t>
      </w:r>
      <w:r>
        <w:fldChar w:fldCharType="begin"/>
      </w:r>
      <w:r>
        <w:instrText xml:space="preserve"> HYPERLINK "https://www.myhrtoolkit.com/blog/how-employee-induction-plan-can-save-business-money#:~:text=A%20great%20induction%20makes%20an,and%20all%20the%20associated%20costs" \h </w:instrText>
      </w:r>
      <w:r>
        <w:fldChar w:fldCharType="separate"/>
      </w:r>
      <w:r>
        <w:rPr>
          <w:u w:val="single"/>
          <w:rtl w:val="0"/>
        </w:rPr>
        <w:t>https://www.myhrtoolkit.com/blog/how-employee-induction-plan-can-save-business-money#:~:text=A%20great%20induction%20makes%20an,and%20all%20the%20associated%20costs</w:t>
      </w:r>
      <w:r>
        <w:rPr>
          <w:u w:val="single"/>
          <w:rtl w:val="0"/>
        </w:rPr>
        <w:fldChar w:fldCharType="end"/>
      </w:r>
      <w:r>
        <w:rPr>
          <w:rtl w:val="0"/>
        </w:rPr>
        <w:t xml:space="preserve">.  (Accessed: November 20, 2022). </w:t>
      </w:r>
    </w:p>
    <w:p>
      <w:pPr>
        <w:spacing w:before="240" w:after="240"/>
      </w:pPr>
      <w:r>
        <w:rPr>
          <w:rtl w:val="0"/>
        </w:rPr>
        <w:t xml:space="preserve">Matkó, A. and Takács, T. (2017) Examination of the relationship between organizational culture and performance. </w:t>
      </w:r>
      <w:r>
        <w:rPr>
          <w:i/>
          <w:rtl w:val="0"/>
        </w:rPr>
        <w:t>International Review of Applied Sciences and Engineering</w:t>
      </w:r>
      <w:r>
        <w:rPr>
          <w:rtl w:val="0"/>
        </w:rPr>
        <w:t xml:space="preserve">, 8(1), pp. 99–105. Available at: https://doi.org/10.1556/1848.2017.8.1.14. </w:t>
      </w:r>
    </w:p>
    <w:p>
      <w:pPr>
        <w:spacing w:before="240" w:after="240"/>
      </w:pPr>
      <w:r>
        <w:rPr>
          <w:rtl w:val="0"/>
        </w:rPr>
        <w:t xml:space="preserve">McGrath, R. (2018) </w:t>
      </w:r>
      <w:r>
        <w:rPr>
          <w:i/>
          <w:rtl w:val="0"/>
        </w:rPr>
        <w:t>Underpaid and undervalued: Wetherspoon's staff explain why they're striking for the first time in the company's history</w:t>
      </w:r>
      <w:r>
        <w:rPr>
          <w:rtl w:val="0"/>
        </w:rPr>
        <w:t xml:space="preserve">, </w:t>
      </w:r>
      <w:r>
        <w:rPr>
          <w:i/>
          <w:rtl w:val="0"/>
        </w:rPr>
        <w:t>HuffPost UK</w:t>
      </w:r>
      <w:r>
        <w:rPr>
          <w:rtl w:val="0"/>
        </w:rPr>
        <w:t xml:space="preserve">. HuffPost UK. Available at: </w:t>
      </w:r>
      <w:r>
        <w:fldChar w:fldCharType="begin"/>
      </w:r>
      <w:r>
        <w:instrText xml:space="preserve"> HYPERLINK "https://www.huffingtonpost.co.uk/entry/wetherspoons-staff-strike-first-time_uk_5ba287ffe4b0823ea19a93ab" \h </w:instrText>
      </w:r>
      <w:r>
        <w:fldChar w:fldCharType="separate"/>
      </w:r>
      <w:r>
        <w:rPr>
          <w:u w:val="single"/>
          <w:rtl w:val="0"/>
        </w:rPr>
        <w:t>https://www.huffingtonpost.co.uk/entry/wetherspoons-staff-strike-first-time_uk_5ba287ffe4b0823ea19a93ab</w:t>
      </w:r>
      <w:r>
        <w:rPr>
          <w:u w:val="single"/>
          <w:rtl w:val="0"/>
        </w:rPr>
        <w:fldChar w:fldCharType="end"/>
      </w:r>
      <w:r>
        <w:rPr>
          <w:rtl w:val="0"/>
        </w:rPr>
        <w:t xml:space="preserve">. (Accessed: November 19, 2022). </w:t>
      </w:r>
    </w:p>
    <w:p>
      <w:pPr>
        <w:spacing w:before="240" w:after="240"/>
      </w:pPr>
      <w:r>
        <w:rPr>
          <w:rtl w:val="0"/>
        </w:rPr>
        <w:t xml:space="preserve">McLeod, S. (2020) </w:t>
      </w:r>
      <w:r>
        <w:rPr>
          <w:i/>
          <w:rtl w:val="0"/>
        </w:rPr>
        <w:t>Maslow's hierarchy of needs</w:t>
      </w:r>
      <w:r>
        <w:rPr>
          <w:rtl w:val="0"/>
        </w:rPr>
        <w:t xml:space="preserve">, </w:t>
      </w:r>
      <w:r>
        <w:rPr>
          <w:i/>
          <w:rtl w:val="0"/>
        </w:rPr>
        <w:t>Simply Psychology</w:t>
      </w:r>
      <w:r>
        <w:rPr>
          <w:rtl w:val="0"/>
        </w:rPr>
        <w:t xml:space="preserve">. Available at: </w:t>
      </w:r>
      <w:r>
        <w:fldChar w:fldCharType="begin"/>
      </w:r>
      <w:r>
        <w:instrText xml:space="preserve"> HYPERLINK "https://www.simplypsychology.org/maslow.html" \h </w:instrText>
      </w:r>
      <w:r>
        <w:fldChar w:fldCharType="separate"/>
      </w:r>
      <w:r>
        <w:rPr>
          <w:color w:val="1155CC"/>
          <w:u w:val="single"/>
          <w:rtl w:val="0"/>
        </w:rPr>
        <w:t>https://www.simplypsychology.org/maslow.html</w:t>
      </w:r>
      <w:r>
        <w:rPr>
          <w:color w:val="1155CC"/>
          <w:u w:val="single"/>
          <w:rtl w:val="0"/>
        </w:rPr>
        <w:fldChar w:fldCharType="end"/>
      </w:r>
      <w:r>
        <w:rPr>
          <w:rtl w:val="0"/>
        </w:rPr>
        <w:t xml:space="preserve">. (Accessed: November 28, 2022). </w:t>
      </w:r>
    </w:p>
    <w:p>
      <w:pPr>
        <w:spacing w:before="240" w:after="240"/>
      </w:pPr>
      <w:r>
        <w:rPr>
          <w:rtl w:val="0"/>
        </w:rPr>
        <w:t xml:space="preserve">Munbodh, E. (2021) </w:t>
      </w:r>
      <w:r>
        <w:rPr>
          <w:i/>
          <w:rtl w:val="0"/>
        </w:rPr>
        <w:t>Wetherspoons warns pubs won't reopen until April as Covid rates surge across UK</w:t>
      </w:r>
      <w:r>
        <w:rPr>
          <w:rtl w:val="0"/>
        </w:rPr>
        <w:t xml:space="preserve">, </w:t>
      </w:r>
      <w:r>
        <w:rPr>
          <w:i/>
          <w:rtl w:val="0"/>
        </w:rPr>
        <w:t>mirror</w:t>
      </w:r>
      <w:r>
        <w:rPr>
          <w:rtl w:val="0"/>
        </w:rPr>
        <w:t xml:space="preserve">. Available at: </w:t>
      </w:r>
      <w:r>
        <w:fldChar w:fldCharType="begin"/>
      </w:r>
      <w:r>
        <w:instrText xml:space="preserve"> HYPERLINK "https://www.mirror.co.uk/money/weatherspoons-wont-reopen-pubs-until-23359783" \h </w:instrText>
      </w:r>
      <w:r>
        <w:fldChar w:fldCharType="separate"/>
      </w:r>
      <w:r>
        <w:rPr>
          <w:color w:val="1155CC"/>
          <w:u w:val="single"/>
          <w:rtl w:val="0"/>
        </w:rPr>
        <w:t>https://www.mirror.co.uk/money/weatherspoons-wont-reopen-pubs-until-23359783</w:t>
      </w:r>
      <w:r>
        <w:rPr>
          <w:color w:val="1155CC"/>
          <w:u w:val="single"/>
          <w:rtl w:val="0"/>
        </w:rPr>
        <w:fldChar w:fldCharType="end"/>
      </w:r>
      <w:r>
        <w:rPr>
          <w:rtl w:val="0"/>
        </w:rPr>
        <w:t xml:space="preserve">. (Accessed: November 29, 2022). </w:t>
      </w:r>
    </w:p>
    <w:p>
      <w:pPr>
        <w:spacing w:before="240" w:after="240"/>
      </w:pPr>
      <w:r>
        <w:rPr>
          <w:rtl w:val="0"/>
        </w:rPr>
        <w:t xml:space="preserve">Paton, N. (2009) Poor mental health reduces workplace productivity levels, </w:t>
      </w:r>
      <w:r>
        <w:rPr>
          <w:i/>
          <w:rtl w:val="0"/>
        </w:rPr>
        <w:t xml:space="preserve">Occupational Health, </w:t>
      </w:r>
      <w:r>
        <w:rPr>
          <w:rtl w:val="0"/>
        </w:rPr>
        <w:t>vol. 61, no. 12, pp. 4.</w:t>
      </w:r>
    </w:p>
    <w:p>
      <w:pPr>
        <w:spacing w:before="240" w:after="240"/>
      </w:pPr>
      <w:r>
        <w:rPr>
          <w:rtl w:val="0"/>
        </w:rPr>
        <w:t xml:space="preserve">Personio (2022) </w:t>
      </w:r>
      <w:r>
        <w:rPr>
          <w:i/>
          <w:rtl w:val="0"/>
        </w:rPr>
        <w:t>Harvard HRM model: Explanation &amp; usage</w:t>
      </w:r>
      <w:r>
        <w:rPr>
          <w:rtl w:val="0"/>
        </w:rPr>
        <w:t xml:space="preserve">, </w:t>
      </w:r>
      <w:r>
        <w:rPr>
          <w:i/>
          <w:rtl w:val="0"/>
        </w:rPr>
        <w:t>Personio</w:t>
      </w:r>
      <w:r>
        <w:rPr>
          <w:rtl w:val="0"/>
        </w:rPr>
        <w:t xml:space="preserve">. Available at: </w:t>
      </w:r>
      <w:r>
        <w:fldChar w:fldCharType="begin"/>
      </w:r>
      <w:r>
        <w:instrText xml:space="preserve"> HYPERLINK "https://www.personio.com/hr-lexicon/harvard-hrm-model/" \h </w:instrText>
      </w:r>
      <w:r>
        <w:fldChar w:fldCharType="separate"/>
      </w:r>
      <w:r>
        <w:rPr>
          <w:u w:val="single"/>
          <w:rtl w:val="0"/>
        </w:rPr>
        <w:t>https://www.personio.com/hr-lexicon/harvard-hrm-model</w:t>
      </w:r>
      <w:r>
        <w:rPr>
          <w:u w:val="single"/>
          <w:rtl w:val="0"/>
        </w:rPr>
        <w:fldChar w:fldCharType="end"/>
      </w:r>
      <w:r>
        <w:rPr>
          <w:rtl w:val="0"/>
        </w:rPr>
        <w:t>. (Accessed: November 18, 2022).</w:t>
      </w:r>
    </w:p>
    <w:p>
      <w:pPr>
        <w:spacing w:before="240" w:after="240"/>
      </w:pPr>
      <w:r>
        <w:rPr>
          <w:rtl w:val="0"/>
        </w:rPr>
        <w:t xml:space="preserve">Pinterest (2015) </w:t>
      </w:r>
      <w:r>
        <w:rPr>
          <w:i/>
          <w:rtl w:val="0"/>
        </w:rPr>
        <w:t>Startup quotes - "I truly believe that if you take care of your...: Employee quotes, Richard Branson quotes, startup quotes</w:t>
      </w:r>
      <w:r>
        <w:rPr>
          <w:rtl w:val="0"/>
        </w:rPr>
        <w:t xml:space="preserve">.  Available at: </w:t>
      </w:r>
      <w:r>
        <w:fldChar w:fldCharType="begin"/>
      </w:r>
      <w:r>
        <w:instrText xml:space="preserve"> HYPERLINK "https://www.pinterest.co.uk/pin/292593307019628130" \h </w:instrText>
      </w:r>
      <w:r>
        <w:fldChar w:fldCharType="separate"/>
      </w:r>
      <w:r>
        <w:rPr>
          <w:color w:val="1155CC"/>
          <w:u w:val="single"/>
          <w:rtl w:val="0"/>
        </w:rPr>
        <w:t>https://www.pinterest.co.uk/pin/292593307019628130</w:t>
      </w:r>
      <w:r>
        <w:rPr>
          <w:color w:val="1155CC"/>
          <w:u w:val="single"/>
          <w:rtl w:val="0"/>
        </w:rPr>
        <w:fldChar w:fldCharType="end"/>
      </w:r>
      <w:r>
        <w:rPr>
          <w:rtl w:val="0"/>
        </w:rPr>
        <w:t xml:space="preserve">. (Accessed: November 29, 2022). </w:t>
      </w:r>
    </w:p>
    <w:p>
      <w:pPr>
        <w:spacing w:before="240" w:after="240"/>
      </w:pPr>
      <w:r>
        <w:rPr>
          <w:rtl w:val="0"/>
        </w:rPr>
        <w:t>Reis, H. T., Sheldon, K. M., Gable, S. L., Roscoe, J., &amp; Ryan, R. M. (2000) Daily Well-Being: The Role of Autonomy, Competence, and Relatedness. Personality and Social Psychology Bulletin, 26(4), 419–435. https://doi.org/10.1177/0146167200266002</w:t>
      </w:r>
    </w:p>
    <w:p>
      <w:pPr>
        <w:spacing w:before="240" w:after="240"/>
      </w:pPr>
      <w:r>
        <w:rPr>
          <w:rtl w:val="0"/>
        </w:rPr>
        <w:t xml:space="preserve">Russell, J. (2016) </w:t>
      </w:r>
      <w:r>
        <w:rPr>
          <w:i/>
          <w:rtl w:val="0"/>
        </w:rPr>
        <w:t>Wetherspoon named as a top employer</w:t>
      </w:r>
      <w:r>
        <w:rPr>
          <w:rtl w:val="0"/>
        </w:rPr>
        <w:t xml:space="preserve">, </w:t>
      </w:r>
      <w:r>
        <w:rPr>
          <w:i/>
          <w:rtl w:val="0"/>
        </w:rPr>
        <w:t>Hospitality &amp; Catering News</w:t>
      </w:r>
      <w:r>
        <w:rPr>
          <w:rtl w:val="0"/>
        </w:rPr>
        <w:t xml:space="preserve">. Available at: </w:t>
      </w:r>
      <w:r>
        <w:fldChar w:fldCharType="begin"/>
      </w:r>
      <w:r>
        <w:instrText xml:space="preserve"> HYPERLINK "https://www.hospitalityandcateringnews.com/2016/02/wetherspoon-named-top-employer" \h </w:instrText>
      </w:r>
      <w:r>
        <w:fldChar w:fldCharType="separate"/>
      </w:r>
      <w:r>
        <w:rPr>
          <w:color w:val="1155CC"/>
          <w:u w:val="single"/>
          <w:rtl w:val="0"/>
        </w:rPr>
        <w:t>https://www.hospitalityandcateringnews.com/2016/02/wetherspoon-named-top-employer</w:t>
      </w:r>
      <w:r>
        <w:rPr>
          <w:color w:val="1155CC"/>
          <w:u w:val="single"/>
          <w:rtl w:val="0"/>
        </w:rPr>
        <w:fldChar w:fldCharType="end"/>
      </w:r>
      <w:r>
        <w:rPr>
          <w:rtl w:val="0"/>
        </w:rPr>
        <w:t xml:space="preserve">. (Accessed: November 28, 2022). </w:t>
      </w:r>
    </w:p>
    <w:p>
      <w:pPr>
        <w:spacing w:before="240" w:after="240"/>
      </w:pPr>
      <w:r>
        <w:rPr>
          <w:rtl w:val="0"/>
        </w:rPr>
        <w:t xml:space="preserve">Schein, E.H. (2010) </w:t>
      </w:r>
      <w:r>
        <w:rPr>
          <w:i/>
          <w:rtl w:val="0"/>
        </w:rPr>
        <w:t>Organizational culture and leadership</w:t>
      </w:r>
      <w:r>
        <w:rPr>
          <w:rtl w:val="0"/>
        </w:rPr>
        <w:t xml:space="preserve">. Somerset: Wiley. </w:t>
      </w:r>
    </w:p>
    <w:p>
      <w:pPr>
        <w:spacing w:before="240" w:after="240"/>
      </w:pPr>
      <w:r>
        <w:rPr>
          <w:rtl w:val="0"/>
        </w:rPr>
        <w:t xml:space="preserve">Simpson, P. (2021) </w:t>
      </w:r>
      <w:r>
        <w:rPr>
          <w:i/>
          <w:rtl w:val="0"/>
        </w:rPr>
        <w:t>Is this the most misunderstood business leader in Britain?</w:t>
      </w:r>
      <w:r>
        <w:rPr>
          <w:rtl w:val="0"/>
        </w:rPr>
        <w:t xml:space="preserve">, </w:t>
      </w:r>
      <w:r>
        <w:rPr>
          <w:i/>
          <w:rtl w:val="0"/>
        </w:rPr>
        <w:t>Management Today</w:t>
      </w:r>
      <w:r>
        <w:rPr>
          <w:rtl w:val="0"/>
        </w:rPr>
        <w:t xml:space="preserve">. Management Today. Available at: </w:t>
      </w:r>
      <w:r>
        <w:fldChar w:fldCharType="begin"/>
      </w:r>
      <w:r>
        <w:instrText xml:space="preserve"> HYPERLINK "https://www.managementtoday.co.uk/misunderstood-business-leader-britain/down-to-business/article/1724827" \h </w:instrText>
      </w:r>
      <w:r>
        <w:fldChar w:fldCharType="separate"/>
      </w:r>
      <w:r>
        <w:rPr>
          <w:color w:val="1155CC"/>
          <w:u w:val="single"/>
          <w:rtl w:val="0"/>
        </w:rPr>
        <w:t>https://www.managementtoday.co.uk/misunderstood-business-leader-britain/down-to-business/article/1724827</w:t>
      </w:r>
      <w:r>
        <w:rPr>
          <w:color w:val="1155CC"/>
          <w:u w:val="single"/>
          <w:rtl w:val="0"/>
        </w:rPr>
        <w:fldChar w:fldCharType="end"/>
      </w:r>
      <w:r>
        <w:rPr>
          <w:rtl w:val="0"/>
        </w:rPr>
        <w:t xml:space="preserve">. (Accessed: November 21, 2022). </w:t>
      </w:r>
    </w:p>
    <w:p>
      <w:pPr>
        <w:spacing w:before="240" w:after="240"/>
      </w:pPr>
      <w:r>
        <w:rPr>
          <w:rtl w:val="0"/>
        </w:rPr>
        <w:t xml:space="preserve">Sripada, C. (2011) </w:t>
      </w:r>
      <w:r>
        <w:rPr>
          <w:i/>
          <w:rtl w:val="0"/>
        </w:rPr>
        <w:t>3Cs of employee engagement: Career, competence and care</w:t>
      </w:r>
      <w:r>
        <w:rPr>
          <w:rtl w:val="0"/>
        </w:rPr>
        <w:t xml:space="preserve">, </w:t>
      </w:r>
      <w:r>
        <w:rPr>
          <w:i/>
          <w:rtl w:val="0"/>
        </w:rPr>
        <w:t>The Economic Times</w:t>
      </w:r>
      <w:r>
        <w:rPr>
          <w:rtl w:val="0"/>
        </w:rPr>
        <w:t xml:space="preserve">. Available at: </w:t>
      </w:r>
      <w:r>
        <w:fldChar w:fldCharType="begin"/>
      </w:r>
      <w:r>
        <w:instrText xml:space="preserve"> HYPERLINK "https://economictimes.indiatimes.com/jobs/3cs-of-employee-engagement-career-competence-and-care/articleshow/7869859.cms" \h </w:instrText>
      </w:r>
      <w:r>
        <w:fldChar w:fldCharType="separate"/>
      </w:r>
      <w:r>
        <w:rPr>
          <w:u w:val="single"/>
          <w:rtl w:val="0"/>
        </w:rPr>
        <w:t>https://economictimes.indiatimes.com/jobs/3cs-of-employee-engagement-career-competence-and-care/articleshow/7869859.cms</w:t>
      </w:r>
      <w:r>
        <w:rPr>
          <w:u w:val="single"/>
          <w:rtl w:val="0"/>
        </w:rPr>
        <w:fldChar w:fldCharType="end"/>
      </w:r>
      <w:r>
        <w:rPr>
          <w:rtl w:val="0"/>
        </w:rPr>
        <w:t xml:space="preserve">. (Accessed: November 21, 2022). </w:t>
      </w:r>
    </w:p>
    <w:p>
      <w:pPr>
        <w:pBdr>
          <w:top w:val="none" w:color="auto" w:sz="0" w:space="0"/>
          <w:bottom w:val="none" w:color="auto" w:sz="0" w:space="0"/>
          <w:right w:val="none" w:color="auto" w:sz="0" w:space="0"/>
          <w:between w:val="none" w:color="auto" w:sz="0" w:space="0"/>
        </w:pBdr>
        <w:spacing w:line="360" w:lineRule="auto"/>
      </w:pPr>
      <w:r>
        <w:rPr>
          <w:rtl w:val="0"/>
        </w:rPr>
        <w:t xml:space="preserve">The National (2021) </w:t>
      </w:r>
      <w:r>
        <w:rPr>
          <w:i/>
          <w:rtl w:val="0"/>
        </w:rPr>
        <w:t>Stephen Paton: We must remember those who put themselves first during a pandemic</w:t>
      </w:r>
      <w:r>
        <w:rPr>
          <w:rtl w:val="0"/>
        </w:rPr>
        <w:t xml:space="preserve">.  Available at: </w:t>
      </w:r>
      <w:r>
        <w:fldChar w:fldCharType="begin"/>
      </w:r>
      <w:r>
        <w:instrText xml:space="preserve"> HYPERLINK "https://www.thenational.scot/news/18983724.stephen-paton-must-remember-firms-like-wetherspoons-acted-covid/" \h </w:instrText>
      </w:r>
      <w:r>
        <w:fldChar w:fldCharType="separate"/>
      </w:r>
      <w:r>
        <w:rPr>
          <w:rtl w:val="0"/>
        </w:rPr>
        <w:t>https://www.thenational.scot/news/18983724.stephen-paton-must-remember-firms-like-Wetherspoons-acted-covi</w:t>
      </w:r>
      <w:r>
        <w:rPr>
          <w:rtl w:val="0"/>
        </w:rPr>
        <w:fldChar w:fldCharType="end"/>
      </w:r>
      <w:r>
        <w:rPr>
          <w:rtl w:val="0"/>
        </w:rPr>
        <w:t>d. Accessed: November 18th, 2022).</w:t>
      </w:r>
    </w:p>
    <w:p>
      <w:pPr>
        <w:spacing w:before="240" w:after="240"/>
        <w:rPr>
          <w:b/>
        </w:rPr>
      </w:pPr>
      <w:r>
        <w:rPr>
          <w:rtl w:val="0"/>
        </w:rPr>
        <w:t>Whittington, R., Regner</w:t>
      </w:r>
      <w:r>
        <w:rPr>
          <w:i/>
          <w:rtl w:val="0"/>
        </w:rPr>
        <w:t>,</w:t>
      </w:r>
      <w:r>
        <w:rPr>
          <w:rtl w:val="0"/>
        </w:rPr>
        <w:t xml:space="preserve"> P., Angwin, D., Johnson, G., and Scholes, K., (2019) </w:t>
      </w:r>
      <w:r>
        <w:rPr>
          <w:i/>
          <w:rtl w:val="0"/>
        </w:rPr>
        <w:t>Johnson and Scholes: Exploring Strategy</w:t>
      </w:r>
      <w:r>
        <w:rPr>
          <w:rtl w:val="0"/>
        </w:rPr>
        <w:t xml:space="preserve">. 12th edn. PEARSON EDUCATION Limited. </w:t>
      </w:r>
    </w:p>
    <w:p>
      <w:pPr>
        <w:spacing w:before="240" w:after="240"/>
        <w:rPr>
          <w:b/>
        </w:rPr>
      </w:pPr>
    </w:p>
    <w:p>
      <w:pPr>
        <w:spacing w:before="240" w:after="240"/>
        <w:rPr>
          <w:b/>
        </w:rPr>
      </w:pPr>
    </w:p>
    <w:p>
      <w:pPr>
        <w:spacing w:before="240" w:after="240" w:line="288" w:lineRule="auto"/>
        <w:jc w:val="both"/>
      </w:pPr>
    </w:p>
    <w:p/>
    <w:sectPr>
      <w:footerReference r:id="rId6" w:type="first"/>
      <w:footerReference r:id="rId5" w:type="default"/>
      <w:pgSz w:w="12240" w:h="15840"/>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Playfair Dis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F681A75"/>
    <w:rsid w:val="3CA32B67"/>
    <w:rsid w:val="75A1254E"/>
    <w:rsid w:val="7F7C6B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pageBreakBefore w:val="0"/>
      <w:spacing w:before="400" w:after="120"/>
    </w:pPr>
    <w:rPr>
      <w:sz w:val="40"/>
      <w:szCs w:val="40"/>
    </w:rPr>
  </w:style>
  <w:style w:type="paragraph" w:styleId="3">
    <w:name w:val="heading 2"/>
    <w:basedOn w:val="1"/>
    <w:next w:val="1"/>
    <w:qFormat/>
    <w:uiPriority w:val="0"/>
    <w:pPr>
      <w:keepNext/>
      <w:keepLines/>
      <w:pageBreakBefore w:val="0"/>
      <w:spacing w:before="360" w:after="120"/>
    </w:pPr>
    <w:rPr>
      <w:sz w:val="32"/>
      <w:szCs w:val="32"/>
    </w:rPr>
  </w:style>
  <w:style w:type="paragraph" w:styleId="4">
    <w:name w:val="heading 3"/>
    <w:basedOn w:val="1"/>
    <w:next w:val="1"/>
    <w:qFormat/>
    <w:uiPriority w:val="0"/>
    <w:pPr>
      <w:keepNext/>
      <w:keepLines/>
      <w:pageBreakBefore w:val="0"/>
      <w:spacing w:before="320" w:after="80"/>
    </w:pPr>
    <w:rPr>
      <w:color w:val="434343"/>
      <w:sz w:val="28"/>
      <w:szCs w:val="28"/>
    </w:rPr>
  </w:style>
  <w:style w:type="paragraph" w:styleId="5">
    <w:name w:val="heading 4"/>
    <w:basedOn w:val="1"/>
    <w:next w:val="1"/>
    <w:qFormat/>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qFormat/>
    <w:uiPriority w:val="0"/>
    <w:pPr>
      <w:keepNext/>
      <w:keepLines/>
      <w:pageBreakBefore w:val="0"/>
      <w:spacing w:before="240" w:after="80"/>
    </w:pPr>
    <w:rPr>
      <w:i/>
      <w:color w:val="666666"/>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qFormat/>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qFormat/>
    <w:uiPriority w:val="0"/>
    <w:pPr>
      <w:keepNext/>
      <w:keepLines/>
      <w:pageBreakBefore w:val="0"/>
      <w:spacing w:before="0" w:after="60"/>
    </w:pPr>
    <w:rPr>
      <w:sz w:val="52"/>
      <w:szCs w:val="5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otalTime>39</TotalTime>
  <ScaleCrop>false</ScaleCrop>
  <LinksUpToDate>false</LinksUpToDate>
  <Application>WPS Office_11.2.0.11417_F1E327BC-269C-435d-A152-05C5408002CA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2022-11-29T23:45:00Z</dcterms:created>
  <dc:creator>Family PC</dc:creator>
  <cp:lastModifiedBy>Family PC</cp:lastModifiedBy>
  <dcterms:modified xsi:type="dcterms:W3CDTF">2022-11-30T13:42:53Z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065B320ABD70443DA9E424DDD9AAD839</vt:lpwstr>
  </property>
</Properties>
</file>