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kern w:val="2"/>
          <w:sz w:val="24"/>
          <w:szCs w:val="24"/>
          <w:lang w:val="en-GB" w:eastAsia="zh-CN"/>
          <w14:ligatures w14:val="standardContextual"/>
        </w:rPr>
        <w:id w:val="378983099"/>
        <w:docPartObj>
          <w:docPartGallery w:val="Cover Pages"/>
          <w:docPartUnique/>
        </w:docPartObj>
      </w:sdtPr>
      <w:sdtEndPr>
        <w:rPr>
          <w:sz w:val="2"/>
        </w:rPr>
      </w:sdtEndPr>
      <w:sdtContent>
        <w:p w14:paraId="122B154F" w14:textId="0A53BE0F" w:rsidR="002E7950" w:rsidRDefault="002E7950">
          <w:pPr>
            <w:pStyle w:val="NoSpacing"/>
          </w:pPr>
          <w:r>
            <w:rPr>
              <w:noProof/>
            </w:rPr>
            <mc:AlternateContent>
              <mc:Choice Requires="wpg">
                <w:drawing>
                  <wp:anchor distT="0" distB="0" distL="114300" distR="114300" simplePos="0" relativeHeight="251659264" behindDoc="1" locked="0" layoutInCell="1" allowOverlap="1" wp14:anchorId="19DD2D47" wp14:editId="1BE9913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2E2CB2" w14:textId="77777777" w:rsidR="002E7950" w:rsidRPr="002E7950" w:rsidRDefault="002E7950" w:rsidP="002E7950">
                                  <w:pPr>
                                    <w:spacing w:before="240"/>
                                    <w:ind w:left="720"/>
                                    <w:jc w:val="lowKashida"/>
                                    <w:rPr>
                                      <w:color w:val="FFFFFF" w:themeColor="background1"/>
                                      <w:sz w:val="40"/>
                                      <w:szCs w:val="40"/>
                                    </w:rPr>
                                  </w:pPr>
                                  <w:r w:rsidRPr="002E7950">
                                    <w:rPr>
                                      <w:color w:val="FFFFFF" w:themeColor="background1"/>
                                      <w:sz w:val="40"/>
                                      <w:szCs w:val="40"/>
                                    </w:rPr>
                                    <w:t>BMMB7003</w:t>
                                  </w:r>
                                </w:p>
                                <w:p w14:paraId="394BBAD8" w14:textId="302D0711" w:rsidR="002E7950" w:rsidRPr="002E7950" w:rsidRDefault="002E7950">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9DD2D47"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4E2E2CB2" w14:textId="77777777" w:rsidR="002E7950" w:rsidRPr="002E7950" w:rsidRDefault="002E7950" w:rsidP="002E7950">
                            <w:pPr>
                              <w:spacing w:before="240"/>
                              <w:ind w:left="720"/>
                              <w:jc w:val="lowKashida"/>
                              <w:rPr>
                                <w:color w:val="FFFFFF" w:themeColor="background1"/>
                                <w:sz w:val="40"/>
                                <w:szCs w:val="40"/>
                              </w:rPr>
                            </w:pPr>
                            <w:r w:rsidRPr="002E7950">
                              <w:rPr>
                                <w:color w:val="FFFFFF" w:themeColor="background1"/>
                                <w:sz w:val="40"/>
                                <w:szCs w:val="40"/>
                              </w:rPr>
                              <w:t>BMMB7003</w:t>
                            </w:r>
                          </w:p>
                          <w:p w14:paraId="394BBAD8" w14:textId="302D0711" w:rsidR="002E7950" w:rsidRPr="002E7950" w:rsidRDefault="002E7950">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394E0E1" w14:textId="49AEEEA9" w:rsidR="002E7950" w:rsidRDefault="002E7950">
          <w:pPr>
            <w:rPr>
              <w:kern w:val="0"/>
              <w:sz w:val="2"/>
              <w:szCs w:val="22"/>
              <w:lang w:val="en-US" w:eastAsia="en-US"/>
              <w14:ligatures w14:val="none"/>
            </w:rPr>
          </w:pPr>
          <w:r>
            <w:rPr>
              <w:noProof/>
            </w:rPr>
            <mc:AlternateContent>
              <mc:Choice Requires="wps">
                <w:drawing>
                  <wp:anchor distT="0" distB="0" distL="114300" distR="114300" simplePos="0" relativeHeight="251661312" behindDoc="0" locked="0" layoutInCell="1" allowOverlap="1" wp14:anchorId="14A24126" wp14:editId="60B70FD5">
                    <wp:simplePos x="0" y="0"/>
                    <wp:positionH relativeFrom="page">
                      <wp:posOffset>1800225</wp:posOffset>
                    </wp:positionH>
                    <wp:positionV relativeFrom="page">
                      <wp:posOffset>9086850</wp:posOffset>
                    </wp:positionV>
                    <wp:extent cx="4766310" cy="1329690"/>
                    <wp:effectExtent l="0" t="0" r="15240" b="3810"/>
                    <wp:wrapNone/>
                    <wp:docPr id="32" name="Text Box 2"/>
                    <wp:cNvGraphicFramePr/>
                    <a:graphic xmlns:a="http://schemas.openxmlformats.org/drawingml/2006/main">
                      <a:graphicData uri="http://schemas.microsoft.com/office/word/2010/wordprocessingShape">
                        <wps:wsp>
                          <wps:cNvSpPr txBox="1"/>
                          <wps:spPr>
                            <a:xfrm>
                              <a:off x="0" y="0"/>
                              <a:ext cx="4766310" cy="13296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4BCEE1" w14:textId="72B792A3" w:rsidR="002E7950" w:rsidRPr="002E7950" w:rsidRDefault="00EA7761">
                                <w:pPr>
                                  <w:pStyle w:val="NoSpacing"/>
                                  <w:rPr>
                                    <w:color w:val="156082" w:themeColor="accent1"/>
                                    <w:sz w:val="36"/>
                                    <w:szCs w:val="36"/>
                                  </w:rPr>
                                </w:pPr>
                                <w:sdt>
                                  <w:sdtPr>
                                    <w:rPr>
                                      <w:color w:val="156082"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E7950" w:rsidRPr="002E7950">
                                      <w:rPr>
                                        <w:color w:val="156082" w:themeColor="accent1"/>
                                        <w:sz w:val="36"/>
                                        <w:szCs w:val="36"/>
                                      </w:rPr>
                                      <w:t>Bethan Wilson</w:t>
                                    </w:r>
                                  </w:sdtContent>
                                </w:sdt>
                              </w:p>
                              <w:p w14:paraId="34214CF0" w14:textId="32E0288C" w:rsidR="002E7950" w:rsidRPr="002E7950" w:rsidRDefault="002E7950">
                                <w:pPr>
                                  <w:pStyle w:val="NoSpacing"/>
                                  <w:rPr>
                                    <w:color w:val="156082" w:themeColor="accent1"/>
                                    <w:sz w:val="36"/>
                                    <w:szCs w:val="36"/>
                                  </w:rPr>
                                </w:pPr>
                                <w:r w:rsidRPr="002E7950">
                                  <w:rPr>
                                    <w:color w:val="156082" w:themeColor="accent1"/>
                                    <w:sz w:val="36"/>
                                    <w:szCs w:val="36"/>
                                  </w:rPr>
                                  <w:t xml:space="preserve">University of Wales Trinity Saint David </w:t>
                                </w:r>
                              </w:p>
                              <w:p w14:paraId="5C4C627B" w14:textId="2EBEE789" w:rsidR="002E7950" w:rsidRPr="002E7950" w:rsidRDefault="00EA7761">
                                <w:pPr>
                                  <w:pStyle w:val="NoSpacing"/>
                                  <w:rPr>
                                    <w:caps/>
                                    <w:color w:val="595959" w:themeColor="text1" w:themeTint="A6"/>
                                    <w:sz w:val="36"/>
                                    <w:szCs w:val="36"/>
                                  </w:rPr>
                                </w:pPr>
                                <w:sdt>
                                  <w:sdtPr>
                                    <w:rPr>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E7950" w:rsidRPr="002E7950">
                                      <w:rPr>
                                        <w:caps/>
                                        <w:color w:val="595959" w:themeColor="text1" w:themeTint="A6"/>
                                        <w:sz w:val="36"/>
                                        <w:szCs w:val="36"/>
                                      </w:rPr>
                                      <w:t>2220030</w:t>
                                    </w:r>
                                  </w:sdtContent>
                                </w:sdt>
                              </w:p>
                              <w:p w14:paraId="422C3F50" w14:textId="57002651" w:rsidR="002E7950" w:rsidRPr="002E7950" w:rsidRDefault="002E7950">
                                <w:pPr>
                                  <w:pStyle w:val="NoSpacing"/>
                                  <w:rPr>
                                    <w:color w:val="595959" w:themeColor="text1" w:themeTint="A6"/>
                                    <w:sz w:val="36"/>
                                    <w:szCs w:val="36"/>
                                  </w:rPr>
                                </w:pPr>
                                <w:r w:rsidRPr="002E7950">
                                  <w:rPr>
                                    <w:caps/>
                                    <w:color w:val="595959" w:themeColor="text1" w:themeTint="A6"/>
                                    <w:sz w:val="36"/>
                                    <w:szCs w:val="36"/>
                                  </w:rPr>
                                  <w:t xml:space="preserve">Word Count - </w:t>
                                </w:r>
                                <w:r>
                                  <w:rPr>
                                    <w:caps/>
                                    <w:color w:val="595959" w:themeColor="text1" w:themeTint="A6"/>
                                    <w:sz w:val="36"/>
                                    <w:szCs w:val="36"/>
                                  </w:rPr>
                                  <w:t>2</w:t>
                                </w:r>
                                <w:r w:rsidR="00050A73">
                                  <w:rPr>
                                    <w:caps/>
                                    <w:color w:val="595959" w:themeColor="text1" w:themeTint="A6"/>
                                    <w:sz w:val="36"/>
                                    <w:szCs w:val="36"/>
                                  </w:rPr>
                                  <w:t>2</w:t>
                                </w:r>
                                <w:r w:rsidR="00323001">
                                  <w:rPr>
                                    <w:caps/>
                                    <w:color w:val="595959" w:themeColor="text1" w:themeTint="A6"/>
                                    <w:sz w:val="36"/>
                                    <w:szCs w:val="36"/>
                                  </w:rPr>
                                  <w:t>00</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4A24126" id="_x0000_t202" coordsize="21600,21600" o:spt="202" path="m,l,21600r21600,l21600,xe">
                    <v:stroke joinstyle="miter"/>
                    <v:path gradientshapeok="t" o:connecttype="rect"/>
                  </v:shapetype>
                  <v:shape id="Text Box 2" o:spid="_x0000_s1055" type="#_x0000_t202" style="position:absolute;margin-left:141.75pt;margin-top:715.5pt;width:375.3pt;height:104.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" filled="f" stroked="f" strokeweight=".5pt">
                    <v:textbox inset="0,0,0,0">
                      <w:txbxContent>
                        <w:p w14:paraId="294BCEE1" w14:textId="72B792A3" w:rsidR="002E7950" w:rsidRPr="002E7950" w:rsidRDefault="001F7246">
                          <w:pPr>
                            <w:pStyle w:val="NoSpacing"/>
                            <w:rPr>
                              <w:color w:val="156082" w:themeColor="accent1"/>
                              <w:sz w:val="36"/>
                              <w:szCs w:val="36"/>
                            </w:rPr>
                          </w:pPr>
                          <w:sdt>
                            <w:sdtPr>
                              <w:rPr>
                                <w:color w:val="156082"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E7950" w:rsidRPr="002E7950">
                                <w:rPr>
                                  <w:color w:val="156082" w:themeColor="accent1"/>
                                  <w:sz w:val="36"/>
                                  <w:szCs w:val="36"/>
                                </w:rPr>
                                <w:t>Bethan Wilson</w:t>
                              </w:r>
                            </w:sdtContent>
                          </w:sdt>
                        </w:p>
                        <w:p w14:paraId="34214CF0" w14:textId="32E0288C" w:rsidR="002E7950" w:rsidRPr="002E7950" w:rsidRDefault="002E7950">
                          <w:pPr>
                            <w:pStyle w:val="NoSpacing"/>
                            <w:rPr>
                              <w:color w:val="156082" w:themeColor="accent1"/>
                              <w:sz w:val="36"/>
                              <w:szCs w:val="36"/>
                            </w:rPr>
                          </w:pPr>
                          <w:r w:rsidRPr="002E7950">
                            <w:rPr>
                              <w:color w:val="156082" w:themeColor="accent1"/>
                              <w:sz w:val="36"/>
                              <w:szCs w:val="36"/>
                            </w:rPr>
                            <w:t xml:space="preserve">University of Wales Trinity Saint David </w:t>
                          </w:r>
                        </w:p>
                        <w:p w14:paraId="5C4C627B" w14:textId="2EBEE789" w:rsidR="002E7950" w:rsidRPr="002E7950" w:rsidRDefault="001F7246">
                          <w:pPr>
                            <w:pStyle w:val="NoSpacing"/>
                            <w:rPr>
                              <w:caps/>
                              <w:color w:val="595959" w:themeColor="text1" w:themeTint="A6"/>
                              <w:sz w:val="36"/>
                              <w:szCs w:val="36"/>
                            </w:rPr>
                          </w:pPr>
                          <w:sdt>
                            <w:sdtPr>
                              <w:rPr>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E7950" w:rsidRPr="002E7950">
                                <w:rPr>
                                  <w:caps/>
                                  <w:color w:val="595959" w:themeColor="text1" w:themeTint="A6"/>
                                  <w:sz w:val="36"/>
                                  <w:szCs w:val="36"/>
                                </w:rPr>
                                <w:t>2220030</w:t>
                              </w:r>
                            </w:sdtContent>
                          </w:sdt>
                        </w:p>
                        <w:p w14:paraId="422C3F50" w14:textId="57002651" w:rsidR="002E7950" w:rsidRPr="002E7950" w:rsidRDefault="002E7950">
                          <w:pPr>
                            <w:pStyle w:val="NoSpacing"/>
                            <w:rPr>
                              <w:color w:val="595959" w:themeColor="text1" w:themeTint="A6"/>
                              <w:sz w:val="36"/>
                              <w:szCs w:val="36"/>
                            </w:rPr>
                          </w:pPr>
                          <w:r w:rsidRPr="002E7950">
                            <w:rPr>
                              <w:caps/>
                              <w:color w:val="595959" w:themeColor="text1" w:themeTint="A6"/>
                              <w:sz w:val="36"/>
                              <w:szCs w:val="36"/>
                            </w:rPr>
                            <w:t xml:space="preserve">Word Count - </w:t>
                          </w:r>
                          <w:r>
                            <w:rPr>
                              <w:caps/>
                              <w:color w:val="595959" w:themeColor="text1" w:themeTint="A6"/>
                              <w:sz w:val="36"/>
                              <w:szCs w:val="36"/>
                            </w:rPr>
                            <w:t>2</w:t>
                          </w:r>
                          <w:r w:rsidR="00050A73">
                            <w:rPr>
                              <w:caps/>
                              <w:color w:val="595959" w:themeColor="text1" w:themeTint="A6"/>
                              <w:sz w:val="36"/>
                              <w:szCs w:val="36"/>
                            </w:rPr>
                            <w:t>2</w:t>
                          </w:r>
                          <w:r w:rsidR="00323001">
                            <w:rPr>
                              <w:caps/>
                              <w:color w:val="595959" w:themeColor="text1" w:themeTint="A6"/>
                              <w:sz w:val="36"/>
                              <w:szCs w:val="36"/>
                            </w:rPr>
                            <w:t>00</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7FB37C5" wp14:editId="538955E1">
                    <wp:simplePos x="0" y="0"/>
                    <wp:positionH relativeFrom="page">
                      <wp:posOffset>1419225</wp:posOffset>
                    </wp:positionH>
                    <wp:positionV relativeFrom="page">
                      <wp:posOffset>2638425</wp:posOffset>
                    </wp:positionV>
                    <wp:extent cx="6000750" cy="1069340"/>
                    <wp:effectExtent l="0" t="0" r="0" b="3175"/>
                    <wp:wrapNone/>
                    <wp:docPr id="1" name="Text Box 3"/>
                    <wp:cNvGraphicFramePr/>
                    <a:graphic xmlns:a="http://schemas.openxmlformats.org/drawingml/2006/main">
                      <a:graphicData uri="http://schemas.microsoft.com/office/word/2010/wordprocessingShape">
                        <wps:wsp>
                          <wps:cNvSpPr txBox="1"/>
                          <wps:spPr>
                            <a:xfrm>
                              <a:off x="0" y="0"/>
                              <a:ext cx="600075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6AF33A" w14:textId="14A77BEF" w:rsidR="002E7950" w:rsidRPr="002E7950" w:rsidRDefault="00EA7761">
                                <w:pPr>
                                  <w:pStyle w:val="NoSpacing"/>
                                  <w:rPr>
                                    <w:rFonts w:asciiTheme="majorHAnsi" w:eastAsiaTheme="majorEastAsia" w:hAnsiTheme="majorHAnsi" w:cstheme="majorBidi"/>
                                    <w:color w:val="215E99" w:themeColor="text2" w:themeTint="BF"/>
                                    <w:sz w:val="80"/>
                                    <w:szCs w:val="80"/>
                                  </w:rPr>
                                </w:pPr>
                                <w:sdt>
                                  <w:sdtPr>
                                    <w:rPr>
                                      <w:color w:val="215E99" w:themeColor="text2" w:themeTint="BF"/>
                                      <w:kern w:val="2"/>
                                      <w:sz w:val="80"/>
                                      <w:szCs w:val="80"/>
                                      <w:lang w:val="en-GB" w:eastAsia="zh-CN"/>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E7950" w:rsidRPr="002E7950">
                                      <w:rPr>
                                        <w:color w:val="215E99" w:themeColor="text2" w:themeTint="BF"/>
                                        <w:kern w:val="2"/>
                                        <w:sz w:val="80"/>
                                        <w:szCs w:val="80"/>
                                        <w:lang w:val="en-GB" w:eastAsia="zh-CN"/>
                                        <w14:ligatures w14:val="standardContextual"/>
                                      </w:rPr>
                                      <w:t xml:space="preserve">An investigation into the impact of Menopause in the workplace and the legal implications for </w:t>
                                    </w:r>
                                    <w:r w:rsidR="00644660">
                                      <w:rPr>
                                        <w:color w:val="215E99" w:themeColor="text2" w:themeTint="BF"/>
                                        <w:kern w:val="2"/>
                                        <w:sz w:val="80"/>
                                        <w:szCs w:val="80"/>
                                        <w:lang w:val="en-GB" w:eastAsia="zh-CN"/>
                                        <w14:ligatures w14:val="standardContextual"/>
                                      </w:rPr>
                                      <w:t>UWTSD</w:t>
                                    </w:r>
                                    <w:r w:rsidR="002E7950" w:rsidRPr="002E7950">
                                      <w:rPr>
                                        <w:color w:val="215E99" w:themeColor="text2" w:themeTint="BF"/>
                                        <w:kern w:val="2"/>
                                        <w:sz w:val="80"/>
                                        <w:szCs w:val="80"/>
                                        <w:lang w:val="en-GB" w:eastAsia="zh-CN"/>
                                        <w14:ligatures w14:val="standardContextual"/>
                                      </w:rPr>
                                      <w:t>.</w:t>
                                    </w:r>
                                  </w:sdtContent>
                                </w:sdt>
                              </w:p>
                              <w:p w14:paraId="17020384" w14:textId="7717B2AE" w:rsidR="002E7950" w:rsidRPr="002E7950" w:rsidRDefault="00EA7761">
                                <w:pPr>
                                  <w:spacing w:before="120"/>
                                  <w:rPr>
                                    <w:color w:val="215E99" w:themeColor="text2" w:themeTint="BF"/>
                                    <w:sz w:val="36"/>
                                    <w:szCs w:val="36"/>
                                  </w:rPr>
                                </w:pPr>
                                <w:sdt>
                                  <w:sdtPr>
                                    <w:rPr>
                                      <w:color w:val="215E99" w:themeColor="text2"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E7950" w:rsidRPr="002E7950">
                                      <w:rPr>
                                        <w:color w:val="215E99" w:themeColor="text2" w:themeTint="BF"/>
                                        <w:sz w:val="36"/>
                                        <w:szCs w:val="36"/>
                                      </w:rPr>
                                      <w:t>Dissertation Proposal</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27FB37C5" id="Text Box 3" o:spid="_x0000_s1056" type="#_x0000_t202" style="position:absolute;margin-left:111.75pt;margin-top:207.75pt;width:472.5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" filled="f" stroked="f" strokeweight=".5pt">
                    <v:textbox style="mso-fit-shape-to-text:t" inset="0,0,0,0">
                      <w:txbxContent>
                        <w:p w14:paraId="796AF33A" w14:textId="14A77BEF" w:rsidR="002E7950" w:rsidRPr="002E7950" w:rsidRDefault="001F7246">
                          <w:pPr>
                            <w:pStyle w:val="NoSpacing"/>
                            <w:rPr>
                              <w:rFonts w:asciiTheme="majorHAnsi" w:eastAsiaTheme="majorEastAsia" w:hAnsiTheme="majorHAnsi" w:cstheme="majorBidi"/>
                              <w:color w:val="215E99" w:themeColor="text2" w:themeTint="BF"/>
                              <w:sz w:val="80"/>
                              <w:szCs w:val="80"/>
                            </w:rPr>
                          </w:pPr>
                          <w:sdt>
                            <w:sdtPr>
                              <w:rPr>
                                <w:color w:val="215E99" w:themeColor="text2" w:themeTint="BF"/>
                                <w:kern w:val="2"/>
                                <w:sz w:val="80"/>
                                <w:szCs w:val="80"/>
                                <w:lang w:val="en-GB" w:eastAsia="zh-CN"/>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E7950" w:rsidRPr="002E7950">
                                <w:rPr>
                                  <w:color w:val="215E99" w:themeColor="text2" w:themeTint="BF"/>
                                  <w:kern w:val="2"/>
                                  <w:sz w:val="80"/>
                                  <w:szCs w:val="80"/>
                                  <w:lang w:val="en-GB" w:eastAsia="zh-CN"/>
                                  <w14:ligatures w14:val="standardContextual"/>
                                </w:rPr>
                                <w:t xml:space="preserve">An investigation into the impact of Menopause in the workplace and the legal implications for </w:t>
                              </w:r>
                              <w:r w:rsidR="00644660">
                                <w:rPr>
                                  <w:color w:val="215E99" w:themeColor="text2" w:themeTint="BF"/>
                                  <w:kern w:val="2"/>
                                  <w:sz w:val="80"/>
                                  <w:szCs w:val="80"/>
                                  <w:lang w:val="en-GB" w:eastAsia="zh-CN"/>
                                  <w14:ligatures w14:val="standardContextual"/>
                                </w:rPr>
                                <w:t>UWTSD</w:t>
                              </w:r>
                              <w:r w:rsidR="002E7950" w:rsidRPr="002E7950">
                                <w:rPr>
                                  <w:color w:val="215E99" w:themeColor="text2" w:themeTint="BF"/>
                                  <w:kern w:val="2"/>
                                  <w:sz w:val="80"/>
                                  <w:szCs w:val="80"/>
                                  <w:lang w:val="en-GB" w:eastAsia="zh-CN"/>
                                  <w14:ligatures w14:val="standardContextual"/>
                                </w:rPr>
                                <w:t>.</w:t>
                              </w:r>
                            </w:sdtContent>
                          </w:sdt>
                        </w:p>
                        <w:p w14:paraId="17020384" w14:textId="7717B2AE" w:rsidR="002E7950" w:rsidRPr="002E7950" w:rsidRDefault="001F7246">
                          <w:pPr>
                            <w:spacing w:before="120"/>
                            <w:rPr>
                              <w:color w:val="215E99" w:themeColor="text2" w:themeTint="BF"/>
                              <w:sz w:val="36"/>
                              <w:szCs w:val="36"/>
                            </w:rPr>
                          </w:pPr>
                          <w:sdt>
                            <w:sdtPr>
                              <w:rPr>
                                <w:color w:val="215E99" w:themeColor="text2"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E7950" w:rsidRPr="002E7950">
                                <w:rPr>
                                  <w:color w:val="215E99" w:themeColor="text2" w:themeTint="BF"/>
                                  <w:sz w:val="36"/>
                                  <w:szCs w:val="36"/>
                                </w:rPr>
                                <w:t>Dissertation Proposal</w:t>
                              </w:r>
                            </w:sdtContent>
                          </w:sdt>
                        </w:p>
                      </w:txbxContent>
                    </v:textbox>
                    <w10:wrap anchorx="page" anchory="page"/>
                  </v:shape>
                </w:pict>
              </mc:Fallback>
            </mc:AlternateContent>
          </w:r>
          <w:r>
            <w:rPr>
              <w:kern w:val="0"/>
              <w:sz w:val="2"/>
              <w:szCs w:val="22"/>
              <w:lang w:val="en-US" w:eastAsia="en-US"/>
              <w14:ligatures w14:val="none"/>
            </w:rPr>
            <w:br w:type="page"/>
          </w:r>
        </w:p>
      </w:sdtContent>
    </w:sdt>
    <w:p w14:paraId="21BE4964" w14:textId="75C103C4" w:rsidR="006A7085" w:rsidRDefault="006A7085" w:rsidP="009D47F1">
      <w:pPr>
        <w:rPr>
          <w:b/>
          <w:bCs/>
          <w:u w:val="single"/>
        </w:rPr>
      </w:pPr>
      <w:r w:rsidRPr="006A7085">
        <w:rPr>
          <w:b/>
          <w:bCs/>
          <w:u w:val="single"/>
        </w:rPr>
        <w:lastRenderedPageBreak/>
        <w:t>Background</w:t>
      </w:r>
    </w:p>
    <w:p w14:paraId="69969CBC" w14:textId="411C64EE" w:rsidR="00CD577C" w:rsidRDefault="006A7085" w:rsidP="00CD577C">
      <w:r>
        <w:t xml:space="preserve">The University of Wales Trinity St David is based over 3 different campuses in Wales , Swansea, Carmarthen and Lampeter, as well as 2 campuses in London and Birmingham. </w:t>
      </w:r>
      <w:r w:rsidR="00E013FD">
        <w:t>UWTSD</w:t>
      </w:r>
      <w:r>
        <w:t xml:space="preserve"> has around </w:t>
      </w:r>
      <w:r w:rsidR="00F10A0D">
        <w:t>2848</w:t>
      </w:r>
      <w:r>
        <w:t xml:space="preserve"> </w:t>
      </w:r>
      <w:r w:rsidR="00F10A0D">
        <w:t>employees</w:t>
      </w:r>
      <w:r>
        <w:t xml:space="preserve"> over these campuses</w:t>
      </w:r>
      <w:r w:rsidR="005658BD">
        <w:t xml:space="preserve"> </w:t>
      </w:r>
      <w:r w:rsidR="0041589F">
        <w:t>(</w:t>
      </w:r>
      <w:proofErr w:type="spellStart"/>
      <w:r w:rsidR="005658BD">
        <w:t>UWTSDa</w:t>
      </w:r>
      <w:proofErr w:type="spellEnd"/>
      <w:r w:rsidR="005658BD">
        <w:t>, 2024)</w:t>
      </w:r>
      <w:r w:rsidR="00CD577C">
        <w:t>. The academic sector are in crisis mode at the moment, due to funding, costs and less international students coming to the UK( Woods, 2024; Adams,2024). With this considered UWTSD needs to ensur</w:t>
      </w:r>
      <w:r w:rsidR="00E013FD">
        <w:t>e</w:t>
      </w:r>
      <w:r w:rsidR="00CD577C">
        <w:t xml:space="preserve"> they</w:t>
      </w:r>
      <w:r w:rsidR="00E013FD">
        <w:t>’re</w:t>
      </w:r>
      <w:r w:rsidR="00CD577C">
        <w:t xml:space="preserve"> seen as an employee of choice</w:t>
      </w:r>
      <w:r w:rsidR="00E013FD">
        <w:t xml:space="preserve"> and</w:t>
      </w:r>
      <w:r w:rsidR="00CD577C">
        <w:t xml:space="preserve"> have a good reputation in the sector to attract more students (</w:t>
      </w:r>
      <w:proofErr w:type="spellStart"/>
      <w:r w:rsidR="00CD577C" w:rsidRPr="00FB5639">
        <w:t>Firmandani</w:t>
      </w:r>
      <w:proofErr w:type="spellEnd"/>
      <w:r w:rsidR="00CD577C">
        <w:t xml:space="preserve"> et al, 2023). </w:t>
      </w:r>
    </w:p>
    <w:p w14:paraId="78AB1EA1" w14:textId="53A81961" w:rsidR="0041589F" w:rsidRDefault="006A7085" w:rsidP="005658BD">
      <w:r>
        <w:t xml:space="preserve">I have chosen to research into </w:t>
      </w:r>
      <w:r w:rsidR="00CD577C">
        <w:t>the impa</w:t>
      </w:r>
      <w:r w:rsidR="009B301A">
        <w:t xml:space="preserve">ct the </w:t>
      </w:r>
      <w:r>
        <w:t xml:space="preserve">menopause </w:t>
      </w:r>
      <w:r w:rsidR="009B301A">
        <w:t>h</w:t>
      </w:r>
      <w:r>
        <w:t>as</w:t>
      </w:r>
      <w:r w:rsidR="009B301A">
        <w:t xml:space="preserve"> on women</w:t>
      </w:r>
      <w:r w:rsidR="00CD577C">
        <w:t xml:space="preserve"> in work</w:t>
      </w:r>
      <w:r>
        <w:t>.</w:t>
      </w:r>
      <w:r w:rsidR="0041589F" w:rsidRPr="0041589F">
        <w:rPr>
          <w:rFonts w:ascii="Segoe UI" w:eastAsia="Times New Roman" w:hAnsi="Segoe UI" w:cs="Segoe UI"/>
          <w:kern w:val="0"/>
          <w:sz w:val="18"/>
          <w:szCs w:val="18"/>
          <w14:ligatures w14:val="none"/>
        </w:rPr>
        <w:t xml:space="preserve"> </w:t>
      </w:r>
      <w:r w:rsidR="00CD577C">
        <w:t>The topic of menopause in work has been discussed many years (</w:t>
      </w:r>
      <w:r w:rsidR="00CD577C" w:rsidRPr="00FB5639">
        <w:t xml:space="preserve">Verdonk, </w:t>
      </w:r>
      <w:proofErr w:type="spellStart"/>
      <w:r w:rsidR="00CD577C" w:rsidRPr="00FB5639">
        <w:t>Bendien</w:t>
      </w:r>
      <w:proofErr w:type="spellEnd"/>
      <w:r w:rsidR="00CD577C" w:rsidRPr="00FB5639">
        <w:t>,</w:t>
      </w:r>
      <w:r w:rsidR="00CD577C">
        <w:t xml:space="preserve"> &amp; </w:t>
      </w:r>
      <w:r w:rsidR="00CD577C" w:rsidRPr="00FB5639">
        <w:t>Appelman</w:t>
      </w:r>
      <w:r w:rsidR="00CD577C">
        <w:t>, 2022), and although th</w:t>
      </w:r>
      <w:r w:rsidR="00CD577C" w:rsidRPr="0041589F">
        <w:t>ere is a considerable increase in legal cases regarding the menopause</w:t>
      </w:r>
      <w:r w:rsidR="00CD577C">
        <w:t>, however the legal implications are a subject that has only been discussed in more recent years (</w:t>
      </w:r>
      <w:r w:rsidR="00CD577C" w:rsidRPr="001C0D4A">
        <w:t>Colussi, Hill,</w:t>
      </w:r>
      <w:r w:rsidR="00CD577C">
        <w:t>&amp;</w:t>
      </w:r>
      <w:r w:rsidR="00CD577C" w:rsidRPr="001C0D4A">
        <w:t xml:space="preserve"> Baird,</w:t>
      </w:r>
      <w:r w:rsidR="00CD577C">
        <w:t xml:space="preserve"> 2023). </w:t>
      </w:r>
      <w:r w:rsidR="005658BD" w:rsidRPr="005658BD">
        <w:t>A</w:t>
      </w:r>
      <w:r w:rsidR="005658BD">
        <w:t>CAS (2022)</w:t>
      </w:r>
      <w:r w:rsidR="005658BD" w:rsidRPr="005658BD">
        <w:t xml:space="preserve"> found 33%</w:t>
      </w:r>
      <w:r w:rsidR="005658BD">
        <w:t xml:space="preserve"> of employers</w:t>
      </w:r>
      <w:r w:rsidR="005658BD" w:rsidRPr="005658BD">
        <w:t xml:space="preserve"> do not feel well equipped to support women</w:t>
      </w:r>
      <w:r w:rsidR="005658BD">
        <w:t xml:space="preserve"> who are</w:t>
      </w:r>
      <w:r w:rsidR="005658BD" w:rsidRPr="005658BD">
        <w:t xml:space="preserve"> going through the menopause</w:t>
      </w:r>
      <w:r w:rsidR="0041589F" w:rsidRPr="0041589F">
        <w:t xml:space="preserve"> (</w:t>
      </w:r>
      <w:r w:rsidR="005658BD">
        <w:t>ACAS, 2022</w:t>
      </w:r>
      <w:r w:rsidR="0041589F" w:rsidRPr="0041589F">
        <w:t>)</w:t>
      </w:r>
      <w:r w:rsidR="0041589F">
        <w:t>.</w:t>
      </w:r>
      <w:r w:rsidR="00B05741">
        <w:t>The lack of research into this could means there is a gap in externa</w:t>
      </w:r>
      <w:r w:rsidR="00CD577C">
        <w:t>l</w:t>
      </w:r>
      <w:r w:rsidR="00B05741">
        <w:t xml:space="preserve"> knowledge</w:t>
      </w:r>
      <w:r w:rsidR="00CD577C">
        <w:t>, UWTSD h</w:t>
      </w:r>
      <w:r w:rsidR="00B05741">
        <w:t xml:space="preserve">aving more of a understanding could </w:t>
      </w:r>
      <w:r w:rsidR="00CD577C">
        <w:t xml:space="preserve">be beneficial, by </w:t>
      </w:r>
      <w:r w:rsidR="00B05741">
        <w:t xml:space="preserve">offering a supportive environment to work in has been shown to create a happy workforce, which </w:t>
      </w:r>
      <w:r w:rsidR="00CD577C">
        <w:t>in turn creates a</w:t>
      </w:r>
      <w:r w:rsidR="00B05741">
        <w:t xml:space="preserve"> more productive</w:t>
      </w:r>
      <w:r w:rsidR="00CD577C">
        <w:t xml:space="preserve"> workforce</w:t>
      </w:r>
      <w:r w:rsidR="00B05741">
        <w:t xml:space="preserve"> (Bellet, De Neve &amp; Ward et al, 2019)</w:t>
      </w:r>
    </w:p>
    <w:p w14:paraId="30DBBE99" w14:textId="7DD07A0D" w:rsidR="00B05741" w:rsidRDefault="009B301A" w:rsidP="00E013FD">
      <w:r>
        <w:t>T</w:t>
      </w:r>
      <w:r w:rsidR="00533033">
        <w:t xml:space="preserve">he menopause </w:t>
      </w:r>
      <w:r>
        <w:t>occurs generally between age 45 -55,</w:t>
      </w:r>
      <w:r w:rsidR="00797336">
        <w:t xml:space="preserve"> although symptoms of peri-menopause can last up to a decade before the menopause occurs (</w:t>
      </w:r>
      <w:r w:rsidR="001C0D4A">
        <w:t>Harvard, 2022</w:t>
      </w:r>
      <w:r w:rsidR="00797336">
        <w:t xml:space="preserve">). </w:t>
      </w:r>
      <w:r w:rsidR="00CD577C">
        <w:t>UWTSD</w:t>
      </w:r>
      <w:r w:rsidR="00533033">
        <w:t xml:space="preserve"> </w:t>
      </w:r>
      <w:r w:rsidR="00435AED">
        <w:t xml:space="preserve">employees </w:t>
      </w:r>
      <w:r w:rsidR="00C86D56">
        <w:t>5</w:t>
      </w:r>
      <w:r w:rsidR="00797336">
        <w:t>2</w:t>
      </w:r>
      <w:r>
        <w:t>%</w:t>
      </w:r>
      <w:r w:rsidR="00C86D56">
        <w:t xml:space="preserve"> </w:t>
      </w:r>
      <w:r w:rsidR="00435AED">
        <w:t>women</w:t>
      </w:r>
      <w:r w:rsidR="00F10A0D">
        <w:t xml:space="preserve">, </w:t>
      </w:r>
      <w:r w:rsidR="00C86D56">
        <w:t xml:space="preserve">and </w:t>
      </w:r>
      <w:r w:rsidR="00797336">
        <w:t xml:space="preserve">27% of them </w:t>
      </w:r>
      <w:r>
        <w:t>in th</w:t>
      </w:r>
      <w:r w:rsidR="00797336">
        <w:t xml:space="preserve">e 45-55 </w:t>
      </w:r>
      <w:r>
        <w:t>age bracket</w:t>
      </w:r>
      <w:r w:rsidR="005D6CD0">
        <w:t xml:space="preserve"> (</w:t>
      </w:r>
      <w:proofErr w:type="spellStart"/>
      <w:r w:rsidR="005D6CD0">
        <w:t>UWTSDa</w:t>
      </w:r>
      <w:proofErr w:type="spellEnd"/>
      <w:r w:rsidR="005D6CD0">
        <w:t>, 2024)</w:t>
      </w:r>
      <w:r>
        <w:t xml:space="preserve">. </w:t>
      </w:r>
      <w:r w:rsidR="00533033">
        <w:t xml:space="preserve"> </w:t>
      </w:r>
      <w:r w:rsidR="00A63168">
        <w:t xml:space="preserve">With the population aging and more women staying in work for longer, </w:t>
      </w:r>
      <w:r w:rsidR="00797336">
        <w:t xml:space="preserve">it is important </w:t>
      </w:r>
      <w:r w:rsidR="00CD577C">
        <w:t xml:space="preserve">to </w:t>
      </w:r>
      <w:r w:rsidR="00A63168">
        <w:t>ensur</w:t>
      </w:r>
      <w:r w:rsidR="00CD577C">
        <w:t>e</w:t>
      </w:r>
      <w:r w:rsidR="00A63168">
        <w:t xml:space="preserve"> as a</w:t>
      </w:r>
      <w:r w:rsidR="00A24540">
        <w:t>n</w:t>
      </w:r>
      <w:r w:rsidR="00A63168">
        <w:t xml:space="preserve"> employer we support</w:t>
      </w:r>
      <w:r w:rsidR="00A24540">
        <w:t xml:space="preserve"> women </w:t>
      </w:r>
      <w:r w:rsidR="00CD577C">
        <w:t>at work</w:t>
      </w:r>
      <w:r w:rsidR="001C0D4A">
        <w:t xml:space="preserve"> (</w:t>
      </w:r>
      <w:r w:rsidR="001C0D4A" w:rsidRPr="001C0D4A">
        <w:t xml:space="preserve">Quinby, </w:t>
      </w:r>
      <w:r w:rsidR="001C0D4A">
        <w:t>&amp;</w:t>
      </w:r>
      <w:r w:rsidR="001C0D4A" w:rsidRPr="001C0D4A">
        <w:t xml:space="preserve"> Wettstein, 2024</w:t>
      </w:r>
      <w:r w:rsidR="001C0D4A">
        <w:t>)</w:t>
      </w:r>
      <w:r w:rsidR="00A24540">
        <w:t>.</w:t>
      </w:r>
      <w:r w:rsidR="00FE721D">
        <w:t xml:space="preserve"> </w:t>
      </w:r>
      <w:r w:rsidR="001C0D4A">
        <w:t>I</w:t>
      </w:r>
      <w:r w:rsidR="00FE721D">
        <w:t>f as a university we indirectly discriminate women the</w:t>
      </w:r>
      <w:r w:rsidR="00CD577C">
        <w:t>re</w:t>
      </w:r>
      <w:r w:rsidR="00FE721D">
        <w:t xml:space="preserve"> could be risk of discrimination claims (</w:t>
      </w:r>
      <w:proofErr w:type="spellStart"/>
      <w:r w:rsidR="00FE721D">
        <w:t>E</w:t>
      </w:r>
      <w:r w:rsidR="0052021E">
        <w:t>qualityhumanrights</w:t>
      </w:r>
      <w:proofErr w:type="spellEnd"/>
      <w:r w:rsidR="0052021E">
        <w:t>, 2024</w:t>
      </w:r>
      <w:r w:rsidR="00FE721D">
        <w:t>)</w:t>
      </w:r>
      <w:r w:rsidR="0041589F">
        <w:t xml:space="preserve"> and potential reputational damage</w:t>
      </w:r>
      <w:r w:rsidR="00B05741">
        <w:t>.</w:t>
      </w:r>
    </w:p>
    <w:p w14:paraId="75405B62" w14:textId="7ECFD887" w:rsidR="006A7085" w:rsidRPr="006A7085" w:rsidRDefault="006A7085" w:rsidP="009D47F1">
      <w:pPr>
        <w:rPr>
          <w:b/>
          <w:bCs/>
          <w:u w:val="single"/>
        </w:rPr>
      </w:pPr>
      <w:r w:rsidRPr="006A7085">
        <w:rPr>
          <w:b/>
          <w:bCs/>
          <w:u w:val="single"/>
        </w:rPr>
        <w:t>Research aim</w:t>
      </w:r>
    </w:p>
    <w:p w14:paraId="5B45D920" w14:textId="6EF26CE8" w:rsidR="00F64B9C" w:rsidRDefault="007658A2" w:rsidP="00F64B9C">
      <w:r>
        <w:t>Analyse the</w:t>
      </w:r>
      <w:r w:rsidR="00F64B9C">
        <w:rPr>
          <w:strike/>
        </w:rPr>
        <w:t xml:space="preserve"> </w:t>
      </w:r>
      <w:r w:rsidR="00287FCD">
        <w:t>impact of</w:t>
      </w:r>
      <w:r w:rsidRPr="00287FCD">
        <w:t xml:space="preserve"> </w:t>
      </w:r>
      <w:r>
        <w:t xml:space="preserve">menopause </w:t>
      </w:r>
      <w:r w:rsidR="00743099">
        <w:t xml:space="preserve">on </w:t>
      </w:r>
      <w:r>
        <w:t xml:space="preserve">women and the organisation </w:t>
      </w:r>
    </w:p>
    <w:p w14:paraId="05E93B05" w14:textId="4536255B" w:rsidR="009D47F1" w:rsidRDefault="001C0D4A" w:rsidP="00EE03CD">
      <w:pPr>
        <w:rPr>
          <w:b/>
          <w:bCs/>
          <w:u w:val="single"/>
        </w:rPr>
      </w:pPr>
      <w:r>
        <w:rPr>
          <w:b/>
          <w:bCs/>
          <w:u w:val="single"/>
        </w:rPr>
        <w:t>O</w:t>
      </w:r>
      <w:r w:rsidR="009D47F1">
        <w:rPr>
          <w:b/>
          <w:bCs/>
          <w:u w:val="single"/>
        </w:rPr>
        <w:t>bjectives</w:t>
      </w:r>
    </w:p>
    <w:p w14:paraId="621AE72B" w14:textId="61D1BC2E" w:rsidR="006A7085" w:rsidRDefault="007658A2" w:rsidP="006A7085">
      <w:pPr>
        <w:pStyle w:val="ListParagraph"/>
        <w:numPr>
          <w:ilvl w:val="0"/>
          <w:numId w:val="1"/>
        </w:numPr>
      </w:pPr>
      <w:r>
        <w:t>Collating and analysing information on</w:t>
      </w:r>
      <w:r w:rsidR="006A7085" w:rsidRPr="006A7085">
        <w:t xml:space="preserve"> how the menopause impacts on women’s workplace experience</w:t>
      </w:r>
      <w:r w:rsidR="00CD09DA">
        <w:t xml:space="preserve"> (secondary and primary research) </w:t>
      </w:r>
    </w:p>
    <w:p w14:paraId="12BFCAE3" w14:textId="462D11AB" w:rsidR="006A7085" w:rsidRDefault="007658A2" w:rsidP="00CD09DA">
      <w:pPr>
        <w:pStyle w:val="ListParagraph"/>
        <w:numPr>
          <w:ilvl w:val="0"/>
          <w:numId w:val="1"/>
        </w:numPr>
      </w:pPr>
      <w:r>
        <w:t>Review th</w:t>
      </w:r>
      <w:r w:rsidR="00CD09DA">
        <w:t>e universities HR policies</w:t>
      </w:r>
      <w:r w:rsidR="005D6CD0">
        <w:t>, processes</w:t>
      </w:r>
      <w:r w:rsidR="00CD09DA">
        <w:t xml:space="preserve"> and the practices in place </w:t>
      </w:r>
      <w:r w:rsidR="005D6CD0">
        <w:t xml:space="preserve">currently </w:t>
      </w:r>
      <w:r w:rsidR="00CD09DA">
        <w:t>support</w:t>
      </w:r>
      <w:r>
        <w:t>ing</w:t>
      </w:r>
      <w:r w:rsidR="00CD09DA">
        <w:t xml:space="preserve"> women experienc</w:t>
      </w:r>
      <w:r w:rsidR="001F2713">
        <w:t xml:space="preserve">ing the </w:t>
      </w:r>
      <w:r w:rsidR="00CD09DA">
        <w:t>menopause</w:t>
      </w:r>
      <w:r w:rsidR="001946C3">
        <w:t xml:space="preserve"> </w:t>
      </w:r>
      <w:r w:rsidR="001946C3">
        <w:t>(secondary and primary research)</w:t>
      </w:r>
    </w:p>
    <w:p w14:paraId="29AEB9B5" w14:textId="2E4A64D5" w:rsidR="00CD09DA" w:rsidRDefault="00C21CBF" w:rsidP="006A7085">
      <w:pPr>
        <w:pStyle w:val="ListParagraph"/>
        <w:numPr>
          <w:ilvl w:val="0"/>
          <w:numId w:val="1"/>
        </w:numPr>
      </w:pPr>
      <w:r>
        <w:t xml:space="preserve">Propose recommendations to help mitigate risk to </w:t>
      </w:r>
      <w:r w:rsidR="00CD09DA">
        <w:t>the university</w:t>
      </w:r>
      <w:r>
        <w:t xml:space="preserve"> against </w:t>
      </w:r>
      <w:r w:rsidR="001F2713">
        <w:t>any legal implications</w:t>
      </w:r>
    </w:p>
    <w:p w14:paraId="41E595D4" w14:textId="77777777" w:rsidR="001F7246" w:rsidRDefault="001F7246" w:rsidP="001F7246">
      <w:pPr>
        <w:pStyle w:val="ListParagraph"/>
      </w:pPr>
    </w:p>
    <w:p w14:paraId="18BB1F2C" w14:textId="77777777" w:rsidR="00C21CBF" w:rsidRDefault="00C21CBF" w:rsidP="00C21CBF">
      <w:pPr>
        <w:rPr>
          <w:b/>
          <w:bCs/>
          <w:u w:val="single"/>
        </w:rPr>
      </w:pPr>
      <w:r w:rsidRPr="00C21CBF">
        <w:rPr>
          <w:b/>
          <w:bCs/>
          <w:u w:val="single"/>
        </w:rPr>
        <w:lastRenderedPageBreak/>
        <w:t>Theoretical context</w:t>
      </w:r>
    </w:p>
    <w:p w14:paraId="2E8BE90C" w14:textId="06F66DC6" w:rsidR="00E565C6" w:rsidRDefault="00E565C6">
      <w:r>
        <w:t>The menopause is when a women’s periods stop du</w:t>
      </w:r>
      <w:r w:rsidR="001F2713">
        <w:t>e</w:t>
      </w:r>
      <w:r>
        <w:t xml:space="preserve"> to their low hormone levels, and usually affects women between 45 – 55 , however this can happen earlier</w:t>
      </w:r>
      <w:r w:rsidR="001F2713">
        <w:t xml:space="preserve"> </w:t>
      </w:r>
      <w:r>
        <w:t>(NHS, 2022). Symptoms of the menopause are vary from each women</w:t>
      </w:r>
      <w:r w:rsidR="00AA282E">
        <w:t xml:space="preserve">, they can </w:t>
      </w:r>
      <w:r>
        <w:t>include, hot flushes, night sweats, insomnia , fatigue</w:t>
      </w:r>
      <w:r w:rsidR="00AA282E">
        <w:t xml:space="preserve"> and</w:t>
      </w:r>
      <w:r>
        <w:t xml:space="preserve"> memory loss</w:t>
      </w:r>
      <w:r w:rsidR="00AA282E">
        <w:t xml:space="preserve"> and lots more symptoms</w:t>
      </w:r>
      <w:r>
        <w:t xml:space="preserve"> (</w:t>
      </w:r>
      <w:r w:rsidR="005658BD">
        <w:t>NHS, 2022</w:t>
      </w:r>
      <w:r>
        <w:t>) There are also many women who experience Perimenopause, this  occurs before your periods stop but when you are experience menopause symptoms, and can last for up to 10 years before your menopause (NHS, 2022).</w:t>
      </w:r>
    </w:p>
    <w:p w14:paraId="051EC0B2" w14:textId="53D8D18A" w:rsidR="00844B86" w:rsidRDefault="00E81D55" w:rsidP="00A574CF">
      <w:r>
        <w:t>With the menopause still considered a taboo subject especially in the workplace this can have a negative impact on women at work as well as organisations (</w:t>
      </w:r>
      <w:r w:rsidR="005658BD">
        <w:t>Reitz, Bolton &amp; Emslie, 2020</w:t>
      </w:r>
      <w:r>
        <w:t xml:space="preserve">). Menopause symptoms can impact women’s experience at work, and workplace conditions can worsen these symptoms, research around this needs to consider how organisations approach this (Atkinson et al, 2019). With over 63% of working women in the UK reporting </w:t>
      </w:r>
      <w:r w:rsidR="007838A4">
        <w:t xml:space="preserve"> </w:t>
      </w:r>
      <w:r>
        <w:t>the menopause has had a negative impact on their careers, but only 30% of employers providing support for women going through the menopause (Collins &amp; Barry, 2024</w:t>
      </w:r>
      <w:r w:rsidR="00844B86">
        <w:t>; CIPD, 2019</w:t>
      </w:r>
      <w:r>
        <w:t>).</w:t>
      </w:r>
      <w:r w:rsidR="00666D05">
        <w:t xml:space="preserve"> </w:t>
      </w:r>
      <w:r w:rsidR="00A574CF">
        <w:t xml:space="preserve"> Research has shown women don’t tend to speak up about their symptoms in work (Nording, 2022), at times then making it difficult for employers to recognise these symptoms and support women during this time (Smyrl, 2024). </w:t>
      </w:r>
      <w:r w:rsidR="00844B86">
        <w:t>The CIPD (2019) has recommended employers educate and train their line managers on the menopause and make any reasonable adjustments necessary</w:t>
      </w:r>
      <w:r w:rsidR="00A574CF">
        <w:t>,</w:t>
      </w:r>
      <w:r w:rsidR="00666D05">
        <w:t xml:space="preserve"> like allowing them to start</w:t>
      </w:r>
      <w:r w:rsidR="005D6CD0">
        <w:t xml:space="preserve"> work</w:t>
      </w:r>
      <w:r w:rsidR="00666D05">
        <w:t xml:space="preserve"> later if they’re had a disturbed night sleep, providing them a desk fan for hot flushes and allowing them time for comfort breaks. (CIPD, 2019).</w:t>
      </w:r>
    </w:p>
    <w:p w14:paraId="4C281CD7" w14:textId="53A81354" w:rsidR="00E81D55" w:rsidRDefault="009262F5">
      <w:r>
        <w:t xml:space="preserve">While the menopause specifically isn’t </w:t>
      </w:r>
      <w:r w:rsidR="00003A2C">
        <w:t>specified under the Equality Act 2010,</w:t>
      </w:r>
      <w:r w:rsidR="001F2713">
        <w:t xml:space="preserve"> </w:t>
      </w:r>
      <w:r w:rsidR="00003A2C">
        <w:t>characteristics associated with the m</w:t>
      </w:r>
      <w:r w:rsidR="00E81D55">
        <w:t>enopa</w:t>
      </w:r>
      <w:r>
        <w:t>u</w:t>
      </w:r>
      <w:r w:rsidR="00E81D55">
        <w:t>se  can be covered</w:t>
      </w:r>
      <w:r w:rsidR="00003A2C">
        <w:t>. Menopause symptoms could be covered under the</w:t>
      </w:r>
      <w:r>
        <w:t xml:space="preserve"> Equality Act, 2010</w:t>
      </w:r>
      <w:r w:rsidR="00003A2C">
        <w:t xml:space="preserve">, </w:t>
      </w:r>
      <w:r>
        <w:t>under 3 protected characteristics – age, sex and disability discrimination (Garlick, 202</w:t>
      </w:r>
      <w:r w:rsidR="00701290">
        <w:t>1</w:t>
      </w:r>
      <w:r>
        <w:t xml:space="preserve">). </w:t>
      </w:r>
      <w:r w:rsidR="00BB3243">
        <w:t>I</w:t>
      </w:r>
      <w:r w:rsidR="00BB3243" w:rsidRPr="00BB3243">
        <w:t>f you are treated unfairly at work because of menopause or perimenopause, this could amount to discrimination</w:t>
      </w:r>
      <w:r w:rsidR="00BB3243">
        <w:t xml:space="preserve"> (Equity, No date). </w:t>
      </w:r>
      <w:r>
        <w:t>This imposes a duty on the employer to act fairly and not discriminate women experience symptoms of the menopause (</w:t>
      </w:r>
      <w:r w:rsidR="00701290">
        <w:t>ACAS, 2022</w:t>
      </w:r>
      <w:r w:rsidR="00701290" w:rsidRPr="0041589F">
        <w:t>)</w:t>
      </w:r>
      <w:r w:rsidR="00701290">
        <w:t>.</w:t>
      </w:r>
      <w:r w:rsidR="00B05741">
        <w:t xml:space="preserve"> If the university fails to act fairly they could be at risk of discrimination claims</w:t>
      </w:r>
      <w:r w:rsidR="00A574CF">
        <w:t xml:space="preserve"> (ACAS,2024).</w:t>
      </w:r>
    </w:p>
    <w:p w14:paraId="45F63E93" w14:textId="498DE674" w:rsidR="009262F5" w:rsidRDefault="009262F5" w:rsidP="00EB5FF2">
      <w:r>
        <w:t>Compensation under the Equality Act is uncapped</w:t>
      </w:r>
      <w:r w:rsidR="005D6CD0">
        <w:t xml:space="preserve"> which is</w:t>
      </w:r>
      <w:r>
        <w:t xml:space="preserve"> a risk should the university be convicted of discrimination whether this be directly or indirectly (</w:t>
      </w:r>
      <w:r w:rsidR="00701290">
        <w:t xml:space="preserve">House of commons, 2022; ACAS, 2022) </w:t>
      </w:r>
      <w:r>
        <w:t>.</w:t>
      </w:r>
      <w:r w:rsidR="00EB5FF2">
        <w:t xml:space="preserve"> </w:t>
      </w:r>
      <w:r>
        <w:t>The Health and Safety at Work Act 1974 could also cover menopause at work as it ensures employers have to provide suitable working environments for women experiencing the menopause (</w:t>
      </w:r>
      <w:r w:rsidR="00701290">
        <w:t>House of commons, 2022; ACAS, 2022</w:t>
      </w:r>
      <w:r>
        <w:t>)</w:t>
      </w:r>
      <w:r w:rsidR="00844B86">
        <w:t xml:space="preserve">. </w:t>
      </w:r>
      <w:r w:rsidR="00155D2C">
        <w:t xml:space="preserve">Research suggested employers aren’t necessarily aware of the risks associated  </w:t>
      </w:r>
      <w:r w:rsidR="00A574CF">
        <w:t xml:space="preserve">with </w:t>
      </w:r>
      <w:r w:rsidR="00155D2C">
        <w:t>not treated women experiencing the menopause fairly at work(</w:t>
      </w:r>
      <w:r w:rsidR="001F7246">
        <w:t>Wyatt, 2024</w:t>
      </w:r>
      <w:r w:rsidR="00155D2C">
        <w:t xml:space="preserve">). If the university fails to comply with these acts they could be at risk of </w:t>
      </w:r>
      <w:r w:rsidR="00155D2C">
        <w:lastRenderedPageBreak/>
        <w:t>discrimination claims which could have a massive financial and reputational impact on the university.</w:t>
      </w:r>
    </w:p>
    <w:p w14:paraId="4EA90462" w14:textId="2C606EB6" w:rsidR="000923F9" w:rsidRDefault="009262F5" w:rsidP="00A574CF">
      <w:r>
        <w:t>There are several examples of case law whereby companies have had to pay out high tribunal costs and  legal fees</w:t>
      </w:r>
      <w:r w:rsidR="00666D05">
        <w:t>.</w:t>
      </w:r>
      <w:r w:rsidR="00A25B69">
        <w:t xml:space="preserve"> </w:t>
      </w:r>
      <w:r w:rsidR="005D6CD0">
        <w:t xml:space="preserve"> For example t</w:t>
      </w:r>
      <w:r w:rsidR="00525D55">
        <w:t>he Andreson V Thistle Marine</w:t>
      </w:r>
      <w:r w:rsidR="005D6CD0">
        <w:t xml:space="preserve"> (2023)</w:t>
      </w:r>
      <w:r w:rsidR="00666D05">
        <w:t xml:space="preserve"> case the court </w:t>
      </w:r>
      <w:r w:rsidR="00013BDD">
        <w:t xml:space="preserve">awarded </w:t>
      </w:r>
      <w:r w:rsidR="005D6CD0">
        <w:t>Anderson</w:t>
      </w:r>
      <w:r w:rsidR="00013BDD">
        <w:t xml:space="preserve"> £37,000 and c</w:t>
      </w:r>
      <w:r w:rsidR="00666D05">
        <w:t xml:space="preserve">onfirmed the employee had been unfairly dismissed due to her menopause symptoms, </w:t>
      </w:r>
      <w:r w:rsidR="00013BDD">
        <w:t>b</w:t>
      </w:r>
      <w:r w:rsidR="00A574CF">
        <w:t>y</w:t>
      </w:r>
      <w:r w:rsidR="00013BDD">
        <w:t xml:space="preserve"> failing to put measures in place to support her, leaving her no choice but to resign (Rowsell, 2023, Andreson V Thistle Marine, 2023). </w:t>
      </w:r>
      <w:r w:rsidR="00A574CF">
        <w:t xml:space="preserve"> </w:t>
      </w:r>
      <w:r w:rsidR="00013BDD">
        <w:t xml:space="preserve">In a  similar case </w:t>
      </w:r>
      <w:r w:rsidR="00525D55">
        <w:t>Rooney V Leicester City Council</w:t>
      </w:r>
      <w:r w:rsidR="00A25B69">
        <w:t xml:space="preserve"> (2019), Rooney bought claims of unfair dismissal, sex and disability discrimination, by claim her symptoms of the menopause resulted in a disability. Rooney claimed her employer failed to make reasonable adjustments, made inappropriate comments about her hot flushes </w:t>
      </w:r>
      <w:r w:rsidR="00D178BC">
        <w:t xml:space="preserve"> the court decided it was </w:t>
      </w:r>
      <w:r w:rsidR="00155D2C">
        <w:t>classed as a</w:t>
      </w:r>
      <w:r w:rsidR="00D178BC">
        <w:t xml:space="preserve"> disability</w:t>
      </w:r>
      <w:r w:rsidR="00155D2C">
        <w:t xml:space="preserve"> under the Equality Act 2010.(</w:t>
      </w:r>
      <w:r w:rsidR="00155D2C" w:rsidRPr="004F274F">
        <w:t xml:space="preserve"> </w:t>
      </w:r>
      <w:r w:rsidR="00155D2C">
        <w:t xml:space="preserve">Gelder et al, 2023; </w:t>
      </w:r>
      <w:r w:rsidR="00155D2C" w:rsidRPr="004F274F">
        <w:t>Rooney V Leicester City Council</w:t>
      </w:r>
      <w:r w:rsidR="00155D2C">
        <w:t>,</w:t>
      </w:r>
      <w:r w:rsidR="00155D2C" w:rsidRPr="004F274F">
        <w:t>2019)</w:t>
      </w:r>
      <w:r w:rsidR="00155D2C">
        <w:t xml:space="preserve">. These piece of legislation demonstrate the impact of not treated women experiencing the menopause fairly in work and how important it is for employers to be aware. As an employer there is a responsibility to ensure employees are treated fairly therefore understanding the case law is key. </w:t>
      </w:r>
      <w:r w:rsidR="00A574CF">
        <w:t xml:space="preserve">However, </w:t>
      </w:r>
      <w:r w:rsidR="00155D2C" w:rsidRPr="008C5BF5">
        <w:t>although</w:t>
      </w:r>
      <w:r w:rsidR="00A574CF">
        <w:t xml:space="preserve"> the</w:t>
      </w:r>
      <w:r w:rsidR="00155D2C" w:rsidRPr="008C5BF5">
        <w:t xml:space="preserve"> menopause can be </w:t>
      </w:r>
      <w:r w:rsidR="000923F9" w:rsidRPr="008C5BF5">
        <w:t>classed</w:t>
      </w:r>
      <w:r w:rsidR="00155D2C" w:rsidRPr="008C5BF5">
        <w:t xml:space="preserve"> as a disability there is still no clear set criteria on </w:t>
      </w:r>
      <w:r w:rsidR="00D178BC" w:rsidRPr="008C5BF5">
        <w:t>how organisations should and shouldn’t act</w:t>
      </w:r>
      <w:r w:rsidR="00A574CF">
        <w:t xml:space="preserve">, therefore </w:t>
      </w:r>
      <w:r w:rsidR="00D178BC" w:rsidRPr="008C5BF5">
        <w:t xml:space="preserve">we are still ill equipped to </w:t>
      </w:r>
      <w:r w:rsidR="00155D2C" w:rsidRPr="008C5BF5">
        <w:t xml:space="preserve">be able to determine what </w:t>
      </w:r>
      <w:r w:rsidR="00D178BC" w:rsidRPr="008C5BF5">
        <w:t>will protect us</w:t>
      </w:r>
      <w:r w:rsidR="00155D2C" w:rsidRPr="008C5BF5">
        <w:t xml:space="preserve"> as an organisation</w:t>
      </w:r>
      <w:r w:rsidR="00D178BC" w:rsidRPr="008C5BF5">
        <w:t xml:space="preserve">. </w:t>
      </w:r>
      <w:r w:rsidR="00A25B69" w:rsidRPr="008C5BF5">
        <w:t>There</w:t>
      </w:r>
      <w:r w:rsidR="00A25B69">
        <w:t xml:space="preserve"> is more case law into this that will be explored in more detail in the research report. However</w:t>
      </w:r>
      <w:r w:rsidR="000923F9">
        <w:t xml:space="preserve">, if more case law keeps happening we need to act soon to ensure we equip ourselves </w:t>
      </w:r>
      <w:r w:rsidR="008C5BF5">
        <w:t xml:space="preserve">to </w:t>
      </w:r>
      <w:r w:rsidR="000923F9">
        <w:t xml:space="preserve"> supporting women experiencing menopause symptom</w:t>
      </w:r>
      <w:r w:rsidR="00A574CF">
        <w:t xml:space="preserve"> and avoid any legal implications.</w:t>
      </w:r>
    </w:p>
    <w:p w14:paraId="7BAD4FE5" w14:textId="1E8F3A13" w:rsidR="0004309C" w:rsidRDefault="008260F2" w:rsidP="00FE4D93">
      <w:pPr>
        <w:tabs>
          <w:tab w:val="left" w:pos="2010"/>
        </w:tabs>
        <w:rPr>
          <w:b/>
          <w:bCs/>
          <w:u w:val="single"/>
        </w:rPr>
      </w:pPr>
      <w:r w:rsidRPr="00DD0901">
        <w:rPr>
          <w:b/>
          <w:bCs/>
          <w:u w:val="single"/>
        </w:rPr>
        <w:t>Methodology</w:t>
      </w:r>
    </w:p>
    <w:p w14:paraId="7B7113AE" w14:textId="312AB108" w:rsidR="00FE721D" w:rsidRDefault="002671A8" w:rsidP="001B7A7A">
      <w:r>
        <w:t xml:space="preserve">Existing studies into menopause have adopted a cross-sectional, quantitative approach and although quantitative approaches for example are useful as they can reach a large audience quickly, it offers a less in depth form of research (House of commons, 2022; Munn et al , 2022). </w:t>
      </w:r>
      <w:r w:rsidR="00E013FD">
        <w:t>To</w:t>
      </w:r>
      <w:r w:rsidR="008260F2">
        <w:t xml:space="preserve"> conduct the research a </w:t>
      </w:r>
      <w:r w:rsidR="00D63CA4">
        <w:t xml:space="preserve">qualitative methodology will be used as qualitative data is used to understand a complex reality (Quiros, Faria and Almeida, 2017). </w:t>
      </w:r>
      <w:r w:rsidR="00FE721D">
        <w:t xml:space="preserve">Qualitative research will be used rather than quantitative </w:t>
      </w:r>
      <w:r w:rsidR="002431D4">
        <w:t xml:space="preserve">research as qualitative research offers a more complex outcome (Sofaer, 1999) </w:t>
      </w:r>
      <w:r w:rsidR="002431D4" w:rsidRPr="002431D4">
        <w:t>take</w:t>
      </w:r>
      <w:r w:rsidR="002431D4">
        <w:t>s</w:t>
      </w:r>
      <w:r w:rsidR="002431D4" w:rsidRPr="002431D4">
        <w:t xml:space="preserve"> a </w:t>
      </w:r>
      <w:r w:rsidR="002431D4">
        <w:t xml:space="preserve">more </w:t>
      </w:r>
      <w:r w:rsidR="002431D4" w:rsidRPr="002431D4">
        <w:t>holistic perspective</w:t>
      </w:r>
      <w:r w:rsidR="002431D4">
        <w:t xml:space="preserve"> by addressing the </w:t>
      </w:r>
      <w:r w:rsidR="002431D4" w:rsidRPr="002431D4">
        <w:t>complexities of human behaviour</w:t>
      </w:r>
      <w:r w:rsidR="000D4294">
        <w:t xml:space="preserve"> and using how and why questions  (</w:t>
      </w:r>
      <w:r w:rsidR="000D4294" w:rsidRPr="000D4294">
        <w:t>Lakshman</w:t>
      </w:r>
      <w:r w:rsidR="000D4294">
        <w:t>,2020).</w:t>
      </w:r>
      <w:r w:rsidR="00AF60A3">
        <w:t xml:space="preserve"> </w:t>
      </w:r>
    </w:p>
    <w:p w14:paraId="65510F41" w14:textId="66EBD120" w:rsidR="00D63CA4" w:rsidRDefault="00D63CA4" w:rsidP="00E907B7">
      <w:r>
        <w:t xml:space="preserve">Semi – structured interviews will be used as </w:t>
      </w:r>
      <w:r w:rsidR="002671A8">
        <w:t xml:space="preserve">it </w:t>
      </w:r>
      <w:r>
        <w:t>ensure</w:t>
      </w:r>
      <w:r w:rsidR="002671A8">
        <w:t>s</w:t>
      </w:r>
      <w:r>
        <w:t xml:space="preserve"> the interview</w:t>
      </w:r>
      <w:r w:rsidR="002A5C0E">
        <w:t>er</w:t>
      </w:r>
      <w:r>
        <w:t>s maintain</w:t>
      </w:r>
      <w:r w:rsidR="002A5C0E">
        <w:t>s</w:t>
      </w:r>
      <w:r>
        <w:t xml:space="preserve"> focus and the opportunity to explore relevant ideas that may come out of conversations (</w:t>
      </w:r>
      <w:r w:rsidRPr="00D63CA4">
        <w:t>Adeoye</w:t>
      </w:r>
      <w:r w:rsidRPr="00D63CA4">
        <w:rPr>
          <w:rFonts w:ascii="Cambria Math" w:hAnsi="Cambria Math" w:cs="Cambria Math"/>
        </w:rPr>
        <w:t>‐</w:t>
      </w:r>
      <w:r w:rsidRPr="00D63CA4">
        <w:t>Olatunde</w:t>
      </w:r>
      <w:r>
        <w:t xml:space="preserve"> </w:t>
      </w:r>
      <w:r w:rsidRPr="00D63CA4">
        <w:t>and Olenik, 2021</w:t>
      </w:r>
      <w:r>
        <w:t>).</w:t>
      </w:r>
      <w:r w:rsidR="00E907B7">
        <w:t xml:space="preserve"> Although there will still be a cross -sectional and mono-method approach taken by just conducting interviews at one point in time, using interviews </w:t>
      </w:r>
      <w:r w:rsidR="001811F8">
        <w:t xml:space="preserve">(qualitative) </w:t>
      </w:r>
      <w:r w:rsidR="00E907B7">
        <w:t>rather than questionnaires</w:t>
      </w:r>
      <w:r w:rsidR="001811F8">
        <w:t xml:space="preserve"> (quantitative) </w:t>
      </w:r>
      <w:r w:rsidR="00E907B7">
        <w:t xml:space="preserve"> aims to </w:t>
      </w:r>
      <w:r>
        <w:t>offer more</w:t>
      </w:r>
      <w:r w:rsidR="00E907B7">
        <w:t xml:space="preserve"> of</w:t>
      </w:r>
      <w:r>
        <w:t xml:space="preserve"> </w:t>
      </w:r>
      <w:r w:rsidR="00E907B7">
        <w:t xml:space="preserve">an </w:t>
      </w:r>
      <w:r>
        <w:t>insight</w:t>
      </w:r>
      <w:r w:rsidR="001811F8">
        <w:t xml:space="preserve"> </w:t>
      </w:r>
      <w:r>
        <w:t>(</w:t>
      </w:r>
      <w:r w:rsidR="00215D99">
        <w:t>Knott et al, 2022</w:t>
      </w:r>
      <w:r>
        <w:t>).</w:t>
      </w:r>
      <w:r w:rsidR="00F132C3">
        <w:t xml:space="preserve">  </w:t>
      </w:r>
    </w:p>
    <w:p w14:paraId="4EDE759A" w14:textId="33C6A518" w:rsidR="002C673A" w:rsidRDefault="00F132C3" w:rsidP="00FE4D93">
      <w:r>
        <w:lastRenderedPageBreak/>
        <w:t>The study will take an interpretivist approach</w:t>
      </w:r>
      <w:r w:rsidR="001B7A7A">
        <w:t xml:space="preserve"> </w:t>
      </w:r>
      <w:r>
        <w:t xml:space="preserve">to understand </w:t>
      </w:r>
      <w:r w:rsidR="00224380">
        <w:t>people’s</w:t>
      </w:r>
      <w:r>
        <w:t xml:space="preserve"> perceptions of the world and shared understandings (</w:t>
      </w:r>
      <w:r w:rsidR="00394748" w:rsidRPr="00394748">
        <w:t>Anderson, V.</w:t>
      </w:r>
      <w:r w:rsidR="00394748">
        <w:t xml:space="preserve"> and Fontinha</w:t>
      </w:r>
      <w:r w:rsidR="00394748" w:rsidRPr="00394748">
        <w:t>, 20</w:t>
      </w:r>
      <w:r w:rsidR="00394748">
        <w:t>24</w:t>
      </w:r>
      <w:r w:rsidR="00394748" w:rsidRPr="00394748">
        <w:t>.</w:t>
      </w:r>
      <w:r>
        <w:t>)</w:t>
      </w:r>
      <w:r w:rsidR="00394748">
        <w:t xml:space="preserve">. </w:t>
      </w:r>
      <w:r w:rsidR="00224380">
        <w:t xml:space="preserve">This type of </w:t>
      </w:r>
      <w:r w:rsidR="00160679">
        <w:t xml:space="preserve">research </w:t>
      </w:r>
      <w:r>
        <w:t>approach is often seen as more valuable</w:t>
      </w:r>
      <w:r w:rsidR="00FE4D93">
        <w:t xml:space="preserve"> and </w:t>
      </w:r>
      <w:r>
        <w:t xml:space="preserve"> </w:t>
      </w:r>
      <w:r w:rsidR="00FE4D93">
        <w:t xml:space="preserve">insightful </w:t>
      </w:r>
      <w:r>
        <w:t>with regards to research</w:t>
      </w:r>
      <w:r w:rsidR="00160679">
        <w:t xml:space="preserve"> </w:t>
      </w:r>
      <w:r>
        <w:t xml:space="preserve"> (</w:t>
      </w:r>
      <w:r w:rsidR="00394748" w:rsidRPr="00394748">
        <w:t>Anderson, V.</w:t>
      </w:r>
      <w:r w:rsidR="00394748">
        <w:t xml:space="preserve"> and Fontinha</w:t>
      </w:r>
      <w:r w:rsidR="00394748" w:rsidRPr="00394748">
        <w:t>, 20</w:t>
      </w:r>
      <w:r w:rsidR="00394748">
        <w:t>24)</w:t>
      </w:r>
      <w:r w:rsidR="00F26267">
        <w:t xml:space="preserve"> b</w:t>
      </w:r>
      <w:r w:rsidR="00FE4D93">
        <w:t xml:space="preserve">y giving a deeper insight into the social context  </w:t>
      </w:r>
      <w:r w:rsidR="00FE4D93" w:rsidRPr="00FE4D93">
        <w:t xml:space="preserve">(Creswell, 2007). </w:t>
      </w:r>
      <w:r w:rsidR="00FE4D93">
        <w:t>It allows for the research to investigate things that can’t necessarily be observed  by probing the interview</w:t>
      </w:r>
      <w:r w:rsidR="005D6CD0">
        <w:t>ee</w:t>
      </w:r>
      <w:r w:rsidR="00FE4D93">
        <w:t xml:space="preserve">s thoughts, feelings and perceptions </w:t>
      </w:r>
      <w:r w:rsidR="00FE4D93" w:rsidRPr="00FE4D93">
        <w:t>(Wellington &amp; Szczerbinski, 2007).</w:t>
      </w:r>
    </w:p>
    <w:p w14:paraId="606F1622" w14:textId="0C2545D7" w:rsidR="00E907B7" w:rsidRDefault="00E907B7" w:rsidP="00E907B7">
      <w:r>
        <w:t xml:space="preserve">An hermeneutic phenomenon approach will be used as it is a combination of </w:t>
      </w:r>
      <w:r w:rsidRPr="00160679">
        <w:t>theory, reflection and practice</w:t>
      </w:r>
      <w:r>
        <w:t xml:space="preserve"> as an experience they have lived while combining it with the interpretation of its meaning (Friesen et al, 2012)</w:t>
      </w:r>
      <w:r w:rsidR="002A5C0E">
        <w:t>, and real life insights into the topic.</w:t>
      </w:r>
      <w:r>
        <w:t xml:space="preserve"> </w:t>
      </w:r>
    </w:p>
    <w:p w14:paraId="040D4FB7" w14:textId="5BF275EF" w:rsidR="00C43514" w:rsidRDefault="00C37AC8" w:rsidP="00C43514">
      <w:r>
        <w:t>To ensure the objectives are met through the interview questions 3 – 5 questions will be asked to address each of the 3 objectives, ensuring no more than 15 questions are asked (</w:t>
      </w:r>
      <w:r w:rsidR="00433B59">
        <w:t>Roberts, 2020</w:t>
      </w:r>
      <w:r>
        <w:t xml:space="preserve">). </w:t>
      </w:r>
      <w:r w:rsidR="00C43514">
        <w:t>Having reliable and valid research is important for it to be credible. The reliability will depend on the questions being asked (Singh,2017)</w:t>
      </w:r>
      <w:r w:rsidR="00E013FD">
        <w:t xml:space="preserve">. </w:t>
      </w:r>
      <w:r w:rsidR="00C43514">
        <w:t>When compiling the questions it needs to be considered that the questions if asked at another point in time would result in the same outcome in the same conditions (</w:t>
      </w:r>
      <w:proofErr w:type="spellStart"/>
      <w:r w:rsidR="00C43514">
        <w:t>Voxco</w:t>
      </w:r>
      <w:proofErr w:type="spellEnd"/>
      <w:r w:rsidR="00C43514">
        <w:t>, 2024). This will need to be a consideration throughout when conducting the research.</w:t>
      </w:r>
    </w:p>
    <w:p w14:paraId="6363F1D1" w14:textId="10F78DF3" w:rsidR="00C43514" w:rsidRDefault="00E907B7" w:rsidP="00C37AC8">
      <w:r>
        <w:t xml:space="preserve">An inductive design will be used as it </w:t>
      </w:r>
      <w:r w:rsidRPr="002C673A">
        <w:t xml:space="preserve">provides an easily used and systematic set of procedures for analysing qualitative data </w:t>
      </w:r>
      <w:r>
        <w:t xml:space="preserve"> (Thomas, 2006) Data is gather</w:t>
      </w:r>
      <w:r w:rsidR="005D6CD0">
        <w:t>ed</w:t>
      </w:r>
      <w:r>
        <w:t xml:space="preserve"> with the aim of exploring what is happening before then providing an explanation</w:t>
      </w:r>
      <w:r w:rsidR="009D47F1">
        <w:t xml:space="preserve"> </w:t>
      </w:r>
      <w:r>
        <w:t>(</w:t>
      </w:r>
      <w:r w:rsidRPr="00394748">
        <w:t>Anderson, V.</w:t>
      </w:r>
      <w:r>
        <w:t xml:space="preserve"> and Fontinha</w:t>
      </w:r>
      <w:r w:rsidRPr="00394748">
        <w:t>, 20</w:t>
      </w:r>
      <w:r>
        <w:t>24).</w:t>
      </w:r>
      <w:r w:rsidR="005D6CD0">
        <w:t xml:space="preserve"> </w:t>
      </w:r>
    </w:p>
    <w:p w14:paraId="24401274" w14:textId="4DD642E4" w:rsidR="00BC3793" w:rsidRDefault="00C43514" w:rsidP="00C43514">
      <w:r>
        <w:t xml:space="preserve">Following the interviews </w:t>
      </w:r>
      <w:proofErr w:type="spellStart"/>
      <w:r w:rsidR="005D6CD0">
        <w:t>Nvivo</w:t>
      </w:r>
      <w:proofErr w:type="spellEnd"/>
      <w:r w:rsidR="002671A8">
        <w:t xml:space="preserve"> the statistical analysis tool</w:t>
      </w:r>
      <w:r w:rsidR="005D6CD0">
        <w:t xml:space="preserve"> </w:t>
      </w:r>
      <w:r>
        <w:t xml:space="preserve">will be used to </w:t>
      </w:r>
      <w:r w:rsidR="005D6CD0">
        <w:t xml:space="preserve">review the data </w:t>
      </w:r>
      <w:r>
        <w:t xml:space="preserve">and analyse key themes from the interviews. </w:t>
      </w:r>
      <w:proofErr w:type="spellStart"/>
      <w:r w:rsidR="002D00C8">
        <w:t>Nvivo</w:t>
      </w:r>
      <w:proofErr w:type="spellEnd"/>
      <w:r w:rsidR="002D00C8">
        <w:t xml:space="preserve"> is useful to help sort, organise and analyse qualitative data, and has been argued can improve the quality of the analysis (</w:t>
      </w:r>
      <w:proofErr w:type="spellStart"/>
      <w:r w:rsidR="002D00C8" w:rsidRPr="002D00C8">
        <w:t>Røddesnes</w:t>
      </w:r>
      <w:proofErr w:type="spellEnd"/>
      <w:r w:rsidR="002D00C8">
        <w:t>,</w:t>
      </w:r>
      <w:r w:rsidR="002D00C8" w:rsidRPr="002D00C8">
        <w:t xml:space="preserve"> Faber</w:t>
      </w:r>
      <w:r w:rsidR="002D00C8">
        <w:t>, &amp;</w:t>
      </w:r>
      <w:r w:rsidR="002D00C8" w:rsidRPr="002D00C8">
        <w:t xml:space="preserve"> Jensen</w:t>
      </w:r>
      <w:r w:rsidR="002A2BEA">
        <w:t>, 2019).</w:t>
      </w:r>
      <w:r w:rsidR="002671A8">
        <w:t xml:space="preserve"> </w:t>
      </w:r>
      <w:r w:rsidR="00E907B7">
        <w:t xml:space="preserve">The final part of the research will include looking at the data collected from the </w:t>
      </w:r>
      <w:r w:rsidR="001811F8">
        <w:t>primary</w:t>
      </w:r>
      <w:r w:rsidR="00E907B7">
        <w:t xml:space="preserve"> research alongside secondary </w:t>
      </w:r>
      <w:r w:rsidR="001811F8">
        <w:t xml:space="preserve">research to determine </w:t>
      </w:r>
      <w:r w:rsidR="00A850B7">
        <w:t xml:space="preserve">any </w:t>
      </w:r>
      <w:r w:rsidR="001811F8">
        <w:t>themes.</w:t>
      </w:r>
      <w:r w:rsidR="00EB5FF2">
        <w:t xml:space="preserve"> </w:t>
      </w:r>
    </w:p>
    <w:p w14:paraId="6302713F" w14:textId="7D3C5739" w:rsidR="00AA16A1" w:rsidRDefault="00160679" w:rsidP="00AA16A1">
      <w:pPr>
        <w:rPr>
          <w:b/>
          <w:bCs/>
          <w:u w:val="single"/>
        </w:rPr>
      </w:pPr>
      <w:r w:rsidRPr="00DD0901">
        <w:rPr>
          <w:b/>
          <w:bCs/>
          <w:u w:val="single"/>
        </w:rPr>
        <w:t>Sample size</w:t>
      </w:r>
    </w:p>
    <w:p w14:paraId="67BAC9D9" w14:textId="6035D41B" w:rsidR="00B76A3E" w:rsidRDefault="001B7A7A" w:rsidP="001B7A7A">
      <w:r>
        <w:t>T</w:t>
      </w:r>
      <w:r w:rsidR="00695FC2">
        <w:t>his research will use a</w:t>
      </w:r>
      <w:r w:rsidR="009D47F1">
        <w:t xml:space="preserve"> stratified sampling approach</w:t>
      </w:r>
      <w:r w:rsidR="00695FC2">
        <w:t xml:space="preserve">, as </w:t>
      </w:r>
      <w:r w:rsidR="00695FC2" w:rsidRPr="00695FC2">
        <w:t xml:space="preserve">a method of sampling </w:t>
      </w:r>
      <w:r w:rsidR="00695FC2">
        <w:t xml:space="preserve">involving </w:t>
      </w:r>
      <w:r w:rsidR="00695FC2" w:rsidRPr="00695FC2">
        <w:t>the division of a population into smaller subgroups</w:t>
      </w:r>
      <w:r w:rsidR="00695FC2">
        <w:t xml:space="preserve">, this is also </w:t>
      </w:r>
      <w:r w:rsidR="00695FC2" w:rsidRPr="00695FC2">
        <w:t>known as strata</w:t>
      </w:r>
      <w:r w:rsidR="00695FC2">
        <w:t xml:space="preserve">, as the sample captures </w:t>
      </w:r>
      <w:r w:rsidR="00695FC2" w:rsidRPr="00EC5476">
        <w:t>the key population characteristics (Beer, 2024).</w:t>
      </w:r>
      <w:r>
        <w:t xml:space="preserve"> T</w:t>
      </w:r>
      <w:r w:rsidR="00EC5476" w:rsidRPr="00EC5476">
        <w:t>he sample</w:t>
      </w:r>
      <w:r w:rsidR="00EC5476">
        <w:t xml:space="preserve"> </w:t>
      </w:r>
      <w:r w:rsidR="002C673A">
        <w:t xml:space="preserve">size </w:t>
      </w:r>
      <w:r>
        <w:t xml:space="preserve">for qualitative research </w:t>
      </w:r>
      <w:r w:rsidR="00EC5476">
        <w:t>c</w:t>
      </w:r>
      <w:r w:rsidR="002C673A">
        <w:t>an be difficult to determine,</w:t>
      </w:r>
      <w:r w:rsidR="00695FC2">
        <w:t xml:space="preserve"> as research has shown there is no simple solution </w:t>
      </w:r>
      <w:r w:rsidR="00FE721D">
        <w:t>and there is not an ideal size (</w:t>
      </w:r>
      <w:r w:rsidR="001C224F">
        <w:t>Peterson, 2022</w:t>
      </w:r>
      <w:r w:rsidR="00FE721D">
        <w:t>)</w:t>
      </w:r>
      <w:r w:rsidR="00695FC2">
        <w:t>.</w:t>
      </w:r>
      <w:r w:rsidR="00C43514">
        <w:t xml:space="preserve"> For interviews the</w:t>
      </w:r>
      <w:r w:rsidR="00695FC2">
        <w:t xml:space="preserve"> sample size </w:t>
      </w:r>
      <w:r w:rsidR="00C43514">
        <w:t>will be smaller, in this research they will</w:t>
      </w:r>
      <w:r w:rsidR="002671A8">
        <w:t xml:space="preserve"> looking</w:t>
      </w:r>
      <w:r w:rsidR="00695FC2">
        <w:t xml:space="preserve"> at 10 </w:t>
      </w:r>
      <w:r>
        <w:t xml:space="preserve">participants </w:t>
      </w:r>
      <w:r w:rsidR="00695FC2">
        <w:t>or until it reaches saturation (Hennick, 2022)</w:t>
      </w:r>
      <w:r w:rsidR="002671A8">
        <w:t>.</w:t>
      </w:r>
    </w:p>
    <w:p w14:paraId="33AD1F55" w14:textId="56C8742D" w:rsidR="00E65395" w:rsidRPr="002D00C8" w:rsidRDefault="00C21CBF" w:rsidP="002D00C8">
      <w:pPr>
        <w:rPr>
          <w:b/>
          <w:bCs/>
          <w:u w:val="single"/>
        </w:rPr>
      </w:pPr>
      <w:r w:rsidRPr="00C21CBF">
        <w:rPr>
          <w:b/>
          <w:bCs/>
          <w:u w:val="single"/>
        </w:rPr>
        <w:t>Ethical issues</w:t>
      </w:r>
    </w:p>
    <w:p w14:paraId="6A4C09CC" w14:textId="77E980CC" w:rsidR="00F3434B" w:rsidRDefault="00FB287A" w:rsidP="002D00C8">
      <w:r>
        <w:lastRenderedPageBreak/>
        <w:t>T</w:t>
      </w:r>
      <w:r w:rsidR="002A5C0E">
        <w:t>o ensure there are no ethical issues t</w:t>
      </w:r>
      <w:r w:rsidR="004A0DE3">
        <w:t xml:space="preserve">he research will need to </w:t>
      </w:r>
      <w:r w:rsidR="004A0DE3" w:rsidRPr="007433A4">
        <w:t>conf</w:t>
      </w:r>
      <w:r w:rsidR="00E65395">
        <w:t>or</w:t>
      </w:r>
      <w:r w:rsidR="004A0DE3" w:rsidRPr="007433A4">
        <w:t>m to the university’s ethical code of practice and make sure all findings are presenting in an unbiased and objective way</w:t>
      </w:r>
      <w:r w:rsidR="00836AC8">
        <w:t xml:space="preserve"> (UWTSD, 2023)</w:t>
      </w:r>
      <w:r w:rsidR="002A5C0E">
        <w:t xml:space="preserve">. The interviewees will be conducted over </w:t>
      </w:r>
      <w:r w:rsidR="002A2BEA">
        <w:t>Microsoft Teams</w:t>
      </w:r>
      <w:r w:rsidR="002A5C0E">
        <w:t xml:space="preserve"> to ensure  the interviewee has more control and choice over where they want to be during the interview.</w:t>
      </w:r>
      <w:r w:rsidR="002D00C8">
        <w:t xml:space="preserve"> This will hopefully ensure the interviewees feel more comfortable during the interview, when interviewees are more relaxed they are more likely to conduct a more open responses(</w:t>
      </w:r>
      <w:r w:rsidR="001F7246">
        <w:t>Knott, 2022</w:t>
      </w:r>
      <w:r w:rsidR="002D00C8">
        <w:t xml:space="preserve">). This </w:t>
      </w:r>
      <w:r w:rsidR="00E65395">
        <w:t xml:space="preserve">will </w:t>
      </w:r>
      <w:r>
        <w:t xml:space="preserve">help to ensure confidentiality is maintained for the participants. </w:t>
      </w:r>
      <w:r w:rsidR="00EE03CD">
        <w:t>I</w:t>
      </w:r>
      <w:r>
        <w:t>f not this could have a potential risk to the reputation of the university in general, especially the HR department (</w:t>
      </w:r>
      <w:r w:rsidR="00EE03CD" w:rsidRPr="00EE03CD">
        <w:t>Stitzlein</w:t>
      </w:r>
      <w:r w:rsidR="00EE03CD">
        <w:t>, 2021</w:t>
      </w:r>
      <w:r>
        <w:t xml:space="preserve">).   </w:t>
      </w:r>
    </w:p>
    <w:p w14:paraId="16C06839" w14:textId="4381564E" w:rsidR="00FB287A" w:rsidRDefault="004A0DE3" w:rsidP="00F3434B">
      <w:r>
        <w:t>Confidentiality</w:t>
      </w:r>
      <w:r w:rsidR="00FB287A">
        <w:t xml:space="preserve"> may be a concern for some participants especially those who </w:t>
      </w:r>
      <w:r>
        <w:t xml:space="preserve">experience anxiety and /or stress, potentially due to the menopause </w:t>
      </w:r>
      <w:r w:rsidR="00EE03CD">
        <w:t xml:space="preserve">as these are symptoms associated with the menopause </w:t>
      </w:r>
      <w:r>
        <w:t>(</w:t>
      </w:r>
      <w:r w:rsidR="00836AC8">
        <w:t>NHS, 2022</w:t>
      </w:r>
      <w:r>
        <w:t>). The research process could trigger their symptoms</w:t>
      </w:r>
      <w:r w:rsidR="00E013FD">
        <w:t>,</w:t>
      </w:r>
      <w:r>
        <w:t xml:space="preserve"> ensuring the resources and appropriate support available to them through the university </w:t>
      </w:r>
      <w:r w:rsidR="00C43514">
        <w:t>is on hand will be useful</w:t>
      </w:r>
      <w:r>
        <w:t>, for example</w:t>
      </w:r>
      <w:r w:rsidR="00C43514">
        <w:t xml:space="preserve"> the</w:t>
      </w:r>
      <w:r>
        <w:t xml:space="preserve"> occupational health and </w:t>
      </w:r>
      <w:r w:rsidR="00836AC8">
        <w:t>o</w:t>
      </w:r>
      <w:r>
        <w:t>nline resources(</w:t>
      </w:r>
      <w:r w:rsidR="00836AC8">
        <w:t>UWTSD, 2024</w:t>
      </w:r>
      <w:r w:rsidR="005658BD">
        <w:t>b</w:t>
      </w:r>
      <w:r w:rsidR="00836AC8">
        <w:t>)</w:t>
      </w:r>
      <w:r w:rsidR="00C43514">
        <w:t>.</w:t>
      </w:r>
    </w:p>
    <w:p w14:paraId="17E1D0FB" w14:textId="35A03362" w:rsidR="004A0DE3" w:rsidRDefault="004A0DE3" w:rsidP="004A0DE3">
      <w:r>
        <w:t>Ensure it is made clear to the participants that their involvement and contribution to the research is purely voluntary (</w:t>
      </w:r>
      <w:r w:rsidR="00ED1582">
        <w:t xml:space="preserve">Bull &amp; </w:t>
      </w:r>
      <w:proofErr w:type="spellStart"/>
      <w:r w:rsidR="00ED1582">
        <w:t>Lindegger</w:t>
      </w:r>
      <w:proofErr w:type="spellEnd"/>
      <w:r w:rsidR="00ED1582">
        <w:t>, 2011</w:t>
      </w:r>
      <w:r>
        <w:t>) and that any data will be stored safely.</w:t>
      </w:r>
    </w:p>
    <w:p w14:paraId="68D678AF" w14:textId="4FD9DEAE" w:rsidR="00C21CBF" w:rsidRDefault="00C21CBF" w:rsidP="00C21CBF">
      <w:pPr>
        <w:rPr>
          <w:b/>
          <w:bCs/>
          <w:u w:val="single"/>
        </w:rPr>
      </w:pPr>
      <w:r w:rsidRPr="00C21CBF">
        <w:rPr>
          <w:b/>
          <w:bCs/>
          <w:u w:val="single"/>
        </w:rPr>
        <w:t>Access issues</w:t>
      </w:r>
    </w:p>
    <w:p w14:paraId="1E0E5054" w14:textId="297A2B8F" w:rsidR="002A2BEA" w:rsidRDefault="00C37AC8" w:rsidP="0094589D">
      <w:r>
        <w:t xml:space="preserve">Ensuring a cross section of participants are used across the different campus locations, this could create access issues, as </w:t>
      </w:r>
      <w:r w:rsidR="00C43514">
        <w:t>the university has</w:t>
      </w:r>
      <w:r>
        <w:t xml:space="preserve"> campuses in England and Wales  so to cover these areas would be difficult. To ensure</w:t>
      </w:r>
      <w:r w:rsidR="002A2BEA">
        <w:t xml:space="preserve"> women based on </w:t>
      </w:r>
      <w:r>
        <w:t xml:space="preserve"> all</w:t>
      </w:r>
      <w:r w:rsidR="002A2BEA">
        <w:t xml:space="preserve"> UWTSD</w:t>
      </w:r>
      <w:r>
        <w:t xml:space="preserve"> campus locations </w:t>
      </w:r>
      <w:r w:rsidR="002A2BEA">
        <w:t>can be included in the research Microsoft</w:t>
      </w:r>
      <w:r>
        <w:t xml:space="preserve"> teams </w:t>
      </w:r>
      <w:r w:rsidR="002A2BEA">
        <w:t>w</w:t>
      </w:r>
      <w:r>
        <w:t>ill be</w:t>
      </w:r>
      <w:r w:rsidR="002A2BEA">
        <w:t xml:space="preserve"> used</w:t>
      </w:r>
      <w:r>
        <w:t xml:space="preserve"> as a means of conduction the interview</w:t>
      </w:r>
      <w:r w:rsidR="0094589D">
        <w:t>. T</w:t>
      </w:r>
      <w:r w:rsidR="00694E41">
        <w:t xml:space="preserve">here are some limitations to the research, for example </w:t>
      </w:r>
      <w:r w:rsidR="002A2BEA">
        <w:t>women who don’t use a computer as part of their role won’t receive the email inviting them to participate in the research nor will they have access to a computer to conduct the interviews,. Unfortunately this means part of the population will be excluded from the research.</w:t>
      </w:r>
    </w:p>
    <w:p w14:paraId="660AFA85" w14:textId="09CB7EC3" w:rsidR="009E1F1F" w:rsidRDefault="00694E41" w:rsidP="0094589D">
      <w:r>
        <w:t>I will be working on this alongside a full time job and a family.</w:t>
      </w:r>
      <w:r w:rsidR="009E1F1F">
        <w:t xml:space="preserve"> Meaning there are time restraints on when research can be conducted.</w:t>
      </w:r>
      <w:r>
        <w:t xml:space="preserve"> With regards to resource</w:t>
      </w:r>
      <w:r w:rsidR="009E1F1F">
        <w:t xml:space="preserve"> required for the research this will be the NVIVO programme, my work laptop, all of which are provided by the university. </w:t>
      </w:r>
    </w:p>
    <w:p w14:paraId="66F28332" w14:textId="17F01054" w:rsidR="001613C8" w:rsidRPr="00FB287A" w:rsidRDefault="00FB287A" w:rsidP="00160679">
      <w:pPr>
        <w:rPr>
          <w:b/>
          <w:bCs/>
          <w:u w:val="single"/>
        </w:rPr>
      </w:pPr>
      <w:r w:rsidRPr="00FB287A">
        <w:rPr>
          <w:b/>
          <w:bCs/>
          <w:u w:val="single"/>
        </w:rPr>
        <w:t>Time scales</w:t>
      </w:r>
    </w:p>
    <w:p w14:paraId="21528EF7" w14:textId="2CCEBB35" w:rsidR="001613C8" w:rsidRDefault="00694E41" w:rsidP="00160679">
      <w:r>
        <w:t>Ensuring a clear time scale is set out and adhered to will help to ensure a smoother research project (</w:t>
      </w:r>
      <w:r w:rsidR="00EB7304">
        <w:t>Negi, 2024</w:t>
      </w:r>
      <w:r>
        <w:t xml:space="preserve">), considering this a </w:t>
      </w:r>
      <w:r w:rsidR="00EC5476">
        <w:t>G</w:t>
      </w:r>
      <w:r>
        <w:t>ant</w:t>
      </w:r>
      <w:r w:rsidR="00C43514">
        <w:t>t</w:t>
      </w:r>
      <w:r>
        <w:t xml:space="preserve"> chart will be used</w:t>
      </w:r>
      <w:r w:rsidR="00020AB4">
        <w:t xml:space="preserve"> </w:t>
      </w:r>
      <w:r w:rsidR="00EB7304">
        <w:t xml:space="preserve">as it is a visual </w:t>
      </w:r>
      <w:r w:rsidR="00EB7304">
        <w:lastRenderedPageBreak/>
        <w:t xml:space="preserve">way to plan a research project which lists the key milestones and tasks required </w:t>
      </w:r>
      <w:r w:rsidR="00020AB4">
        <w:t>(</w:t>
      </w:r>
      <w:proofErr w:type="spellStart"/>
      <w:r w:rsidR="00EB7304">
        <w:t>Teamgantt</w:t>
      </w:r>
      <w:proofErr w:type="spellEnd"/>
      <w:r w:rsidR="00EB7304">
        <w:t xml:space="preserve">, </w:t>
      </w:r>
      <w:r w:rsidR="00C43514">
        <w:t>N</w:t>
      </w:r>
      <w:r w:rsidR="00EB7304">
        <w:t>o date</w:t>
      </w:r>
      <w:r w:rsidR="00020AB4">
        <w:t>).</w:t>
      </w:r>
    </w:p>
    <w:tbl>
      <w:tblPr>
        <w:tblW w:w="9957" w:type="dxa"/>
        <w:tblInd w:w="-472" w:type="dxa"/>
        <w:tblLook w:val="04A0" w:firstRow="1" w:lastRow="0" w:firstColumn="1" w:lastColumn="0" w:noHBand="0" w:noVBand="1"/>
      </w:tblPr>
      <w:tblGrid>
        <w:gridCol w:w="3896"/>
        <w:gridCol w:w="1118"/>
        <w:gridCol w:w="1123"/>
        <w:gridCol w:w="881"/>
        <w:gridCol w:w="985"/>
        <w:gridCol w:w="761"/>
        <w:gridCol w:w="624"/>
        <w:gridCol w:w="569"/>
      </w:tblGrid>
      <w:tr w:rsidR="00EC5476" w:rsidRPr="00EC5476" w14:paraId="7B31A81B" w14:textId="77777777" w:rsidTr="00EC5476">
        <w:trPr>
          <w:trHeight w:val="285"/>
        </w:trPr>
        <w:tc>
          <w:tcPr>
            <w:tcW w:w="38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21B059" w14:textId="77777777" w:rsidR="00EC5476" w:rsidRPr="00EC5476" w:rsidRDefault="00EC5476" w:rsidP="00EC5476">
            <w:pPr>
              <w:spacing w:after="0" w:line="240" w:lineRule="auto"/>
              <w:rPr>
                <w:rFonts w:ascii="Aptos Narrow" w:eastAsia="Times New Roman" w:hAnsi="Aptos Narrow" w:cs="Times New Roman"/>
                <w:color w:val="000000"/>
                <w:kern w:val="0"/>
                <w:sz w:val="21"/>
                <w:szCs w:val="21"/>
                <w14:ligatures w14:val="none"/>
              </w:rPr>
            </w:pPr>
            <w:r w:rsidRPr="00EC5476">
              <w:rPr>
                <w:rFonts w:ascii="Aptos Narrow" w:eastAsia="Times New Roman" w:hAnsi="Aptos Narrow" w:cs="Times New Roman"/>
                <w:color w:val="000000"/>
                <w:kern w:val="0"/>
                <w:sz w:val="21"/>
                <w:szCs w:val="21"/>
                <w14:ligatures w14:val="none"/>
              </w:rPr>
              <w:t> </w:t>
            </w:r>
          </w:p>
        </w:tc>
        <w:tc>
          <w:tcPr>
            <w:tcW w:w="1118" w:type="dxa"/>
            <w:tcBorders>
              <w:top w:val="single" w:sz="4" w:space="0" w:color="auto"/>
              <w:left w:val="nil"/>
              <w:bottom w:val="single" w:sz="4" w:space="0" w:color="auto"/>
              <w:right w:val="single" w:sz="4" w:space="0" w:color="auto"/>
            </w:tcBorders>
            <w:shd w:val="clear" w:color="auto" w:fill="auto"/>
            <w:noWrap/>
            <w:vAlign w:val="bottom"/>
            <w:hideMark/>
          </w:tcPr>
          <w:p w14:paraId="4B774CE7" w14:textId="77777777" w:rsidR="00EC5476" w:rsidRPr="00EC5476" w:rsidRDefault="00EC5476" w:rsidP="00EC5476">
            <w:pPr>
              <w:spacing w:after="0" w:line="240" w:lineRule="auto"/>
              <w:rPr>
                <w:rFonts w:ascii="Aptos Narrow" w:eastAsia="Times New Roman" w:hAnsi="Aptos Narrow" w:cs="Times New Roman"/>
                <w:b/>
                <w:bCs/>
                <w:color w:val="000000"/>
                <w:kern w:val="0"/>
                <w:sz w:val="21"/>
                <w:szCs w:val="21"/>
                <w14:ligatures w14:val="none"/>
              </w:rPr>
            </w:pPr>
            <w:r w:rsidRPr="00EC5476">
              <w:rPr>
                <w:rFonts w:ascii="Aptos Narrow" w:eastAsia="Times New Roman" w:hAnsi="Aptos Narrow" w:cs="Times New Roman"/>
                <w:b/>
                <w:bCs/>
                <w:color w:val="000000"/>
                <w:kern w:val="0"/>
                <w:sz w:val="21"/>
                <w:szCs w:val="21"/>
                <w14:ligatures w14:val="none"/>
              </w:rPr>
              <w:t xml:space="preserve">November </w:t>
            </w:r>
          </w:p>
        </w:tc>
        <w:tc>
          <w:tcPr>
            <w:tcW w:w="1123" w:type="dxa"/>
            <w:tcBorders>
              <w:top w:val="single" w:sz="4" w:space="0" w:color="auto"/>
              <w:left w:val="nil"/>
              <w:bottom w:val="single" w:sz="4" w:space="0" w:color="auto"/>
              <w:right w:val="single" w:sz="4" w:space="0" w:color="auto"/>
            </w:tcBorders>
            <w:shd w:val="clear" w:color="auto" w:fill="auto"/>
            <w:noWrap/>
            <w:vAlign w:val="bottom"/>
            <w:hideMark/>
          </w:tcPr>
          <w:p w14:paraId="3ACE1C73" w14:textId="77777777" w:rsidR="00EC5476" w:rsidRPr="00EC5476" w:rsidRDefault="00EC5476" w:rsidP="00EC5476">
            <w:pPr>
              <w:spacing w:after="0" w:line="240" w:lineRule="auto"/>
              <w:rPr>
                <w:rFonts w:ascii="Aptos Narrow" w:eastAsia="Times New Roman" w:hAnsi="Aptos Narrow" w:cs="Times New Roman"/>
                <w:b/>
                <w:bCs/>
                <w:color w:val="000000"/>
                <w:kern w:val="0"/>
                <w:sz w:val="21"/>
                <w:szCs w:val="21"/>
                <w14:ligatures w14:val="none"/>
              </w:rPr>
            </w:pPr>
            <w:r w:rsidRPr="00EC5476">
              <w:rPr>
                <w:rFonts w:ascii="Aptos Narrow" w:eastAsia="Times New Roman" w:hAnsi="Aptos Narrow" w:cs="Times New Roman"/>
                <w:b/>
                <w:bCs/>
                <w:color w:val="000000"/>
                <w:kern w:val="0"/>
                <w:sz w:val="21"/>
                <w:szCs w:val="21"/>
                <w14:ligatures w14:val="none"/>
              </w:rPr>
              <w:t xml:space="preserve">December </w:t>
            </w:r>
          </w:p>
        </w:tc>
        <w:tc>
          <w:tcPr>
            <w:tcW w:w="881" w:type="dxa"/>
            <w:tcBorders>
              <w:top w:val="single" w:sz="4" w:space="0" w:color="auto"/>
              <w:left w:val="nil"/>
              <w:bottom w:val="single" w:sz="4" w:space="0" w:color="auto"/>
              <w:right w:val="single" w:sz="4" w:space="0" w:color="auto"/>
            </w:tcBorders>
            <w:shd w:val="clear" w:color="auto" w:fill="auto"/>
            <w:noWrap/>
            <w:vAlign w:val="bottom"/>
            <w:hideMark/>
          </w:tcPr>
          <w:p w14:paraId="10263C26" w14:textId="77777777" w:rsidR="00EC5476" w:rsidRPr="00EC5476" w:rsidRDefault="00EC5476" w:rsidP="00EC5476">
            <w:pPr>
              <w:spacing w:after="0" w:line="240" w:lineRule="auto"/>
              <w:rPr>
                <w:rFonts w:ascii="Aptos Narrow" w:eastAsia="Times New Roman" w:hAnsi="Aptos Narrow" w:cs="Times New Roman"/>
                <w:b/>
                <w:bCs/>
                <w:color w:val="000000"/>
                <w:kern w:val="0"/>
                <w:sz w:val="21"/>
                <w:szCs w:val="21"/>
                <w14:ligatures w14:val="none"/>
              </w:rPr>
            </w:pPr>
            <w:r w:rsidRPr="00EC5476">
              <w:rPr>
                <w:rFonts w:ascii="Aptos Narrow" w:eastAsia="Times New Roman" w:hAnsi="Aptos Narrow" w:cs="Times New Roman"/>
                <w:b/>
                <w:bCs/>
                <w:color w:val="000000"/>
                <w:kern w:val="0"/>
                <w:sz w:val="21"/>
                <w:szCs w:val="21"/>
                <w14:ligatures w14:val="none"/>
              </w:rPr>
              <w:t>January</w:t>
            </w:r>
          </w:p>
        </w:tc>
        <w:tc>
          <w:tcPr>
            <w:tcW w:w="985" w:type="dxa"/>
            <w:tcBorders>
              <w:top w:val="single" w:sz="4" w:space="0" w:color="auto"/>
              <w:left w:val="nil"/>
              <w:bottom w:val="single" w:sz="4" w:space="0" w:color="auto"/>
              <w:right w:val="single" w:sz="4" w:space="0" w:color="auto"/>
            </w:tcBorders>
            <w:shd w:val="clear" w:color="auto" w:fill="auto"/>
            <w:noWrap/>
            <w:vAlign w:val="bottom"/>
            <w:hideMark/>
          </w:tcPr>
          <w:p w14:paraId="25DE4583" w14:textId="77777777" w:rsidR="00EC5476" w:rsidRPr="00EC5476" w:rsidRDefault="00EC5476" w:rsidP="00EC5476">
            <w:pPr>
              <w:spacing w:after="0" w:line="240" w:lineRule="auto"/>
              <w:rPr>
                <w:rFonts w:ascii="Aptos Narrow" w:eastAsia="Times New Roman" w:hAnsi="Aptos Narrow" w:cs="Times New Roman"/>
                <w:b/>
                <w:bCs/>
                <w:color w:val="000000"/>
                <w:kern w:val="0"/>
                <w:sz w:val="21"/>
                <w:szCs w:val="21"/>
                <w14:ligatures w14:val="none"/>
              </w:rPr>
            </w:pPr>
            <w:r w:rsidRPr="00EC5476">
              <w:rPr>
                <w:rFonts w:ascii="Aptos Narrow" w:eastAsia="Times New Roman" w:hAnsi="Aptos Narrow" w:cs="Times New Roman"/>
                <w:b/>
                <w:bCs/>
                <w:color w:val="000000"/>
                <w:kern w:val="0"/>
                <w:sz w:val="21"/>
                <w:szCs w:val="21"/>
                <w14:ligatures w14:val="none"/>
              </w:rPr>
              <w:t xml:space="preserve">February </w:t>
            </w:r>
          </w:p>
        </w:tc>
        <w:tc>
          <w:tcPr>
            <w:tcW w:w="761" w:type="dxa"/>
            <w:tcBorders>
              <w:top w:val="single" w:sz="4" w:space="0" w:color="auto"/>
              <w:left w:val="nil"/>
              <w:bottom w:val="single" w:sz="4" w:space="0" w:color="auto"/>
              <w:right w:val="single" w:sz="4" w:space="0" w:color="auto"/>
            </w:tcBorders>
            <w:shd w:val="clear" w:color="auto" w:fill="auto"/>
            <w:noWrap/>
            <w:vAlign w:val="bottom"/>
            <w:hideMark/>
          </w:tcPr>
          <w:p w14:paraId="5B1D85E9" w14:textId="77777777" w:rsidR="00EC5476" w:rsidRPr="00EC5476" w:rsidRDefault="00EC5476" w:rsidP="00EC5476">
            <w:pPr>
              <w:spacing w:after="0" w:line="240" w:lineRule="auto"/>
              <w:rPr>
                <w:rFonts w:ascii="Aptos Narrow" w:eastAsia="Times New Roman" w:hAnsi="Aptos Narrow" w:cs="Times New Roman"/>
                <w:b/>
                <w:bCs/>
                <w:color w:val="000000"/>
                <w:kern w:val="0"/>
                <w:sz w:val="21"/>
                <w:szCs w:val="21"/>
                <w14:ligatures w14:val="none"/>
              </w:rPr>
            </w:pPr>
            <w:r w:rsidRPr="00EC5476">
              <w:rPr>
                <w:rFonts w:ascii="Aptos Narrow" w:eastAsia="Times New Roman" w:hAnsi="Aptos Narrow" w:cs="Times New Roman"/>
                <w:b/>
                <w:bCs/>
                <w:color w:val="000000"/>
                <w:kern w:val="0"/>
                <w:sz w:val="21"/>
                <w:szCs w:val="21"/>
                <w14:ligatures w14:val="none"/>
              </w:rPr>
              <w:t>March</w:t>
            </w:r>
          </w:p>
        </w:tc>
        <w:tc>
          <w:tcPr>
            <w:tcW w:w="624" w:type="dxa"/>
            <w:tcBorders>
              <w:top w:val="single" w:sz="4" w:space="0" w:color="auto"/>
              <w:left w:val="nil"/>
              <w:bottom w:val="single" w:sz="4" w:space="0" w:color="auto"/>
              <w:right w:val="single" w:sz="4" w:space="0" w:color="auto"/>
            </w:tcBorders>
            <w:shd w:val="clear" w:color="auto" w:fill="auto"/>
            <w:noWrap/>
            <w:vAlign w:val="bottom"/>
            <w:hideMark/>
          </w:tcPr>
          <w:p w14:paraId="16A714E3" w14:textId="77777777" w:rsidR="00EC5476" w:rsidRPr="00EC5476" w:rsidRDefault="00EC5476" w:rsidP="00EC5476">
            <w:pPr>
              <w:spacing w:after="0" w:line="240" w:lineRule="auto"/>
              <w:rPr>
                <w:rFonts w:ascii="Aptos Narrow" w:eastAsia="Times New Roman" w:hAnsi="Aptos Narrow" w:cs="Times New Roman"/>
                <w:b/>
                <w:bCs/>
                <w:color w:val="000000"/>
                <w:kern w:val="0"/>
                <w:sz w:val="21"/>
                <w:szCs w:val="21"/>
                <w14:ligatures w14:val="none"/>
              </w:rPr>
            </w:pPr>
            <w:r w:rsidRPr="00EC5476">
              <w:rPr>
                <w:rFonts w:ascii="Aptos Narrow" w:eastAsia="Times New Roman" w:hAnsi="Aptos Narrow" w:cs="Times New Roman"/>
                <w:b/>
                <w:bCs/>
                <w:color w:val="000000"/>
                <w:kern w:val="0"/>
                <w:sz w:val="21"/>
                <w:szCs w:val="21"/>
                <w14:ligatures w14:val="none"/>
              </w:rPr>
              <w:t xml:space="preserve">April </w:t>
            </w:r>
          </w:p>
        </w:tc>
        <w:tc>
          <w:tcPr>
            <w:tcW w:w="569" w:type="dxa"/>
            <w:tcBorders>
              <w:top w:val="single" w:sz="4" w:space="0" w:color="auto"/>
              <w:left w:val="nil"/>
              <w:bottom w:val="single" w:sz="4" w:space="0" w:color="auto"/>
              <w:right w:val="single" w:sz="4" w:space="0" w:color="auto"/>
            </w:tcBorders>
            <w:shd w:val="clear" w:color="auto" w:fill="auto"/>
            <w:noWrap/>
            <w:vAlign w:val="bottom"/>
            <w:hideMark/>
          </w:tcPr>
          <w:p w14:paraId="22D908C1" w14:textId="77777777" w:rsidR="00EC5476" w:rsidRPr="00EC5476" w:rsidRDefault="00EC5476" w:rsidP="00EC5476">
            <w:pPr>
              <w:spacing w:after="0" w:line="240" w:lineRule="auto"/>
              <w:rPr>
                <w:rFonts w:ascii="Aptos Narrow" w:eastAsia="Times New Roman" w:hAnsi="Aptos Narrow" w:cs="Times New Roman"/>
                <w:b/>
                <w:bCs/>
                <w:color w:val="000000"/>
                <w:kern w:val="0"/>
                <w:sz w:val="21"/>
                <w:szCs w:val="21"/>
                <w14:ligatures w14:val="none"/>
              </w:rPr>
            </w:pPr>
            <w:r w:rsidRPr="00EC5476">
              <w:rPr>
                <w:rFonts w:ascii="Aptos Narrow" w:eastAsia="Times New Roman" w:hAnsi="Aptos Narrow" w:cs="Times New Roman"/>
                <w:b/>
                <w:bCs/>
                <w:color w:val="000000"/>
                <w:kern w:val="0"/>
                <w:sz w:val="21"/>
                <w:szCs w:val="21"/>
                <w14:ligatures w14:val="none"/>
              </w:rPr>
              <w:t>May</w:t>
            </w:r>
          </w:p>
        </w:tc>
      </w:tr>
      <w:tr w:rsidR="00EC5476" w:rsidRPr="00EC5476" w14:paraId="2C2CD7D0" w14:textId="77777777" w:rsidTr="00EC5476">
        <w:trPr>
          <w:trHeight w:val="285"/>
        </w:trPr>
        <w:tc>
          <w:tcPr>
            <w:tcW w:w="3896" w:type="dxa"/>
            <w:tcBorders>
              <w:top w:val="nil"/>
              <w:left w:val="single" w:sz="4" w:space="0" w:color="auto"/>
              <w:bottom w:val="single" w:sz="4" w:space="0" w:color="auto"/>
              <w:right w:val="single" w:sz="4" w:space="0" w:color="auto"/>
            </w:tcBorders>
            <w:shd w:val="clear" w:color="auto" w:fill="auto"/>
            <w:noWrap/>
            <w:vAlign w:val="bottom"/>
            <w:hideMark/>
          </w:tcPr>
          <w:p w14:paraId="3B0B0567" w14:textId="77777777" w:rsidR="00EC5476" w:rsidRPr="00EC5476" w:rsidRDefault="00EC5476" w:rsidP="00EC5476">
            <w:pPr>
              <w:spacing w:after="0" w:line="240" w:lineRule="auto"/>
              <w:rPr>
                <w:rFonts w:ascii="Aptos Narrow" w:eastAsia="Times New Roman" w:hAnsi="Aptos Narrow" w:cs="Times New Roman"/>
                <w:b/>
                <w:bCs/>
                <w:color w:val="000000"/>
                <w:kern w:val="0"/>
                <w:sz w:val="21"/>
                <w:szCs w:val="21"/>
                <w14:ligatures w14:val="none"/>
              </w:rPr>
            </w:pPr>
            <w:r w:rsidRPr="00EC5476">
              <w:rPr>
                <w:rFonts w:ascii="Aptos Narrow" w:eastAsia="Times New Roman" w:hAnsi="Aptos Narrow" w:cs="Times New Roman"/>
                <w:b/>
                <w:bCs/>
                <w:color w:val="000000"/>
                <w:kern w:val="0"/>
                <w:sz w:val="21"/>
                <w:szCs w:val="21"/>
                <w14:ligatures w14:val="none"/>
              </w:rPr>
              <w:t>Final approval of research and ethics form</w:t>
            </w:r>
          </w:p>
        </w:tc>
        <w:tc>
          <w:tcPr>
            <w:tcW w:w="1118" w:type="dxa"/>
            <w:tcBorders>
              <w:top w:val="nil"/>
              <w:left w:val="nil"/>
              <w:bottom w:val="single" w:sz="4" w:space="0" w:color="auto"/>
              <w:right w:val="single" w:sz="4" w:space="0" w:color="auto"/>
            </w:tcBorders>
            <w:shd w:val="clear" w:color="000000" w:fill="4D93D9"/>
            <w:noWrap/>
            <w:vAlign w:val="bottom"/>
            <w:hideMark/>
          </w:tcPr>
          <w:p w14:paraId="30DB01FB" w14:textId="77777777" w:rsidR="00EC5476" w:rsidRPr="00EC5476" w:rsidRDefault="00EC5476" w:rsidP="00EC5476">
            <w:pPr>
              <w:spacing w:after="0" w:line="240" w:lineRule="auto"/>
              <w:rPr>
                <w:rFonts w:ascii="Aptos Narrow" w:eastAsia="Times New Roman" w:hAnsi="Aptos Narrow" w:cs="Times New Roman"/>
                <w:color w:val="000000"/>
                <w:kern w:val="0"/>
                <w:sz w:val="21"/>
                <w:szCs w:val="21"/>
                <w14:ligatures w14:val="none"/>
              </w:rPr>
            </w:pPr>
            <w:r w:rsidRPr="00EC5476">
              <w:rPr>
                <w:rFonts w:ascii="Aptos Narrow" w:eastAsia="Times New Roman" w:hAnsi="Aptos Narrow" w:cs="Times New Roman"/>
                <w:color w:val="000000"/>
                <w:kern w:val="0"/>
                <w:sz w:val="21"/>
                <w:szCs w:val="21"/>
                <w14:ligatures w14:val="none"/>
              </w:rPr>
              <w:t> </w:t>
            </w:r>
          </w:p>
        </w:tc>
        <w:tc>
          <w:tcPr>
            <w:tcW w:w="1123" w:type="dxa"/>
            <w:tcBorders>
              <w:top w:val="nil"/>
              <w:left w:val="nil"/>
              <w:bottom w:val="single" w:sz="4" w:space="0" w:color="auto"/>
              <w:right w:val="single" w:sz="4" w:space="0" w:color="auto"/>
            </w:tcBorders>
            <w:shd w:val="clear" w:color="auto" w:fill="auto"/>
            <w:noWrap/>
            <w:vAlign w:val="bottom"/>
            <w:hideMark/>
          </w:tcPr>
          <w:p w14:paraId="5CE7D18C" w14:textId="77777777" w:rsidR="00EC5476" w:rsidRPr="00EC5476" w:rsidRDefault="00EC5476" w:rsidP="00EC5476">
            <w:pPr>
              <w:spacing w:after="0" w:line="240" w:lineRule="auto"/>
              <w:rPr>
                <w:rFonts w:ascii="Aptos Narrow" w:eastAsia="Times New Roman" w:hAnsi="Aptos Narrow" w:cs="Times New Roman"/>
                <w:color w:val="000000"/>
                <w:kern w:val="0"/>
                <w:sz w:val="21"/>
                <w:szCs w:val="21"/>
                <w14:ligatures w14:val="none"/>
              </w:rPr>
            </w:pPr>
            <w:r w:rsidRPr="00EC5476">
              <w:rPr>
                <w:rFonts w:ascii="Aptos Narrow" w:eastAsia="Times New Roman" w:hAnsi="Aptos Narrow" w:cs="Times New Roman"/>
                <w:color w:val="000000"/>
                <w:kern w:val="0"/>
                <w:sz w:val="21"/>
                <w:szCs w:val="21"/>
                <w14:ligatures w14:val="none"/>
              </w:rPr>
              <w:t> </w:t>
            </w:r>
          </w:p>
        </w:tc>
        <w:tc>
          <w:tcPr>
            <w:tcW w:w="881" w:type="dxa"/>
            <w:tcBorders>
              <w:top w:val="nil"/>
              <w:left w:val="nil"/>
              <w:bottom w:val="single" w:sz="4" w:space="0" w:color="auto"/>
              <w:right w:val="single" w:sz="4" w:space="0" w:color="auto"/>
            </w:tcBorders>
            <w:shd w:val="clear" w:color="auto" w:fill="auto"/>
            <w:noWrap/>
            <w:vAlign w:val="bottom"/>
            <w:hideMark/>
          </w:tcPr>
          <w:p w14:paraId="445EE01F" w14:textId="77777777" w:rsidR="00EC5476" w:rsidRPr="00EC5476" w:rsidRDefault="00EC5476" w:rsidP="00EC5476">
            <w:pPr>
              <w:spacing w:after="0" w:line="240" w:lineRule="auto"/>
              <w:rPr>
                <w:rFonts w:ascii="Aptos Narrow" w:eastAsia="Times New Roman" w:hAnsi="Aptos Narrow" w:cs="Times New Roman"/>
                <w:color w:val="000000"/>
                <w:kern w:val="0"/>
                <w:sz w:val="21"/>
                <w:szCs w:val="21"/>
                <w14:ligatures w14:val="none"/>
              </w:rPr>
            </w:pPr>
            <w:r w:rsidRPr="00EC5476">
              <w:rPr>
                <w:rFonts w:ascii="Aptos Narrow" w:eastAsia="Times New Roman" w:hAnsi="Aptos Narrow" w:cs="Times New Roman"/>
                <w:color w:val="000000"/>
                <w:kern w:val="0"/>
                <w:sz w:val="21"/>
                <w:szCs w:val="21"/>
                <w14:ligatures w14:val="none"/>
              </w:rPr>
              <w:t> </w:t>
            </w:r>
          </w:p>
        </w:tc>
        <w:tc>
          <w:tcPr>
            <w:tcW w:w="985" w:type="dxa"/>
            <w:tcBorders>
              <w:top w:val="nil"/>
              <w:left w:val="nil"/>
              <w:bottom w:val="single" w:sz="4" w:space="0" w:color="auto"/>
              <w:right w:val="single" w:sz="4" w:space="0" w:color="auto"/>
            </w:tcBorders>
            <w:shd w:val="clear" w:color="auto" w:fill="auto"/>
            <w:noWrap/>
            <w:vAlign w:val="bottom"/>
            <w:hideMark/>
          </w:tcPr>
          <w:p w14:paraId="06C8CD32" w14:textId="77777777" w:rsidR="00EC5476" w:rsidRPr="00EC5476" w:rsidRDefault="00EC5476" w:rsidP="00EC5476">
            <w:pPr>
              <w:spacing w:after="0" w:line="240" w:lineRule="auto"/>
              <w:rPr>
                <w:rFonts w:ascii="Aptos Narrow" w:eastAsia="Times New Roman" w:hAnsi="Aptos Narrow" w:cs="Times New Roman"/>
                <w:color w:val="000000"/>
                <w:kern w:val="0"/>
                <w:sz w:val="21"/>
                <w:szCs w:val="21"/>
                <w14:ligatures w14:val="none"/>
              </w:rPr>
            </w:pPr>
            <w:r w:rsidRPr="00EC5476">
              <w:rPr>
                <w:rFonts w:ascii="Aptos Narrow" w:eastAsia="Times New Roman" w:hAnsi="Aptos Narrow" w:cs="Times New Roman"/>
                <w:color w:val="000000"/>
                <w:kern w:val="0"/>
                <w:sz w:val="21"/>
                <w:szCs w:val="21"/>
                <w14:ligatures w14:val="none"/>
              </w:rPr>
              <w:t> </w:t>
            </w:r>
          </w:p>
        </w:tc>
        <w:tc>
          <w:tcPr>
            <w:tcW w:w="761" w:type="dxa"/>
            <w:tcBorders>
              <w:top w:val="nil"/>
              <w:left w:val="nil"/>
              <w:bottom w:val="single" w:sz="4" w:space="0" w:color="auto"/>
              <w:right w:val="single" w:sz="4" w:space="0" w:color="auto"/>
            </w:tcBorders>
            <w:shd w:val="clear" w:color="auto" w:fill="auto"/>
            <w:noWrap/>
            <w:vAlign w:val="bottom"/>
            <w:hideMark/>
          </w:tcPr>
          <w:p w14:paraId="6074B906" w14:textId="77777777" w:rsidR="00EC5476" w:rsidRPr="00EC5476" w:rsidRDefault="00EC5476" w:rsidP="00EC5476">
            <w:pPr>
              <w:spacing w:after="0" w:line="240" w:lineRule="auto"/>
              <w:rPr>
                <w:rFonts w:ascii="Aptos Narrow" w:eastAsia="Times New Roman" w:hAnsi="Aptos Narrow" w:cs="Times New Roman"/>
                <w:color w:val="000000"/>
                <w:kern w:val="0"/>
                <w:sz w:val="21"/>
                <w:szCs w:val="21"/>
                <w14:ligatures w14:val="none"/>
              </w:rPr>
            </w:pPr>
            <w:r w:rsidRPr="00EC5476">
              <w:rPr>
                <w:rFonts w:ascii="Aptos Narrow" w:eastAsia="Times New Roman" w:hAnsi="Aptos Narrow" w:cs="Times New Roman"/>
                <w:color w:val="000000"/>
                <w:kern w:val="0"/>
                <w:sz w:val="21"/>
                <w:szCs w:val="21"/>
                <w14:ligatures w14:val="none"/>
              </w:rPr>
              <w:t> </w:t>
            </w:r>
          </w:p>
        </w:tc>
        <w:tc>
          <w:tcPr>
            <w:tcW w:w="624" w:type="dxa"/>
            <w:tcBorders>
              <w:top w:val="nil"/>
              <w:left w:val="nil"/>
              <w:bottom w:val="single" w:sz="4" w:space="0" w:color="auto"/>
              <w:right w:val="single" w:sz="4" w:space="0" w:color="auto"/>
            </w:tcBorders>
            <w:shd w:val="clear" w:color="auto" w:fill="auto"/>
            <w:noWrap/>
            <w:vAlign w:val="bottom"/>
            <w:hideMark/>
          </w:tcPr>
          <w:p w14:paraId="78EB0E6B" w14:textId="77777777" w:rsidR="00EC5476" w:rsidRPr="00EC5476" w:rsidRDefault="00EC5476" w:rsidP="00EC5476">
            <w:pPr>
              <w:spacing w:after="0" w:line="240" w:lineRule="auto"/>
              <w:rPr>
                <w:rFonts w:ascii="Aptos Narrow" w:eastAsia="Times New Roman" w:hAnsi="Aptos Narrow" w:cs="Times New Roman"/>
                <w:color w:val="000000"/>
                <w:kern w:val="0"/>
                <w:sz w:val="21"/>
                <w:szCs w:val="21"/>
                <w14:ligatures w14:val="none"/>
              </w:rPr>
            </w:pPr>
            <w:r w:rsidRPr="00EC5476">
              <w:rPr>
                <w:rFonts w:ascii="Aptos Narrow" w:eastAsia="Times New Roman" w:hAnsi="Aptos Narrow" w:cs="Times New Roman"/>
                <w:color w:val="000000"/>
                <w:kern w:val="0"/>
                <w:sz w:val="21"/>
                <w:szCs w:val="21"/>
                <w14:ligatures w14:val="none"/>
              </w:rPr>
              <w:t> </w:t>
            </w:r>
          </w:p>
        </w:tc>
        <w:tc>
          <w:tcPr>
            <w:tcW w:w="569" w:type="dxa"/>
            <w:tcBorders>
              <w:top w:val="nil"/>
              <w:left w:val="nil"/>
              <w:bottom w:val="single" w:sz="4" w:space="0" w:color="auto"/>
              <w:right w:val="single" w:sz="4" w:space="0" w:color="auto"/>
            </w:tcBorders>
            <w:shd w:val="clear" w:color="auto" w:fill="auto"/>
            <w:noWrap/>
            <w:vAlign w:val="bottom"/>
            <w:hideMark/>
          </w:tcPr>
          <w:p w14:paraId="6C9506A5" w14:textId="77777777" w:rsidR="00EC5476" w:rsidRPr="00EC5476" w:rsidRDefault="00EC5476" w:rsidP="00EC5476">
            <w:pPr>
              <w:spacing w:after="0" w:line="240" w:lineRule="auto"/>
              <w:rPr>
                <w:rFonts w:ascii="Aptos Narrow" w:eastAsia="Times New Roman" w:hAnsi="Aptos Narrow" w:cs="Times New Roman"/>
                <w:color w:val="000000"/>
                <w:kern w:val="0"/>
                <w:sz w:val="21"/>
                <w:szCs w:val="21"/>
                <w14:ligatures w14:val="none"/>
              </w:rPr>
            </w:pPr>
            <w:r w:rsidRPr="00EC5476">
              <w:rPr>
                <w:rFonts w:ascii="Aptos Narrow" w:eastAsia="Times New Roman" w:hAnsi="Aptos Narrow" w:cs="Times New Roman"/>
                <w:color w:val="000000"/>
                <w:kern w:val="0"/>
                <w:sz w:val="21"/>
                <w:szCs w:val="21"/>
                <w14:ligatures w14:val="none"/>
              </w:rPr>
              <w:t> </w:t>
            </w:r>
          </w:p>
        </w:tc>
      </w:tr>
      <w:tr w:rsidR="00EC5476" w:rsidRPr="00EC5476" w14:paraId="58AB1BA3" w14:textId="77777777" w:rsidTr="00EC5476">
        <w:trPr>
          <w:trHeight w:val="285"/>
        </w:trPr>
        <w:tc>
          <w:tcPr>
            <w:tcW w:w="3896" w:type="dxa"/>
            <w:tcBorders>
              <w:top w:val="nil"/>
              <w:left w:val="single" w:sz="4" w:space="0" w:color="auto"/>
              <w:bottom w:val="single" w:sz="4" w:space="0" w:color="auto"/>
              <w:right w:val="single" w:sz="4" w:space="0" w:color="auto"/>
            </w:tcBorders>
            <w:shd w:val="clear" w:color="auto" w:fill="auto"/>
            <w:noWrap/>
            <w:vAlign w:val="bottom"/>
            <w:hideMark/>
          </w:tcPr>
          <w:p w14:paraId="4F600161" w14:textId="77777777" w:rsidR="00EC5476" w:rsidRPr="00EC5476" w:rsidRDefault="00EC5476" w:rsidP="00EC5476">
            <w:pPr>
              <w:spacing w:after="0" w:line="240" w:lineRule="auto"/>
              <w:rPr>
                <w:rFonts w:ascii="Aptos Narrow" w:eastAsia="Times New Roman" w:hAnsi="Aptos Narrow" w:cs="Times New Roman"/>
                <w:b/>
                <w:bCs/>
                <w:color w:val="000000"/>
                <w:kern w:val="0"/>
                <w:sz w:val="21"/>
                <w:szCs w:val="21"/>
                <w14:ligatures w14:val="none"/>
              </w:rPr>
            </w:pPr>
            <w:r w:rsidRPr="00EC5476">
              <w:rPr>
                <w:rFonts w:ascii="Aptos Narrow" w:eastAsia="Times New Roman" w:hAnsi="Aptos Narrow" w:cs="Times New Roman"/>
                <w:b/>
                <w:bCs/>
                <w:color w:val="000000"/>
                <w:kern w:val="0"/>
                <w:sz w:val="21"/>
                <w:szCs w:val="21"/>
                <w14:ligatures w14:val="none"/>
              </w:rPr>
              <w:t xml:space="preserve">Introduction </w:t>
            </w:r>
          </w:p>
        </w:tc>
        <w:tc>
          <w:tcPr>
            <w:tcW w:w="1118" w:type="dxa"/>
            <w:tcBorders>
              <w:top w:val="nil"/>
              <w:left w:val="nil"/>
              <w:bottom w:val="single" w:sz="4" w:space="0" w:color="auto"/>
              <w:right w:val="single" w:sz="4" w:space="0" w:color="auto"/>
            </w:tcBorders>
            <w:shd w:val="clear" w:color="000000" w:fill="F1A983"/>
            <w:noWrap/>
            <w:vAlign w:val="bottom"/>
            <w:hideMark/>
          </w:tcPr>
          <w:p w14:paraId="3121D6A2"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1123" w:type="dxa"/>
            <w:tcBorders>
              <w:top w:val="nil"/>
              <w:left w:val="nil"/>
              <w:bottom w:val="single" w:sz="4" w:space="0" w:color="auto"/>
              <w:right w:val="single" w:sz="4" w:space="0" w:color="auto"/>
            </w:tcBorders>
            <w:shd w:val="clear" w:color="000000" w:fill="F1A983"/>
            <w:noWrap/>
            <w:vAlign w:val="bottom"/>
            <w:hideMark/>
          </w:tcPr>
          <w:p w14:paraId="7A33CA02"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881" w:type="dxa"/>
            <w:tcBorders>
              <w:top w:val="nil"/>
              <w:left w:val="nil"/>
              <w:bottom w:val="single" w:sz="4" w:space="0" w:color="auto"/>
              <w:right w:val="single" w:sz="4" w:space="0" w:color="auto"/>
            </w:tcBorders>
            <w:shd w:val="clear" w:color="auto" w:fill="auto"/>
            <w:noWrap/>
            <w:vAlign w:val="bottom"/>
            <w:hideMark/>
          </w:tcPr>
          <w:p w14:paraId="2FD9A1AB"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985" w:type="dxa"/>
            <w:tcBorders>
              <w:top w:val="nil"/>
              <w:left w:val="nil"/>
              <w:bottom w:val="single" w:sz="4" w:space="0" w:color="auto"/>
              <w:right w:val="single" w:sz="4" w:space="0" w:color="auto"/>
            </w:tcBorders>
            <w:shd w:val="clear" w:color="auto" w:fill="auto"/>
            <w:noWrap/>
            <w:vAlign w:val="bottom"/>
            <w:hideMark/>
          </w:tcPr>
          <w:p w14:paraId="4B1BE92C"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761" w:type="dxa"/>
            <w:tcBorders>
              <w:top w:val="nil"/>
              <w:left w:val="nil"/>
              <w:bottom w:val="single" w:sz="4" w:space="0" w:color="auto"/>
              <w:right w:val="single" w:sz="4" w:space="0" w:color="auto"/>
            </w:tcBorders>
            <w:shd w:val="clear" w:color="auto" w:fill="auto"/>
            <w:noWrap/>
            <w:vAlign w:val="bottom"/>
            <w:hideMark/>
          </w:tcPr>
          <w:p w14:paraId="08CD24D7"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624" w:type="dxa"/>
            <w:tcBorders>
              <w:top w:val="nil"/>
              <w:left w:val="nil"/>
              <w:bottom w:val="single" w:sz="4" w:space="0" w:color="auto"/>
              <w:right w:val="single" w:sz="4" w:space="0" w:color="auto"/>
            </w:tcBorders>
            <w:shd w:val="clear" w:color="auto" w:fill="auto"/>
            <w:noWrap/>
            <w:vAlign w:val="bottom"/>
            <w:hideMark/>
          </w:tcPr>
          <w:p w14:paraId="410AF624"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569" w:type="dxa"/>
            <w:tcBorders>
              <w:top w:val="nil"/>
              <w:left w:val="nil"/>
              <w:bottom w:val="single" w:sz="4" w:space="0" w:color="auto"/>
              <w:right w:val="single" w:sz="4" w:space="0" w:color="auto"/>
            </w:tcBorders>
            <w:shd w:val="clear" w:color="auto" w:fill="auto"/>
            <w:noWrap/>
            <w:vAlign w:val="bottom"/>
            <w:hideMark/>
          </w:tcPr>
          <w:p w14:paraId="5C919918"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r>
      <w:tr w:rsidR="00EC5476" w:rsidRPr="00EC5476" w14:paraId="659CFCE8" w14:textId="77777777" w:rsidTr="00EC5476">
        <w:trPr>
          <w:trHeight w:val="285"/>
        </w:trPr>
        <w:tc>
          <w:tcPr>
            <w:tcW w:w="3896" w:type="dxa"/>
            <w:tcBorders>
              <w:top w:val="nil"/>
              <w:left w:val="single" w:sz="4" w:space="0" w:color="auto"/>
              <w:bottom w:val="single" w:sz="4" w:space="0" w:color="auto"/>
              <w:right w:val="single" w:sz="4" w:space="0" w:color="auto"/>
            </w:tcBorders>
            <w:shd w:val="clear" w:color="auto" w:fill="auto"/>
            <w:noWrap/>
            <w:vAlign w:val="bottom"/>
            <w:hideMark/>
          </w:tcPr>
          <w:p w14:paraId="375027F6" w14:textId="77777777" w:rsidR="00EC5476" w:rsidRPr="00EC5476" w:rsidRDefault="00EC5476" w:rsidP="00EC5476">
            <w:pPr>
              <w:spacing w:after="0" w:line="240" w:lineRule="auto"/>
              <w:rPr>
                <w:rFonts w:ascii="Aptos Narrow" w:eastAsia="Times New Roman" w:hAnsi="Aptos Narrow" w:cs="Times New Roman"/>
                <w:b/>
                <w:bCs/>
                <w:color w:val="000000"/>
                <w:kern w:val="0"/>
                <w:sz w:val="21"/>
                <w:szCs w:val="21"/>
                <w14:ligatures w14:val="none"/>
              </w:rPr>
            </w:pPr>
            <w:r w:rsidRPr="00EC5476">
              <w:rPr>
                <w:rFonts w:ascii="Aptos Narrow" w:eastAsia="Times New Roman" w:hAnsi="Aptos Narrow" w:cs="Times New Roman"/>
                <w:b/>
                <w:bCs/>
                <w:color w:val="000000"/>
                <w:kern w:val="0"/>
                <w:sz w:val="21"/>
                <w:szCs w:val="21"/>
                <w14:ligatures w14:val="none"/>
              </w:rPr>
              <w:t>Literature review</w:t>
            </w:r>
          </w:p>
        </w:tc>
        <w:tc>
          <w:tcPr>
            <w:tcW w:w="1118" w:type="dxa"/>
            <w:tcBorders>
              <w:top w:val="nil"/>
              <w:left w:val="nil"/>
              <w:bottom w:val="single" w:sz="4" w:space="0" w:color="auto"/>
              <w:right w:val="single" w:sz="4" w:space="0" w:color="auto"/>
            </w:tcBorders>
            <w:shd w:val="clear" w:color="000000" w:fill="FFC000"/>
            <w:noWrap/>
            <w:vAlign w:val="bottom"/>
            <w:hideMark/>
          </w:tcPr>
          <w:p w14:paraId="1919E9DA"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1123" w:type="dxa"/>
            <w:tcBorders>
              <w:top w:val="nil"/>
              <w:left w:val="nil"/>
              <w:bottom w:val="single" w:sz="4" w:space="0" w:color="auto"/>
              <w:right w:val="single" w:sz="4" w:space="0" w:color="auto"/>
            </w:tcBorders>
            <w:shd w:val="clear" w:color="000000" w:fill="FFC000"/>
            <w:noWrap/>
            <w:vAlign w:val="bottom"/>
            <w:hideMark/>
          </w:tcPr>
          <w:p w14:paraId="122D0FBD"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881" w:type="dxa"/>
            <w:tcBorders>
              <w:top w:val="nil"/>
              <w:left w:val="nil"/>
              <w:bottom w:val="single" w:sz="4" w:space="0" w:color="auto"/>
              <w:right w:val="single" w:sz="4" w:space="0" w:color="auto"/>
            </w:tcBorders>
            <w:shd w:val="clear" w:color="000000" w:fill="FFC000"/>
            <w:noWrap/>
            <w:vAlign w:val="bottom"/>
            <w:hideMark/>
          </w:tcPr>
          <w:p w14:paraId="65C17A55"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985" w:type="dxa"/>
            <w:tcBorders>
              <w:top w:val="nil"/>
              <w:left w:val="nil"/>
              <w:bottom w:val="single" w:sz="4" w:space="0" w:color="auto"/>
              <w:right w:val="single" w:sz="4" w:space="0" w:color="auto"/>
            </w:tcBorders>
            <w:shd w:val="clear" w:color="auto" w:fill="auto"/>
            <w:noWrap/>
            <w:vAlign w:val="bottom"/>
            <w:hideMark/>
          </w:tcPr>
          <w:p w14:paraId="4A7F0351"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761" w:type="dxa"/>
            <w:tcBorders>
              <w:top w:val="nil"/>
              <w:left w:val="nil"/>
              <w:bottom w:val="single" w:sz="4" w:space="0" w:color="auto"/>
              <w:right w:val="single" w:sz="4" w:space="0" w:color="auto"/>
            </w:tcBorders>
            <w:shd w:val="clear" w:color="auto" w:fill="auto"/>
            <w:noWrap/>
            <w:vAlign w:val="bottom"/>
            <w:hideMark/>
          </w:tcPr>
          <w:p w14:paraId="05AF1E9C"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624" w:type="dxa"/>
            <w:tcBorders>
              <w:top w:val="nil"/>
              <w:left w:val="nil"/>
              <w:bottom w:val="single" w:sz="4" w:space="0" w:color="auto"/>
              <w:right w:val="single" w:sz="4" w:space="0" w:color="auto"/>
            </w:tcBorders>
            <w:shd w:val="clear" w:color="auto" w:fill="auto"/>
            <w:noWrap/>
            <w:vAlign w:val="bottom"/>
            <w:hideMark/>
          </w:tcPr>
          <w:p w14:paraId="2A35F488"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569" w:type="dxa"/>
            <w:tcBorders>
              <w:top w:val="nil"/>
              <w:left w:val="nil"/>
              <w:bottom w:val="single" w:sz="4" w:space="0" w:color="auto"/>
              <w:right w:val="single" w:sz="4" w:space="0" w:color="auto"/>
            </w:tcBorders>
            <w:shd w:val="clear" w:color="auto" w:fill="auto"/>
            <w:noWrap/>
            <w:vAlign w:val="bottom"/>
            <w:hideMark/>
          </w:tcPr>
          <w:p w14:paraId="72F2BF2C"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r>
      <w:tr w:rsidR="00EC5476" w:rsidRPr="00EC5476" w14:paraId="4972A5A5" w14:textId="77777777" w:rsidTr="00EC5476">
        <w:trPr>
          <w:trHeight w:val="285"/>
        </w:trPr>
        <w:tc>
          <w:tcPr>
            <w:tcW w:w="3896" w:type="dxa"/>
            <w:tcBorders>
              <w:top w:val="nil"/>
              <w:left w:val="single" w:sz="4" w:space="0" w:color="auto"/>
              <w:bottom w:val="single" w:sz="4" w:space="0" w:color="auto"/>
              <w:right w:val="single" w:sz="4" w:space="0" w:color="auto"/>
            </w:tcBorders>
            <w:shd w:val="clear" w:color="auto" w:fill="auto"/>
            <w:noWrap/>
            <w:vAlign w:val="bottom"/>
            <w:hideMark/>
          </w:tcPr>
          <w:p w14:paraId="529F4F49" w14:textId="77777777" w:rsidR="00EC5476" w:rsidRPr="00EC5476" w:rsidRDefault="00EC5476" w:rsidP="00EC5476">
            <w:pPr>
              <w:spacing w:after="0" w:line="240" w:lineRule="auto"/>
              <w:rPr>
                <w:rFonts w:ascii="Aptos Narrow" w:eastAsia="Times New Roman" w:hAnsi="Aptos Narrow" w:cs="Times New Roman"/>
                <w:b/>
                <w:bCs/>
                <w:color w:val="000000"/>
                <w:kern w:val="0"/>
                <w:sz w:val="21"/>
                <w:szCs w:val="21"/>
                <w14:ligatures w14:val="none"/>
              </w:rPr>
            </w:pPr>
            <w:r w:rsidRPr="00EC5476">
              <w:rPr>
                <w:rFonts w:ascii="Aptos Narrow" w:eastAsia="Times New Roman" w:hAnsi="Aptos Narrow" w:cs="Times New Roman"/>
                <w:b/>
                <w:bCs/>
                <w:color w:val="000000"/>
                <w:kern w:val="0"/>
                <w:sz w:val="21"/>
                <w:szCs w:val="21"/>
                <w14:ligatures w14:val="none"/>
              </w:rPr>
              <w:t>Methodology and primary research</w:t>
            </w:r>
          </w:p>
        </w:tc>
        <w:tc>
          <w:tcPr>
            <w:tcW w:w="1118" w:type="dxa"/>
            <w:tcBorders>
              <w:top w:val="nil"/>
              <w:left w:val="nil"/>
              <w:bottom w:val="single" w:sz="4" w:space="0" w:color="auto"/>
              <w:right w:val="single" w:sz="4" w:space="0" w:color="auto"/>
            </w:tcBorders>
            <w:shd w:val="clear" w:color="000000" w:fill="E49EDD"/>
            <w:noWrap/>
            <w:vAlign w:val="bottom"/>
            <w:hideMark/>
          </w:tcPr>
          <w:p w14:paraId="44B178CA"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1123" w:type="dxa"/>
            <w:tcBorders>
              <w:top w:val="nil"/>
              <w:left w:val="nil"/>
              <w:bottom w:val="single" w:sz="4" w:space="0" w:color="auto"/>
              <w:right w:val="single" w:sz="4" w:space="0" w:color="auto"/>
            </w:tcBorders>
            <w:shd w:val="clear" w:color="000000" w:fill="E49EDD"/>
            <w:noWrap/>
            <w:vAlign w:val="bottom"/>
            <w:hideMark/>
          </w:tcPr>
          <w:p w14:paraId="6773ABFB"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881" w:type="dxa"/>
            <w:tcBorders>
              <w:top w:val="nil"/>
              <w:left w:val="nil"/>
              <w:bottom w:val="single" w:sz="4" w:space="0" w:color="auto"/>
              <w:right w:val="single" w:sz="4" w:space="0" w:color="auto"/>
            </w:tcBorders>
            <w:shd w:val="clear" w:color="000000" w:fill="E49EDD"/>
            <w:noWrap/>
            <w:vAlign w:val="bottom"/>
            <w:hideMark/>
          </w:tcPr>
          <w:p w14:paraId="5B99AAC7"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985" w:type="dxa"/>
            <w:tcBorders>
              <w:top w:val="nil"/>
              <w:left w:val="nil"/>
              <w:bottom w:val="single" w:sz="4" w:space="0" w:color="auto"/>
              <w:right w:val="single" w:sz="4" w:space="0" w:color="auto"/>
            </w:tcBorders>
            <w:shd w:val="clear" w:color="000000" w:fill="E49EDD"/>
            <w:noWrap/>
            <w:vAlign w:val="bottom"/>
            <w:hideMark/>
          </w:tcPr>
          <w:p w14:paraId="31397208"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761" w:type="dxa"/>
            <w:tcBorders>
              <w:top w:val="nil"/>
              <w:left w:val="nil"/>
              <w:bottom w:val="single" w:sz="4" w:space="0" w:color="auto"/>
              <w:right w:val="single" w:sz="4" w:space="0" w:color="auto"/>
            </w:tcBorders>
            <w:shd w:val="clear" w:color="auto" w:fill="auto"/>
            <w:noWrap/>
            <w:vAlign w:val="bottom"/>
            <w:hideMark/>
          </w:tcPr>
          <w:p w14:paraId="03D8594D"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624" w:type="dxa"/>
            <w:tcBorders>
              <w:top w:val="nil"/>
              <w:left w:val="nil"/>
              <w:bottom w:val="single" w:sz="4" w:space="0" w:color="auto"/>
              <w:right w:val="single" w:sz="4" w:space="0" w:color="auto"/>
            </w:tcBorders>
            <w:shd w:val="clear" w:color="auto" w:fill="auto"/>
            <w:noWrap/>
            <w:vAlign w:val="bottom"/>
            <w:hideMark/>
          </w:tcPr>
          <w:p w14:paraId="1DE6A1E3"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569" w:type="dxa"/>
            <w:tcBorders>
              <w:top w:val="nil"/>
              <w:left w:val="nil"/>
              <w:bottom w:val="single" w:sz="4" w:space="0" w:color="auto"/>
              <w:right w:val="single" w:sz="4" w:space="0" w:color="auto"/>
            </w:tcBorders>
            <w:shd w:val="clear" w:color="auto" w:fill="auto"/>
            <w:noWrap/>
            <w:vAlign w:val="bottom"/>
            <w:hideMark/>
          </w:tcPr>
          <w:p w14:paraId="33DD3CCF"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r>
      <w:tr w:rsidR="00EC5476" w:rsidRPr="00EC5476" w14:paraId="67EE2D7F" w14:textId="77777777" w:rsidTr="00EC5476">
        <w:trPr>
          <w:trHeight w:val="285"/>
        </w:trPr>
        <w:tc>
          <w:tcPr>
            <w:tcW w:w="3896" w:type="dxa"/>
            <w:tcBorders>
              <w:top w:val="nil"/>
              <w:left w:val="single" w:sz="4" w:space="0" w:color="auto"/>
              <w:bottom w:val="single" w:sz="4" w:space="0" w:color="auto"/>
              <w:right w:val="single" w:sz="4" w:space="0" w:color="auto"/>
            </w:tcBorders>
            <w:shd w:val="clear" w:color="auto" w:fill="auto"/>
            <w:noWrap/>
            <w:vAlign w:val="bottom"/>
            <w:hideMark/>
          </w:tcPr>
          <w:p w14:paraId="4E49799E" w14:textId="77777777" w:rsidR="00EC5476" w:rsidRPr="00EC5476" w:rsidRDefault="00EC5476" w:rsidP="00EC5476">
            <w:pPr>
              <w:spacing w:after="0" w:line="240" w:lineRule="auto"/>
              <w:rPr>
                <w:rFonts w:ascii="Aptos Narrow" w:eastAsia="Times New Roman" w:hAnsi="Aptos Narrow" w:cs="Times New Roman"/>
                <w:b/>
                <w:bCs/>
                <w:color w:val="000000"/>
                <w:kern w:val="0"/>
                <w:sz w:val="21"/>
                <w:szCs w:val="21"/>
                <w14:ligatures w14:val="none"/>
              </w:rPr>
            </w:pPr>
            <w:r w:rsidRPr="00EC5476">
              <w:rPr>
                <w:rFonts w:ascii="Aptos Narrow" w:eastAsia="Times New Roman" w:hAnsi="Aptos Narrow" w:cs="Times New Roman"/>
                <w:b/>
                <w:bCs/>
                <w:color w:val="000000"/>
                <w:kern w:val="0"/>
                <w:sz w:val="21"/>
                <w:szCs w:val="21"/>
                <w14:ligatures w14:val="none"/>
              </w:rPr>
              <w:t>Analysis of Results of primary research</w:t>
            </w:r>
          </w:p>
        </w:tc>
        <w:tc>
          <w:tcPr>
            <w:tcW w:w="1118" w:type="dxa"/>
            <w:tcBorders>
              <w:top w:val="nil"/>
              <w:left w:val="nil"/>
              <w:bottom w:val="single" w:sz="4" w:space="0" w:color="auto"/>
              <w:right w:val="single" w:sz="4" w:space="0" w:color="auto"/>
            </w:tcBorders>
            <w:shd w:val="clear" w:color="000000" w:fill="FFFF00"/>
            <w:noWrap/>
            <w:vAlign w:val="bottom"/>
            <w:hideMark/>
          </w:tcPr>
          <w:p w14:paraId="73CB7198"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1123" w:type="dxa"/>
            <w:tcBorders>
              <w:top w:val="nil"/>
              <w:left w:val="nil"/>
              <w:bottom w:val="single" w:sz="4" w:space="0" w:color="auto"/>
              <w:right w:val="single" w:sz="4" w:space="0" w:color="auto"/>
            </w:tcBorders>
            <w:shd w:val="clear" w:color="000000" w:fill="FFFF00"/>
            <w:noWrap/>
            <w:vAlign w:val="bottom"/>
            <w:hideMark/>
          </w:tcPr>
          <w:p w14:paraId="5ED1D432"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881" w:type="dxa"/>
            <w:tcBorders>
              <w:top w:val="nil"/>
              <w:left w:val="nil"/>
              <w:bottom w:val="single" w:sz="4" w:space="0" w:color="auto"/>
              <w:right w:val="single" w:sz="4" w:space="0" w:color="auto"/>
            </w:tcBorders>
            <w:shd w:val="clear" w:color="000000" w:fill="FFFF00"/>
            <w:noWrap/>
            <w:vAlign w:val="bottom"/>
            <w:hideMark/>
          </w:tcPr>
          <w:p w14:paraId="32C6654C"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985" w:type="dxa"/>
            <w:tcBorders>
              <w:top w:val="nil"/>
              <w:left w:val="nil"/>
              <w:bottom w:val="single" w:sz="4" w:space="0" w:color="auto"/>
              <w:right w:val="single" w:sz="4" w:space="0" w:color="auto"/>
            </w:tcBorders>
            <w:shd w:val="clear" w:color="000000" w:fill="FFFF00"/>
            <w:noWrap/>
            <w:vAlign w:val="bottom"/>
            <w:hideMark/>
          </w:tcPr>
          <w:p w14:paraId="0028D401"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761" w:type="dxa"/>
            <w:tcBorders>
              <w:top w:val="nil"/>
              <w:left w:val="nil"/>
              <w:bottom w:val="single" w:sz="4" w:space="0" w:color="auto"/>
              <w:right w:val="single" w:sz="4" w:space="0" w:color="auto"/>
            </w:tcBorders>
            <w:shd w:val="clear" w:color="000000" w:fill="FFFF00"/>
            <w:noWrap/>
            <w:vAlign w:val="bottom"/>
            <w:hideMark/>
          </w:tcPr>
          <w:p w14:paraId="3959D11A"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624" w:type="dxa"/>
            <w:tcBorders>
              <w:top w:val="nil"/>
              <w:left w:val="nil"/>
              <w:bottom w:val="single" w:sz="4" w:space="0" w:color="auto"/>
              <w:right w:val="single" w:sz="4" w:space="0" w:color="auto"/>
            </w:tcBorders>
            <w:shd w:val="clear" w:color="auto" w:fill="auto"/>
            <w:noWrap/>
            <w:vAlign w:val="bottom"/>
            <w:hideMark/>
          </w:tcPr>
          <w:p w14:paraId="45B7A8C4"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569" w:type="dxa"/>
            <w:tcBorders>
              <w:top w:val="nil"/>
              <w:left w:val="nil"/>
              <w:bottom w:val="single" w:sz="4" w:space="0" w:color="auto"/>
              <w:right w:val="single" w:sz="4" w:space="0" w:color="auto"/>
            </w:tcBorders>
            <w:shd w:val="clear" w:color="auto" w:fill="auto"/>
            <w:noWrap/>
            <w:vAlign w:val="bottom"/>
            <w:hideMark/>
          </w:tcPr>
          <w:p w14:paraId="31D232A8"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r>
      <w:tr w:rsidR="00EC5476" w:rsidRPr="00EC5476" w14:paraId="74A2A82B" w14:textId="77777777" w:rsidTr="00EC5476">
        <w:trPr>
          <w:trHeight w:val="285"/>
        </w:trPr>
        <w:tc>
          <w:tcPr>
            <w:tcW w:w="3896" w:type="dxa"/>
            <w:tcBorders>
              <w:top w:val="nil"/>
              <w:left w:val="single" w:sz="4" w:space="0" w:color="auto"/>
              <w:bottom w:val="single" w:sz="4" w:space="0" w:color="auto"/>
              <w:right w:val="single" w:sz="4" w:space="0" w:color="auto"/>
            </w:tcBorders>
            <w:shd w:val="clear" w:color="auto" w:fill="auto"/>
            <w:noWrap/>
            <w:vAlign w:val="bottom"/>
            <w:hideMark/>
          </w:tcPr>
          <w:p w14:paraId="37545281" w14:textId="77777777" w:rsidR="00EC5476" w:rsidRPr="00EC5476" w:rsidRDefault="00EC5476" w:rsidP="00EC5476">
            <w:pPr>
              <w:spacing w:after="0" w:line="240" w:lineRule="auto"/>
              <w:rPr>
                <w:rFonts w:ascii="Aptos Narrow" w:eastAsia="Times New Roman" w:hAnsi="Aptos Narrow" w:cs="Times New Roman"/>
                <w:b/>
                <w:bCs/>
                <w:color w:val="000000"/>
                <w:kern w:val="0"/>
                <w:sz w:val="21"/>
                <w:szCs w:val="21"/>
                <w14:ligatures w14:val="none"/>
              </w:rPr>
            </w:pPr>
            <w:r w:rsidRPr="00EC5476">
              <w:rPr>
                <w:rFonts w:ascii="Aptos Narrow" w:eastAsia="Times New Roman" w:hAnsi="Aptos Narrow" w:cs="Times New Roman"/>
                <w:b/>
                <w:bCs/>
                <w:color w:val="000000"/>
                <w:kern w:val="0"/>
                <w:sz w:val="21"/>
                <w:szCs w:val="21"/>
                <w14:ligatures w14:val="none"/>
              </w:rPr>
              <w:t xml:space="preserve">Conclusion and recommendation </w:t>
            </w:r>
          </w:p>
        </w:tc>
        <w:tc>
          <w:tcPr>
            <w:tcW w:w="1118" w:type="dxa"/>
            <w:tcBorders>
              <w:top w:val="nil"/>
              <w:left w:val="nil"/>
              <w:bottom w:val="single" w:sz="4" w:space="0" w:color="auto"/>
              <w:right w:val="single" w:sz="4" w:space="0" w:color="auto"/>
            </w:tcBorders>
            <w:shd w:val="clear" w:color="000000" w:fill="47D359"/>
            <w:noWrap/>
            <w:vAlign w:val="bottom"/>
            <w:hideMark/>
          </w:tcPr>
          <w:p w14:paraId="38EDF1E2"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1123" w:type="dxa"/>
            <w:tcBorders>
              <w:top w:val="nil"/>
              <w:left w:val="nil"/>
              <w:bottom w:val="single" w:sz="4" w:space="0" w:color="auto"/>
              <w:right w:val="single" w:sz="4" w:space="0" w:color="auto"/>
            </w:tcBorders>
            <w:shd w:val="clear" w:color="000000" w:fill="47D359"/>
            <w:noWrap/>
            <w:vAlign w:val="bottom"/>
            <w:hideMark/>
          </w:tcPr>
          <w:p w14:paraId="1B654ED5"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881" w:type="dxa"/>
            <w:tcBorders>
              <w:top w:val="nil"/>
              <w:left w:val="nil"/>
              <w:bottom w:val="single" w:sz="4" w:space="0" w:color="auto"/>
              <w:right w:val="single" w:sz="4" w:space="0" w:color="auto"/>
            </w:tcBorders>
            <w:shd w:val="clear" w:color="000000" w:fill="47D359"/>
            <w:noWrap/>
            <w:vAlign w:val="bottom"/>
            <w:hideMark/>
          </w:tcPr>
          <w:p w14:paraId="188E1228"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985" w:type="dxa"/>
            <w:tcBorders>
              <w:top w:val="nil"/>
              <w:left w:val="nil"/>
              <w:bottom w:val="single" w:sz="4" w:space="0" w:color="auto"/>
              <w:right w:val="single" w:sz="4" w:space="0" w:color="auto"/>
            </w:tcBorders>
            <w:shd w:val="clear" w:color="000000" w:fill="47D359"/>
            <w:noWrap/>
            <w:vAlign w:val="bottom"/>
            <w:hideMark/>
          </w:tcPr>
          <w:p w14:paraId="1D5B34AB"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761" w:type="dxa"/>
            <w:tcBorders>
              <w:top w:val="nil"/>
              <w:left w:val="nil"/>
              <w:bottom w:val="single" w:sz="4" w:space="0" w:color="auto"/>
              <w:right w:val="single" w:sz="4" w:space="0" w:color="auto"/>
            </w:tcBorders>
            <w:shd w:val="clear" w:color="000000" w:fill="47D359"/>
            <w:noWrap/>
            <w:vAlign w:val="bottom"/>
            <w:hideMark/>
          </w:tcPr>
          <w:p w14:paraId="4F003712"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624" w:type="dxa"/>
            <w:tcBorders>
              <w:top w:val="nil"/>
              <w:left w:val="nil"/>
              <w:bottom w:val="single" w:sz="4" w:space="0" w:color="auto"/>
              <w:right w:val="single" w:sz="4" w:space="0" w:color="auto"/>
            </w:tcBorders>
            <w:shd w:val="clear" w:color="000000" w:fill="47D359"/>
            <w:noWrap/>
            <w:vAlign w:val="bottom"/>
            <w:hideMark/>
          </w:tcPr>
          <w:p w14:paraId="564D9B28"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569" w:type="dxa"/>
            <w:tcBorders>
              <w:top w:val="nil"/>
              <w:left w:val="nil"/>
              <w:bottom w:val="single" w:sz="4" w:space="0" w:color="auto"/>
              <w:right w:val="single" w:sz="4" w:space="0" w:color="auto"/>
            </w:tcBorders>
            <w:shd w:val="clear" w:color="auto" w:fill="auto"/>
            <w:noWrap/>
            <w:vAlign w:val="bottom"/>
            <w:hideMark/>
          </w:tcPr>
          <w:p w14:paraId="7A4643C4"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r>
      <w:tr w:rsidR="00EC5476" w:rsidRPr="00EC5476" w14:paraId="5742CD38" w14:textId="77777777" w:rsidTr="00EC5476">
        <w:trPr>
          <w:trHeight w:val="285"/>
        </w:trPr>
        <w:tc>
          <w:tcPr>
            <w:tcW w:w="3896" w:type="dxa"/>
            <w:tcBorders>
              <w:top w:val="nil"/>
              <w:left w:val="single" w:sz="4" w:space="0" w:color="auto"/>
              <w:bottom w:val="single" w:sz="4" w:space="0" w:color="auto"/>
              <w:right w:val="single" w:sz="4" w:space="0" w:color="auto"/>
            </w:tcBorders>
            <w:shd w:val="clear" w:color="auto" w:fill="auto"/>
            <w:noWrap/>
            <w:vAlign w:val="bottom"/>
            <w:hideMark/>
          </w:tcPr>
          <w:p w14:paraId="1F1A5E1A" w14:textId="77777777" w:rsidR="00EC5476" w:rsidRPr="00EC5476" w:rsidRDefault="00EC5476" w:rsidP="00EC5476">
            <w:pPr>
              <w:spacing w:after="0" w:line="240" w:lineRule="auto"/>
              <w:rPr>
                <w:rFonts w:ascii="Aptos Narrow" w:eastAsia="Times New Roman" w:hAnsi="Aptos Narrow" w:cs="Times New Roman"/>
                <w:b/>
                <w:bCs/>
                <w:color w:val="000000"/>
                <w:kern w:val="0"/>
                <w:sz w:val="21"/>
                <w:szCs w:val="21"/>
                <w14:ligatures w14:val="none"/>
              </w:rPr>
            </w:pPr>
            <w:r w:rsidRPr="00EC5476">
              <w:rPr>
                <w:rFonts w:ascii="Aptos Narrow" w:eastAsia="Times New Roman" w:hAnsi="Aptos Narrow" w:cs="Times New Roman"/>
                <w:b/>
                <w:bCs/>
                <w:color w:val="000000"/>
                <w:kern w:val="0"/>
                <w:sz w:val="21"/>
                <w:szCs w:val="21"/>
                <w14:ligatures w14:val="none"/>
              </w:rPr>
              <w:t xml:space="preserve">Submit draft dissertation </w:t>
            </w:r>
          </w:p>
        </w:tc>
        <w:tc>
          <w:tcPr>
            <w:tcW w:w="1118" w:type="dxa"/>
            <w:tcBorders>
              <w:top w:val="nil"/>
              <w:left w:val="nil"/>
              <w:bottom w:val="single" w:sz="4" w:space="0" w:color="auto"/>
              <w:right w:val="single" w:sz="4" w:space="0" w:color="auto"/>
            </w:tcBorders>
            <w:shd w:val="clear" w:color="000000" w:fill="BE5014"/>
            <w:noWrap/>
            <w:vAlign w:val="bottom"/>
            <w:hideMark/>
          </w:tcPr>
          <w:p w14:paraId="5198D540"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1123" w:type="dxa"/>
            <w:tcBorders>
              <w:top w:val="nil"/>
              <w:left w:val="nil"/>
              <w:bottom w:val="single" w:sz="4" w:space="0" w:color="auto"/>
              <w:right w:val="single" w:sz="4" w:space="0" w:color="auto"/>
            </w:tcBorders>
            <w:shd w:val="clear" w:color="000000" w:fill="BE5014"/>
            <w:noWrap/>
            <w:vAlign w:val="bottom"/>
            <w:hideMark/>
          </w:tcPr>
          <w:p w14:paraId="6F39CEDD"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881" w:type="dxa"/>
            <w:tcBorders>
              <w:top w:val="nil"/>
              <w:left w:val="nil"/>
              <w:bottom w:val="single" w:sz="4" w:space="0" w:color="auto"/>
              <w:right w:val="single" w:sz="4" w:space="0" w:color="auto"/>
            </w:tcBorders>
            <w:shd w:val="clear" w:color="000000" w:fill="BE5014"/>
            <w:noWrap/>
            <w:vAlign w:val="bottom"/>
            <w:hideMark/>
          </w:tcPr>
          <w:p w14:paraId="17C1F397"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985" w:type="dxa"/>
            <w:tcBorders>
              <w:top w:val="nil"/>
              <w:left w:val="nil"/>
              <w:bottom w:val="single" w:sz="4" w:space="0" w:color="auto"/>
              <w:right w:val="single" w:sz="4" w:space="0" w:color="auto"/>
            </w:tcBorders>
            <w:shd w:val="clear" w:color="000000" w:fill="BE5014"/>
            <w:noWrap/>
            <w:vAlign w:val="bottom"/>
            <w:hideMark/>
          </w:tcPr>
          <w:p w14:paraId="06AAB2B6"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761" w:type="dxa"/>
            <w:tcBorders>
              <w:top w:val="nil"/>
              <w:left w:val="nil"/>
              <w:bottom w:val="single" w:sz="4" w:space="0" w:color="auto"/>
              <w:right w:val="single" w:sz="4" w:space="0" w:color="auto"/>
            </w:tcBorders>
            <w:shd w:val="clear" w:color="000000" w:fill="BE5014"/>
            <w:noWrap/>
            <w:vAlign w:val="bottom"/>
            <w:hideMark/>
          </w:tcPr>
          <w:p w14:paraId="5D96B533"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624" w:type="dxa"/>
            <w:tcBorders>
              <w:top w:val="nil"/>
              <w:left w:val="nil"/>
              <w:bottom w:val="single" w:sz="4" w:space="0" w:color="auto"/>
              <w:right w:val="single" w:sz="4" w:space="0" w:color="auto"/>
            </w:tcBorders>
            <w:shd w:val="clear" w:color="000000" w:fill="BE5014"/>
            <w:noWrap/>
            <w:vAlign w:val="bottom"/>
            <w:hideMark/>
          </w:tcPr>
          <w:p w14:paraId="79B2517F"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569" w:type="dxa"/>
            <w:tcBorders>
              <w:top w:val="nil"/>
              <w:left w:val="nil"/>
              <w:bottom w:val="single" w:sz="4" w:space="0" w:color="auto"/>
              <w:right w:val="single" w:sz="4" w:space="0" w:color="auto"/>
            </w:tcBorders>
            <w:shd w:val="clear" w:color="auto" w:fill="auto"/>
            <w:noWrap/>
            <w:vAlign w:val="bottom"/>
            <w:hideMark/>
          </w:tcPr>
          <w:p w14:paraId="48ED6B86"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r>
      <w:tr w:rsidR="00EC5476" w:rsidRPr="00EC5476" w14:paraId="79CB74B7" w14:textId="77777777" w:rsidTr="00EC5476">
        <w:trPr>
          <w:trHeight w:val="285"/>
        </w:trPr>
        <w:tc>
          <w:tcPr>
            <w:tcW w:w="3896" w:type="dxa"/>
            <w:tcBorders>
              <w:top w:val="nil"/>
              <w:left w:val="single" w:sz="4" w:space="0" w:color="auto"/>
              <w:bottom w:val="single" w:sz="4" w:space="0" w:color="auto"/>
              <w:right w:val="single" w:sz="4" w:space="0" w:color="auto"/>
            </w:tcBorders>
            <w:shd w:val="clear" w:color="auto" w:fill="auto"/>
            <w:noWrap/>
            <w:vAlign w:val="bottom"/>
            <w:hideMark/>
          </w:tcPr>
          <w:p w14:paraId="38C7B982" w14:textId="77777777" w:rsidR="00EC5476" w:rsidRPr="00EC5476" w:rsidRDefault="00EC5476" w:rsidP="00EC5476">
            <w:pPr>
              <w:spacing w:after="0" w:line="240" w:lineRule="auto"/>
              <w:rPr>
                <w:rFonts w:ascii="Aptos Narrow" w:eastAsia="Times New Roman" w:hAnsi="Aptos Narrow" w:cs="Times New Roman"/>
                <w:b/>
                <w:bCs/>
                <w:color w:val="000000"/>
                <w:kern w:val="0"/>
                <w:sz w:val="21"/>
                <w:szCs w:val="21"/>
                <w14:ligatures w14:val="none"/>
              </w:rPr>
            </w:pPr>
            <w:r w:rsidRPr="00EC5476">
              <w:rPr>
                <w:rFonts w:ascii="Aptos Narrow" w:eastAsia="Times New Roman" w:hAnsi="Aptos Narrow" w:cs="Times New Roman"/>
                <w:b/>
                <w:bCs/>
                <w:color w:val="000000"/>
                <w:kern w:val="0"/>
                <w:sz w:val="21"/>
                <w:szCs w:val="21"/>
                <w14:ligatures w14:val="none"/>
              </w:rPr>
              <w:t xml:space="preserve">Submit final dissertation </w:t>
            </w:r>
          </w:p>
        </w:tc>
        <w:tc>
          <w:tcPr>
            <w:tcW w:w="1118" w:type="dxa"/>
            <w:tcBorders>
              <w:top w:val="nil"/>
              <w:left w:val="nil"/>
              <w:bottom w:val="single" w:sz="4" w:space="0" w:color="auto"/>
              <w:right w:val="single" w:sz="4" w:space="0" w:color="auto"/>
            </w:tcBorders>
            <w:shd w:val="clear" w:color="000000" w:fill="002060"/>
            <w:noWrap/>
            <w:vAlign w:val="bottom"/>
            <w:hideMark/>
          </w:tcPr>
          <w:p w14:paraId="612473BC"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1123" w:type="dxa"/>
            <w:tcBorders>
              <w:top w:val="nil"/>
              <w:left w:val="nil"/>
              <w:bottom w:val="single" w:sz="4" w:space="0" w:color="auto"/>
              <w:right w:val="single" w:sz="4" w:space="0" w:color="auto"/>
            </w:tcBorders>
            <w:shd w:val="clear" w:color="000000" w:fill="002060"/>
            <w:noWrap/>
            <w:vAlign w:val="bottom"/>
            <w:hideMark/>
          </w:tcPr>
          <w:p w14:paraId="4E78E663"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881" w:type="dxa"/>
            <w:tcBorders>
              <w:top w:val="nil"/>
              <w:left w:val="nil"/>
              <w:bottom w:val="single" w:sz="4" w:space="0" w:color="auto"/>
              <w:right w:val="single" w:sz="4" w:space="0" w:color="auto"/>
            </w:tcBorders>
            <w:shd w:val="clear" w:color="000000" w:fill="002060"/>
            <w:noWrap/>
            <w:vAlign w:val="bottom"/>
            <w:hideMark/>
          </w:tcPr>
          <w:p w14:paraId="0F2B3DCF"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985" w:type="dxa"/>
            <w:tcBorders>
              <w:top w:val="nil"/>
              <w:left w:val="nil"/>
              <w:bottom w:val="single" w:sz="4" w:space="0" w:color="auto"/>
              <w:right w:val="single" w:sz="4" w:space="0" w:color="auto"/>
            </w:tcBorders>
            <w:shd w:val="clear" w:color="000000" w:fill="002060"/>
            <w:noWrap/>
            <w:vAlign w:val="bottom"/>
            <w:hideMark/>
          </w:tcPr>
          <w:p w14:paraId="08EED983"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761" w:type="dxa"/>
            <w:tcBorders>
              <w:top w:val="nil"/>
              <w:left w:val="nil"/>
              <w:bottom w:val="single" w:sz="4" w:space="0" w:color="auto"/>
              <w:right w:val="single" w:sz="4" w:space="0" w:color="auto"/>
            </w:tcBorders>
            <w:shd w:val="clear" w:color="000000" w:fill="002060"/>
            <w:noWrap/>
            <w:vAlign w:val="bottom"/>
            <w:hideMark/>
          </w:tcPr>
          <w:p w14:paraId="4E1B299E"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624" w:type="dxa"/>
            <w:tcBorders>
              <w:top w:val="nil"/>
              <w:left w:val="nil"/>
              <w:bottom w:val="single" w:sz="4" w:space="0" w:color="auto"/>
              <w:right w:val="single" w:sz="4" w:space="0" w:color="auto"/>
            </w:tcBorders>
            <w:shd w:val="clear" w:color="000000" w:fill="002060"/>
            <w:noWrap/>
            <w:vAlign w:val="bottom"/>
            <w:hideMark/>
          </w:tcPr>
          <w:p w14:paraId="031860A1"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c>
          <w:tcPr>
            <w:tcW w:w="569" w:type="dxa"/>
            <w:tcBorders>
              <w:top w:val="nil"/>
              <w:left w:val="nil"/>
              <w:bottom w:val="single" w:sz="4" w:space="0" w:color="auto"/>
              <w:right w:val="single" w:sz="4" w:space="0" w:color="auto"/>
            </w:tcBorders>
            <w:shd w:val="clear" w:color="000000" w:fill="002060"/>
            <w:noWrap/>
            <w:vAlign w:val="bottom"/>
            <w:hideMark/>
          </w:tcPr>
          <w:p w14:paraId="593FA5E0" w14:textId="77777777" w:rsidR="00EC5476" w:rsidRPr="00EC5476" w:rsidRDefault="00EC5476" w:rsidP="00EC5476">
            <w:pPr>
              <w:spacing w:after="0" w:line="240" w:lineRule="auto"/>
              <w:rPr>
                <w:rFonts w:ascii="Aptos Narrow" w:eastAsia="Times New Roman" w:hAnsi="Aptos Narrow" w:cs="Times New Roman"/>
                <w:color w:val="000000"/>
                <w:kern w:val="0"/>
                <w:sz w:val="22"/>
                <w:szCs w:val="22"/>
                <w14:ligatures w14:val="none"/>
              </w:rPr>
            </w:pPr>
            <w:r w:rsidRPr="00EC5476">
              <w:rPr>
                <w:rFonts w:ascii="Aptos Narrow" w:eastAsia="Times New Roman" w:hAnsi="Aptos Narrow" w:cs="Times New Roman"/>
                <w:color w:val="000000"/>
                <w:kern w:val="0"/>
                <w:sz w:val="22"/>
                <w:szCs w:val="22"/>
                <w14:ligatures w14:val="none"/>
              </w:rPr>
              <w:t> </w:t>
            </w:r>
          </w:p>
        </w:tc>
      </w:tr>
    </w:tbl>
    <w:p w14:paraId="75B33AA3" w14:textId="77777777" w:rsidR="00694E41" w:rsidRDefault="00694E41" w:rsidP="00160679"/>
    <w:p w14:paraId="3E3459DF" w14:textId="77777777" w:rsidR="00C43514" w:rsidRDefault="00C43514" w:rsidP="00160679"/>
    <w:p w14:paraId="1025C28D" w14:textId="77777777" w:rsidR="002D00C8" w:rsidRDefault="002D00C8" w:rsidP="00160679"/>
    <w:p w14:paraId="3C382FE3" w14:textId="77777777" w:rsidR="002D00C8" w:rsidRDefault="002D00C8" w:rsidP="00160679"/>
    <w:p w14:paraId="5EC63F89" w14:textId="4A6AA59A" w:rsidR="00D63CA4" w:rsidRDefault="00D63CA4" w:rsidP="00B5130B">
      <w:pPr>
        <w:rPr>
          <w:b/>
          <w:bCs/>
          <w:u w:val="single"/>
        </w:rPr>
      </w:pPr>
      <w:r w:rsidRPr="00EC5476">
        <w:rPr>
          <w:b/>
          <w:bCs/>
          <w:u w:val="single"/>
        </w:rPr>
        <w:t>References</w:t>
      </w:r>
    </w:p>
    <w:p w14:paraId="66E3CB14" w14:textId="2558F571" w:rsidR="001F7246" w:rsidRDefault="001F7246" w:rsidP="001F7246">
      <w:r>
        <w:t xml:space="preserve">ACAS (2022), </w:t>
      </w:r>
      <w:r w:rsidRPr="001F7246">
        <w:rPr>
          <w:i/>
          <w:iCs/>
        </w:rPr>
        <w:t>1 in 3 employers do not feel well equipped to support women going through the menopause at work,</w:t>
      </w:r>
      <w:r>
        <w:t xml:space="preserve"> Available at: </w:t>
      </w:r>
      <w:hyperlink r:id="rId7" w:anchor=":~:text=A%20new%20survey%20from%20Acas,earlier%20or%20later%20in%20life" w:history="1">
        <w:r w:rsidRPr="002F2574">
          <w:rPr>
            <w:rStyle w:val="Hyperlink"/>
          </w:rPr>
          <w:t>https://www.acas.org.uk/1-in-3-employers-do-not-feel-well-equipped-to-support-women-going-through-the-menopause-at-work#:~:text=A%20new%20survey%20from%20Acas,earlier%20or%20later%20in%20life</w:t>
        </w:r>
      </w:hyperlink>
      <w:r w:rsidRPr="001F7246">
        <w:t>.</w:t>
      </w:r>
      <w:r>
        <w:t xml:space="preserve"> (Accessed 24</w:t>
      </w:r>
      <w:r w:rsidRPr="001F7246">
        <w:rPr>
          <w:vertAlign w:val="superscript"/>
        </w:rPr>
        <w:t>th</w:t>
      </w:r>
      <w:r>
        <w:t xml:space="preserve"> October 2024)</w:t>
      </w:r>
    </w:p>
    <w:p w14:paraId="17CA31D3" w14:textId="4BF29FF9" w:rsidR="001F7246" w:rsidRDefault="001F7246" w:rsidP="001F7246">
      <w:r>
        <w:t xml:space="preserve">ACAS (2024), </w:t>
      </w:r>
      <w:r w:rsidRPr="00A574CF">
        <w:rPr>
          <w:i/>
          <w:iCs/>
        </w:rPr>
        <w:t>If you’ve been discriminated against at work</w:t>
      </w:r>
      <w:r>
        <w:t xml:space="preserve">, Available at: </w:t>
      </w:r>
      <w:hyperlink r:id="rId8" w:history="1">
        <w:r w:rsidRPr="002F2574">
          <w:rPr>
            <w:rStyle w:val="Hyperlink"/>
          </w:rPr>
          <w:t>https://www.acas.org.uk/if-youve-been-discriminated-against-at-work</w:t>
        </w:r>
      </w:hyperlink>
      <w:r>
        <w:t xml:space="preserve"> (Accessed 12th November 2024)</w:t>
      </w:r>
    </w:p>
    <w:p w14:paraId="42E62F17" w14:textId="77777777" w:rsidR="001F7246" w:rsidRPr="00402D0C" w:rsidRDefault="001F7246" w:rsidP="00B5130B">
      <w:r w:rsidRPr="00402D0C">
        <w:t>Adams (2024),</w:t>
      </w:r>
      <w:r w:rsidRPr="00402D0C">
        <w:rPr>
          <w:i/>
          <w:iCs/>
        </w:rPr>
        <w:t xml:space="preserve"> English universities face autumn ‘tipping point’ as financial crisis looms, </w:t>
      </w:r>
      <w:r w:rsidRPr="00402D0C">
        <w:t xml:space="preserve">Available at: </w:t>
      </w:r>
      <w:hyperlink r:id="rId9" w:history="1">
        <w:r w:rsidRPr="00402D0C">
          <w:rPr>
            <w:rStyle w:val="Hyperlink"/>
          </w:rPr>
          <w:t>https://www.theguardian.com/education/article/2024/aug/09/english-universities-face-autumn-tipping-point-as-financial-crisis-looms</w:t>
        </w:r>
      </w:hyperlink>
      <w:r w:rsidRPr="00402D0C">
        <w:t xml:space="preserve"> (Accessed 24th October 2024)</w:t>
      </w:r>
    </w:p>
    <w:p w14:paraId="13A94B1E" w14:textId="77777777" w:rsidR="001F7246" w:rsidRPr="00402D0C" w:rsidRDefault="001F7246" w:rsidP="00B5130B">
      <w:r w:rsidRPr="00402D0C">
        <w:t>Adeoye</w:t>
      </w:r>
      <w:r w:rsidRPr="00402D0C">
        <w:rPr>
          <w:rFonts w:ascii="Cambria Math" w:hAnsi="Cambria Math" w:cs="Cambria Math"/>
        </w:rPr>
        <w:t>‐</w:t>
      </w:r>
      <w:r w:rsidRPr="00402D0C">
        <w:t>Olatunde, O.A. and Olenik, N.L., (2021) ‘Research and scholarly methods: Semi</w:t>
      </w:r>
      <w:r w:rsidRPr="00402D0C">
        <w:rPr>
          <w:rFonts w:ascii="Cambria Math" w:hAnsi="Cambria Math" w:cs="Cambria Math"/>
        </w:rPr>
        <w:t>‐</w:t>
      </w:r>
      <w:r w:rsidRPr="00402D0C">
        <w:t>structured interviews’,</w:t>
      </w:r>
      <w:r w:rsidRPr="00402D0C">
        <w:rPr>
          <w:rFonts w:ascii="Aptos" w:hAnsi="Aptos" w:cs="Aptos"/>
        </w:rPr>
        <w:t> </w:t>
      </w:r>
      <w:r w:rsidRPr="00402D0C">
        <w:rPr>
          <w:i/>
          <w:iCs/>
        </w:rPr>
        <w:t xml:space="preserve">Journal of the </w:t>
      </w:r>
      <w:proofErr w:type="spellStart"/>
      <w:r w:rsidRPr="00402D0C">
        <w:rPr>
          <w:i/>
          <w:iCs/>
        </w:rPr>
        <w:t>american</w:t>
      </w:r>
      <w:proofErr w:type="spellEnd"/>
      <w:r w:rsidRPr="00402D0C">
        <w:rPr>
          <w:i/>
          <w:iCs/>
        </w:rPr>
        <w:t xml:space="preserve"> college of clinical pharmacy</w:t>
      </w:r>
      <w:r w:rsidRPr="00402D0C">
        <w:t>, </w:t>
      </w:r>
      <w:r w:rsidRPr="00402D0C">
        <w:rPr>
          <w:i/>
          <w:iCs/>
        </w:rPr>
        <w:t xml:space="preserve">4 </w:t>
      </w:r>
      <w:r w:rsidRPr="00402D0C">
        <w:t xml:space="preserve">(10), pp.1358-1367. Available at: </w:t>
      </w:r>
      <w:hyperlink r:id="rId10" w:history="1">
        <w:r w:rsidRPr="00402D0C">
          <w:rPr>
            <w:rStyle w:val="Hyperlink"/>
          </w:rPr>
          <w:t>https://accpjournals.onlinelibrary.wiley.com/doi/full/10.1002/jac5.144</w:t>
        </w:r>
      </w:hyperlink>
      <w:r w:rsidRPr="00402D0C">
        <w:t xml:space="preserve"> (Accessed 22nd October 2024)</w:t>
      </w:r>
    </w:p>
    <w:p w14:paraId="60B3757E" w14:textId="77777777" w:rsidR="001F7246" w:rsidRPr="00402D0C" w:rsidRDefault="001F7246" w:rsidP="00B5130B">
      <w:r w:rsidRPr="00402D0C">
        <w:t>Anderson V Thistle Marine (2023), London, EA 4101775/2023</w:t>
      </w:r>
      <w:r w:rsidRPr="00402D0C">
        <w:rPr>
          <w:i/>
          <w:iCs/>
        </w:rPr>
        <w:t>, Gov.uk</w:t>
      </w:r>
      <w:r w:rsidRPr="00402D0C">
        <w:t xml:space="preserve">, Available at: </w:t>
      </w:r>
      <w:hyperlink r:id="rId11" w:history="1">
        <w:r w:rsidRPr="00402D0C">
          <w:rPr>
            <w:rStyle w:val="Hyperlink"/>
          </w:rPr>
          <w:t>https://assets.publishing.service.gov.uk/media/650d3c3252e73c000d9426a3/Anderso</w:t>
        </w:r>
        <w:r w:rsidRPr="00402D0C">
          <w:rPr>
            <w:rStyle w:val="Hyperlink"/>
          </w:rPr>
          <w:lastRenderedPageBreak/>
          <w:t>n_v_Thistle_Marine__Peterhead__Ltd_and_James__Jim__Duncan_Clark_-_4101775.2023_-_Final.pdf</w:t>
        </w:r>
      </w:hyperlink>
      <w:r w:rsidRPr="00402D0C">
        <w:t>(Accessed 2</w:t>
      </w:r>
      <w:r w:rsidRPr="00402D0C">
        <w:rPr>
          <w:vertAlign w:val="superscript"/>
        </w:rPr>
        <w:t>nd</w:t>
      </w:r>
      <w:r w:rsidRPr="00402D0C">
        <w:t xml:space="preserve"> November 2024)</w:t>
      </w:r>
    </w:p>
    <w:p w14:paraId="5FAF5A6F" w14:textId="77777777" w:rsidR="001F7246" w:rsidRPr="00402D0C" w:rsidRDefault="001F7246" w:rsidP="00B5130B">
      <w:r w:rsidRPr="00402D0C">
        <w:t xml:space="preserve">Anderson, V. and Fontinha, R. (2024). </w:t>
      </w:r>
      <w:r w:rsidRPr="00402D0C">
        <w:rPr>
          <w:i/>
          <w:iCs/>
        </w:rPr>
        <w:t>Research methods in human resource management-Investigating a business issue.</w:t>
      </w:r>
      <w:r w:rsidRPr="00402D0C">
        <w:t xml:space="preserve"> 5</w:t>
      </w:r>
      <w:r w:rsidRPr="00402D0C">
        <w:rPr>
          <w:vertAlign w:val="superscript"/>
        </w:rPr>
        <w:t>th</w:t>
      </w:r>
      <w:r w:rsidRPr="00402D0C">
        <w:t xml:space="preserve"> </w:t>
      </w:r>
      <w:proofErr w:type="spellStart"/>
      <w:r w:rsidRPr="00402D0C">
        <w:t>edn</w:t>
      </w:r>
      <w:proofErr w:type="spellEnd"/>
      <w:r w:rsidRPr="00402D0C">
        <w:t xml:space="preserve">. London: Kogan Page </w:t>
      </w:r>
    </w:p>
    <w:p w14:paraId="652D313C" w14:textId="77777777" w:rsidR="001F7246" w:rsidRPr="00402D0C" w:rsidRDefault="001F7246" w:rsidP="00B5130B">
      <w:r w:rsidRPr="00402D0C">
        <w:t>Atkinson C, Beck V, Brewis J, Davies A, </w:t>
      </w:r>
      <w:proofErr w:type="spellStart"/>
      <w:r w:rsidRPr="00402D0C">
        <w:t>Duberley</w:t>
      </w:r>
      <w:proofErr w:type="spellEnd"/>
      <w:r w:rsidRPr="00402D0C">
        <w:t> J (2021), ‘Menopause and the workplace: New directions in HRM research and HR practice’. </w:t>
      </w:r>
      <w:r w:rsidRPr="00402D0C">
        <w:rPr>
          <w:i/>
          <w:iCs/>
        </w:rPr>
        <w:t xml:space="preserve">Hum </w:t>
      </w:r>
      <w:proofErr w:type="spellStart"/>
      <w:r w:rsidRPr="00402D0C">
        <w:rPr>
          <w:i/>
          <w:iCs/>
        </w:rPr>
        <w:t>Resoure</w:t>
      </w:r>
      <w:proofErr w:type="spellEnd"/>
      <w:r w:rsidRPr="00402D0C">
        <w:rPr>
          <w:i/>
          <w:iCs/>
        </w:rPr>
        <w:t xml:space="preserve"> Manag J</w:t>
      </w:r>
      <w:r w:rsidRPr="00402D0C">
        <w:t xml:space="preserve">. 2021; 31: pp. 49–64 Available at:  </w:t>
      </w:r>
      <w:hyperlink r:id="rId12" w:history="1">
        <w:r w:rsidRPr="00402D0C">
          <w:rPr>
            <w:rStyle w:val="Hyperlink"/>
          </w:rPr>
          <w:t>https://onlinelibrary.wiley.com/doi/epdf/10.1111/1748-8583.12294</w:t>
        </w:r>
      </w:hyperlink>
      <w:r w:rsidRPr="00402D0C">
        <w:t xml:space="preserve"> (Accessed 30th October 2024)</w:t>
      </w:r>
    </w:p>
    <w:p w14:paraId="11C6ADA1" w14:textId="77777777" w:rsidR="001F7246" w:rsidRPr="00402D0C" w:rsidRDefault="001F7246" w:rsidP="00B5130B">
      <w:r w:rsidRPr="00402D0C">
        <w:t xml:space="preserve">Beer, K. (2004), </w:t>
      </w:r>
      <w:r w:rsidRPr="00402D0C">
        <w:rPr>
          <w:i/>
          <w:iCs/>
        </w:rPr>
        <w:t>How Stratified random sampling works, with examples</w:t>
      </w:r>
      <w:r w:rsidRPr="00402D0C">
        <w:t xml:space="preserve">, Available at: </w:t>
      </w:r>
      <w:hyperlink r:id="rId13" w:history="1">
        <w:r w:rsidRPr="00402D0C">
          <w:rPr>
            <w:rStyle w:val="Hyperlink"/>
          </w:rPr>
          <w:t>https://www.investopedia.com/terms/stratified_random_sampling.asp</w:t>
        </w:r>
      </w:hyperlink>
      <w:r w:rsidRPr="00402D0C">
        <w:t xml:space="preserve"> (Accessed 22nd October 2024)</w:t>
      </w:r>
    </w:p>
    <w:p w14:paraId="0DFFC35F" w14:textId="77777777" w:rsidR="001F7246" w:rsidRDefault="001F7246" w:rsidP="001F7246">
      <w:r w:rsidRPr="00B05741">
        <w:t>Bellet, C</w:t>
      </w:r>
      <w:r>
        <w:t>,.</w:t>
      </w:r>
      <w:r w:rsidRPr="00B05741">
        <w:t xml:space="preserve"> De Neve, J-E</w:t>
      </w:r>
      <w:r>
        <w:t xml:space="preserve">. , &amp; </w:t>
      </w:r>
      <w:r w:rsidRPr="00B05741">
        <w:t>Ward, G</w:t>
      </w:r>
      <w:r>
        <w:t>. (2019)</w:t>
      </w:r>
      <w:r w:rsidRPr="00B05741">
        <w:t>,</w:t>
      </w:r>
      <w:r>
        <w:t xml:space="preserve"> ‘</w:t>
      </w:r>
      <w:r w:rsidRPr="00B05741">
        <w:t xml:space="preserve">Does Employee Happiness have an Impact on Productivity? </w:t>
      </w:r>
      <w:r>
        <w:t>‘,</w:t>
      </w:r>
      <w:r w:rsidRPr="00B05741">
        <w:t xml:space="preserve"> </w:t>
      </w:r>
      <w:r w:rsidRPr="001F7246">
        <w:rPr>
          <w:i/>
          <w:iCs/>
        </w:rPr>
        <w:t>Saïd Business School WP</w:t>
      </w:r>
      <w:r>
        <w:t>,</w:t>
      </w:r>
      <w:r w:rsidRPr="00B05741">
        <w:t>13, Available at</w:t>
      </w:r>
      <w:r>
        <w:t xml:space="preserve">: </w:t>
      </w:r>
      <w:hyperlink r:id="rId14" w:history="1">
        <w:r w:rsidRPr="002F2574">
          <w:rPr>
            <w:rStyle w:val="Hyperlink"/>
          </w:rPr>
          <w:t>https://papers.ssrn.com/sol3/papers.cfm?abstract_id=3470734</w:t>
        </w:r>
      </w:hyperlink>
      <w:r>
        <w:t xml:space="preserve"> (Accessed 12</w:t>
      </w:r>
      <w:r w:rsidRPr="001F7246">
        <w:rPr>
          <w:vertAlign w:val="superscript"/>
        </w:rPr>
        <w:t>th</w:t>
      </w:r>
      <w:r>
        <w:t xml:space="preserve"> November 2024)</w:t>
      </w:r>
    </w:p>
    <w:p w14:paraId="27F6CABC" w14:textId="77777777" w:rsidR="001F7246" w:rsidRPr="00402D0C" w:rsidRDefault="001F7246" w:rsidP="00B5130B">
      <w:r w:rsidRPr="00402D0C">
        <w:t xml:space="preserve">Bull, S., &amp; </w:t>
      </w:r>
      <w:proofErr w:type="spellStart"/>
      <w:r w:rsidRPr="00402D0C">
        <w:t>Lindegger</w:t>
      </w:r>
      <w:proofErr w:type="spellEnd"/>
      <w:r w:rsidRPr="00402D0C">
        <w:t>, G. C. (2011).’ Ensuring Consent to Research is Voluntary: How Far Do We Need to Go?’, </w:t>
      </w:r>
      <w:r w:rsidRPr="00402D0C">
        <w:rPr>
          <w:i/>
          <w:iCs/>
        </w:rPr>
        <w:t>The American Journal of Bioethics</w:t>
      </w:r>
      <w:r w:rsidRPr="00402D0C">
        <w:t>, </w:t>
      </w:r>
      <w:r w:rsidRPr="00402D0C">
        <w:rPr>
          <w:i/>
          <w:iCs/>
        </w:rPr>
        <w:t>11</w:t>
      </w:r>
      <w:r w:rsidRPr="00402D0C">
        <w:t xml:space="preserve">(8), pp.27–29. Available at: </w:t>
      </w:r>
      <w:hyperlink r:id="rId15" w:history="1">
        <w:r w:rsidRPr="00402D0C">
          <w:rPr>
            <w:rStyle w:val="Hyperlink"/>
          </w:rPr>
          <w:t>https://www.tandfonline.com/doi/full/10.1080/15265161.2011.585272</w:t>
        </w:r>
      </w:hyperlink>
      <w:r w:rsidRPr="00402D0C">
        <w:t xml:space="preserve"> (Accessed 2nd November 2024)</w:t>
      </w:r>
    </w:p>
    <w:p w14:paraId="41CC631E" w14:textId="77777777" w:rsidR="001F7246" w:rsidRPr="00402D0C" w:rsidRDefault="001F7246" w:rsidP="00B5130B">
      <w:r w:rsidRPr="00402D0C">
        <w:t xml:space="preserve">CIPD (2019), </w:t>
      </w:r>
      <w:r w:rsidRPr="00402D0C">
        <w:rPr>
          <w:i/>
          <w:iCs/>
        </w:rPr>
        <w:t>Menopause at work</w:t>
      </w:r>
      <w:r w:rsidRPr="00402D0C">
        <w:t xml:space="preserve">, Available at:  </w:t>
      </w:r>
      <w:hyperlink r:id="rId16" w:history="1">
        <w:r w:rsidRPr="00402D0C">
          <w:rPr>
            <w:rStyle w:val="Hyperlink"/>
          </w:rPr>
          <w:t>https://www.cipd.org/uk/about/press-releases/menopause-at-work/</w:t>
        </w:r>
      </w:hyperlink>
      <w:r w:rsidRPr="00402D0C">
        <w:t>(Accessed 2</w:t>
      </w:r>
      <w:r w:rsidRPr="00402D0C">
        <w:rPr>
          <w:vertAlign w:val="superscript"/>
        </w:rPr>
        <w:t>nd</w:t>
      </w:r>
      <w:r w:rsidRPr="00402D0C">
        <w:t xml:space="preserve"> November 2024)</w:t>
      </w:r>
    </w:p>
    <w:p w14:paraId="5903410D" w14:textId="77777777" w:rsidR="001F7246" w:rsidRPr="00402D0C" w:rsidRDefault="001F7246" w:rsidP="00B5130B">
      <w:r w:rsidRPr="00402D0C">
        <w:t xml:space="preserve">Collins, H. &amp; Bary, </w:t>
      </w:r>
      <w:proofErr w:type="spellStart"/>
      <w:r w:rsidRPr="00402D0C">
        <w:t>S.h.</w:t>
      </w:r>
      <w:proofErr w:type="spellEnd"/>
      <w:r w:rsidRPr="00402D0C">
        <w:t xml:space="preserve"> (2024), ‘‘Difficult to Divulge’: The Impact of Organisational Silence around the Menopause’, </w:t>
      </w:r>
      <w:r w:rsidRPr="00402D0C">
        <w:rPr>
          <w:i/>
          <w:iCs/>
        </w:rPr>
        <w:t>WES</w:t>
      </w:r>
      <w:r w:rsidRPr="00402D0C">
        <w:t xml:space="preserve">, 38 (5) pp.1445-1456,  Available at: </w:t>
      </w:r>
      <w:hyperlink r:id="rId17" w:history="1">
        <w:r w:rsidRPr="00402D0C">
          <w:rPr>
            <w:rStyle w:val="Hyperlink"/>
          </w:rPr>
          <w:t>https://journals.sagepub.com/doi/pdf/10.1177/09500170231212127</w:t>
        </w:r>
      </w:hyperlink>
      <w:r w:rsidRPr="00402D0C">
        <w:t xml:space="preserve"> (Accessed 30th October 2024)</w:t>
      </w:r>
    </w:p>
    <w:p w14:paraId="6CE370AD" w14:textId="77777777" w:rsidR="001F7246" w:rsidRPr="00402D0C" w:rsidRDefault="001F7246" w:rsidP="00B5130B">
      <w:r w:rsidRPr="00402D0C">
        <w:t>Colussi, S., Hill, E. and Baird, M., (2023). ‘Engendering the Right to Work in International Law: Recognising Menstruation and Menopause in Paid Work’. </w:t>
      </w:r>
      <w:r w:rsidRPr="00402D0C">
        <w:rPr>
          <w:i/>
          <w:iCs/>
        </w:rPr>
        <w:t xml:space="preserve">U. Oxford Hum. </w:t>
      </w:r>
      <w:proofErr w:type="spellStart"/>
      <w:r w:rsidRPr="00402D0C">
        <w:rPr>
          <w:i/>
          <w:iCs/>
        </w:rPr>
        <w:t>Rts</w:t>
      </w:r>
      <w:proofErr w:type="spellEnd"/>
      <w:r w:rsidRPr="00402D0C">
        <w:rPr>
          <w:i/>
          <w:iCs/>
        </w:rPr>
        <w:t>. Hub J.</w:t>
      </w:r>
      <w:r w:rsidRPr="00402D0C">
        <w:t xml:space="preserve">, p.1. Available at: </w:t>
      </w:r>
      <w:hyperlink r:id="rId18" w:history="1">
        <w:r w:rsidRPr="00402D0C">
          <w:rPr>
            <w:rStyle w:val="Hyperlink"/>
          </w:rPr>
          <w:t>https://ohrh.law.ox.ac.uk/wp-content/uploads/2023/10/U-of-OxHRH-J-Engendering-the-Right-to-Work-2.pdf</w:t>
        </w:r>
      </w:hyperlink>
      <w:r w:rsidRPr="00402D0C">
        <w:t xml:space="preserve"> (Accessed 24th October 2024)</w:t>
      </w:r>
    </w:p>
    <w:p w14:paraId="6C669EB2" w14:textId="77777777" w:rsidR="001F7246" w:rsidRPr="00402D0C" w:rsidRDefault="001F7246" w:rsidP="00B5130B">
      <w:r w:rsidRPr="00402D0C">
        <w:t xml:space="preserve">Creswell, J.,W. (2007). </w:t>
      </w:r>
      <w:r w:rsidRPr="00402D0C">
        <w:rPr>
          <w:i/>
          <w:iCs/>
        </w:rPr>
        <w:t xml:space="preserve">Research design. Qualitative and mixed methods approaches. </w:t>
      </w:r>
      <w:r w:rsidRPr="00402D0C">
        <w:t xml:space="preserve">London: Sage. </w:t>
      </w:r>
    </w:p>
    <w:p w14:paraId="37E30AA0" w14:textId="77777777" w:rsidR="001F7246" w:rsidRPr="00402D0C" w:rsidRDefault="001F7246" w:rsidP="00B5130B">
      <w:proofErr w:type="spellStart"/>
      <w:r w:rsidRPr="00402D0C">
        <w:t>Equalityhumanrights</w:t>
      </w:r>
      <w:proofErr w:type="spellEnd"/>
      <w:r w:rsidRPr="00402D0C">
        <w:t xml:space="preserve"> (2024) </w:t>
      </w:r>
      <w:r w:rsidRPr="00402D0C">
        <w:rPr>
          <w:i/>
          <w:iCs/>
        </w:rPr>
        <w:t>Menopause in the workplace: Guidance for employers</w:t>
      </w:r>
      <w:r w:rsidRPr="00402D0C">
        <w:t xml:space="preserve">, Available at: </w:t>
      </w:r>
      <w:hyperlink r:id="rId19" w:anchor="menopause-and-perimenopause" w:history="1">
        <w:r w:rsidRPr="00402D0C">
          <w:rPr>
            <w:rStyle w:val="Hyperlink"/>
          </w:rPr>
          <w:t>https://www.equalityhumanrights.com/guidance/menopause-workplace-guidance-employers#menopause-and-perimenopause</w:t>
        </w:r>
      </w:hyperlink>
      <w:r w:rsidRPr="00402D0C">
        <w:rPr>
          <w:rStyle w:val="Hyperlink"/>
        </w:rPr>
        <w:t xml:space="preserve"> (Accessed 24</w:t>
      </w:r>
      <w:r w:rsidRPr="00402D0C">
        <w:rPr>
          <w:rStyle w:val="Hyperlink"/>
          <w:vertAlign w:val="superscript"/>
        </w:rPr>
        <w:t>th</w:t>
      </w:r>
      <w:r w:rsidRPr="00402D0C">
        <w:rPr>
          <w:rStyle w:val="Hyperlink"/>
        </w:rPr>
        <w:t xml:space="preserve"> October 2024)</w:t>
      </w:r>
    </w:p>
    <w:p w14:paraId="1C1B6EA0" w14:textId="77777777" w:rsidR="001F7246" w:rsidRPr="00402D0C" w:rsidRDefault="001F7246" w:rsidP="00B5130B">
      <w:pPr>
        <w:rPr>
          <w:b/>
          <w:bCs/>
        </w:rPr>
      </w:pPr>
      <w:r w:rsidRPr="00402D0C">
        <w:lastRenderedPageBreak/>
        <w:t>Equity (No date),</w:t>
      </w:r>
      <w:r w:rsidRPr="00402D0C">
        <w:rPr>
          <w:i/>
          <w:iCs/>
        </w:rPr>
        <w:t xml:space="preserve"> Menopause and the law</w:t>
      </w:r>
      <w:r w:rsidRPr="00402D0C">
        <w:t xml:space="preserve">, Available at:  - </w:t>
      </w:r>
      <w:hyperlink r:id="rId20" w:anchor=":~:text=Experiencing%20menopausal%20symptoms%20at%20work,this%20could%20amount%20to%20discrimination" w:history="1">
        <w:r w:rsidRPr="00402D0C">
          <w:rPr>
            <w:rStyle w:val="Hyperlink"/>
          </w:rPr>
          <w:t>https://www.equity.org.uk/advice-and-support/know-your-rights/right-to-equal-treatment/menopause-and-the-law#:~:text=Experiencing%20menopausal%20symptoms%20at%20work,this%20could%20amount%20to%20discrimination</w:t>
        </w:r>
      </w:hyperlink>
      <w:r w:rsidRPr="00402D0C">
        <w:t>. (Accessed 2</w:t>
      </w:r>
      <w:r w:rsidRPr="00402D0C">
        <w:rPr>
          <w:vertAlign w:val="superscript"/>
        </w:rPr>
        <w:t>nd</w:t>
      </w:r>
      <w:r w:rsidRPr="00402D0C">
        <w:t xml:space="preserve"> November 2024)</w:t>
      </w:r>
    </w:p>
    <w:p w14:paraId="636FA313" w14:textId="77777777" w:rsidR="001F7246" w:rsidRPr="00402D0C" w:rsidRDefault="001F7246" w:rsidP="00B5130B">
      <w:proofErr w:type="spellStart"/>
      <w:r w:rsidRPr="001946C3">
        <w:t>Firmandani</w:t>
      </w:r>
      <w:proofErr w:type="spellEnd"/>
      <w:r w:rsidRPr="001946C3">
        <w:t xml:space="preserve">, F., </w:t>
      </w:r>
      <w:proofErr w:type="spellStart"/>
      <w:r w:rsidRPr="001946C3">
        <w:t>Briliana</w:t>
      </w:r>
      <w:proofErr w:type="spellEnd"/>
      <w:r w:rsidRPr="001946C3">
        <w:t xml:space="preserve">, V., Jondar, A., </w:t>
      </w:r>
      <w:proofErr w:type="spellStart"/>
      <w:r w:rsidRPr="001946C3">
        <w:t>Indana</w:t>
      </w:r>
      <w:proofErr w:type="spellEnd"/>
      <w:r w:rsidRPr="001946C3">
        <w:t xml:space="preserve">, N. and </w:t>
      </w:r>
      <w:proofErr w:type="spellStart"/>
      <w:r w:rsidRPr="001946C3">
        <w:t>Rofiq</w:t>
      </w:r>
      <w:proofErr w:type="spellEnd"/>
      <w:r w:rsidRPr="001946C3">
        <w:t xml:space="preserve">, A.,(2023). </w:t>
      </w:r>
      <w:r w:rsidRPr="00402D0C">
        <w:t>‘Attract New Students With School Image, Costs and Promotions’. </w:t>
      </w:r>
      <w:proofErr w:type="spellStart"/>
      <w:r w:rsidRPr="00402D0C">
        <w:rPr>
          <w:i/>
          <w:iCs/>
        </w:rPr>
        <w:t>Nidhomul</w:t>
      </w:r>
      <w:proofErr w:type="spellEnd"/>
      <w:r w:rsidRPr="00402D0C">
        <w:rPr>
          <w:i/>
          <w:iCs/>
        </w:rPr>
        <w:t xml:space="preserve"> Haq: </w:t>
      </w:r>
      <w:proofErr w:type="spellStart"/>
      <w:r w:rsidRPr="00402D0C">
        <w:rPr>
          <w:i/>
          <w:iCs/>
        </w:rPr>
        <w:t>Jurnal</w:t>
      </w:r>
      <w:proofErr w:type="spellEnd"/>
      <w:r w:rsidRPr="00402D0C">
        <w:rPr>
          <w:i/>
          <w:iCs/>
        </w:rPr>
        <w:t xml:space="preserve"> </w:t>
      </w:r>
      <w:proofErr w:type="spellStart"/>
      <w:r w:rsidRPr="00402D0C">
        <w:rPr>
          <w:i/>
          <w:iCs/>
        </w:rPr>
        <w:t>Manajemen</w:t>
      </w:r>
      <w:proofErr w:type="spellEnd"/>
      <w:r w:rsidRPr="00402D0C">
        <w:rPr>
          <w:i/>
          <w:iCs/>
        </w:rPr>
        <w:t xml:space="preserve"> Pendidikan Islam</w:t>
      </w:r>
      <w:r w:rsidRPr="00402D0C">
        <w:t>, </w:t>
      </w:r>
      <w:r w:rsidRPr="00402D0C">
        <w:rPr>
          <w:i/>
          <w:iCs/>
        </w:rPr>
        <w:t>8</w:t>
      </w:r>
      <w:r w:rsidRPr="00402D0C">
        <w:t xml:space="preserve">(3), pp.493-503. Available at: </w:t>
      </w:r>
      <w:hyperlink r:id="rId21" w:history="1">
        <w:r w:rsidRPr="00402D0C">
          <w:rPr>
            <w:rStyle w:val="Hyperlink"/>
          </w:rPr>
          <w:t>https://www.mendeley.com/catalogue/8d3d59dc-98f4-3256-944b-705e7338fc66/</w:t>
        </w:r>
      </w:hyperlink>
      <w:r w:rsidRPr="00402D0C">
        <w:t xml:space="preserve"> (Accessed 30</w:t>
      </w:r>
      <w:r w:rsidRPr="00402D0C">
        <w:rPr>
          <w:vertAlign w:val="superscript"/>
        </w:rPr>
        <w:t>th</w:t>
      </w:r>
      <w:r w:rsidRPr="00402D0C">
        <w:t xml:space="preserve"> October 2024)</w:t>
      </w:r>
    </w:p>
    <w:p w14:paraId="4CCFFD86" w14:textId="77777777" w:rsidR="001F7246" w:rsidRPr="00402D0C" w:rsidRDefault="001F7246" w:rsidP="00B5130B">
      <w:r w:rsidRPr="00402D0C">
        <w:rPr>
          <w:lang w:val="sv-SE"/>
        </w:rPr>
        <w:t xml:space="preserve">Friesen, Norm &amp; Henriksson, Carina &amp; </w:t>
      </w:r>
      <w:proofErr w:type="spellStart"/>
      <w:r w:rsidRPr="00402D0C">
        <w:rPr>
          <w:lang w:val="sv-SE"/>
        </w:rPr>
        <w:t>Saevi</w:t>
      </w:r>
      <w:proofErr w:type="spellEnd"/>
      <w:r w:rsidRPr="00402D0C">
        <w:rPr>
          <w:lang w:val="sv-SE"/>
        </w:rPr>
        <w:t xml:space="preserve">, Tone. </w:t>
      </w:r>
      <w:r w:rsidRPr="00402D0C">
        <w:t xml:space="preserve">(2012). </w:t>
      </w:r>
      <w:r w:rsidRPr="00402D0C">
        <w:rPr>
          <w:i/>
          <w:iCs/>
        </w:rPr>
        <w:t>Hermeneutic Phenomenology in Education</w:t>
      </w:r>
      <w:r w:rsidRPr="00402D0C">
        <w:t>. London: Sense. 4.</w:t>
      </w:r>
    </w:p>
    <w:p w14:paraId="623DCD8D" w14:textId="77777777" w:rsidR="001F7246" w:rsidRPr="00402D0C" w:rsidRDefault="001F7246" w:rsidP="00B5130B">
      <w:r w:rsidRPr="00402D0C">
        <w:t xml:space="preserve">Garlick (2021), </w:t>
      </w:r>
      <w:r w:rsidRPr="00402D0C">
        <w:rPr>
          <w:i/>
          <w:iCs/>
        </w:rPr>
        <w:t>Menopause and  Employment Law</w:t>
      </w:r>
      <w:r w:rsidRPr="00402D0C">
        <w:t xml:space="preserve">, Available at: </w:t>
      </w:r>
      <w:hyperlink r:id="rId22" w:history="1">
        <w:r w:rsidRPr="00402D0C">
          <w:rPr>
            <w:rStyle w:val="Hyperlink"/>
          </w:rPr>
          <w:t>https://menopausefriendly.co.uk/menopause-and-employment-law/</w:t>
        </w:r>
      </w:hyperlink>
      <w:r w:rsidRPr="00402D0C">
        <w:t>(Accessed 29</w:t>
      </w:r>
      <w:r w:rsidRPr="00402D0C">
        <w:rPr>
          <w:vertAlign w:val="superscript"/>
        </w:rPr>
        <w:t>th</w:t>
      </w:r>
      <w:r w:rsidRPr="00402D0C">
        <w:t xml:space="preserve"> October 2024)</w:t>
      </w:r>
    </w:p>
    <w:p w14:paraId="78038C2F" w14:textId="77777777" w:rsidR="001F7246" w:rsidRPr="00402D0C" w:rsidRDefault="001F7246" w:rsidP="00B5130B">
      <w:r w:rsidRPr="00402D0C">
        <w:t xml:space="preserve">Gelder, E. , Thomas, K., Othe, V. (2023), </w:t>
      </w:r>
      <w:r w:rsidRPr="00402D0C">
        <w:rPr>
          <w:i/>
          <w:iCs/>
        </w:rPr>
        <w:t xml:space="preserve">Menopause discrimination: Where are we now?, </w:t>
      </w:r>
      <w:r w:rsidRPr="00402D0C">
        <w:t xml:space="preserve">Available at :  </w:t>
      </w:r>
      <w:hyperlink r:id="rId23" w:history="1">
        <w:r w:rsidRPr="00402D0C">
          <w:rPr>
            <w:rStyle w:val="Hyperlink"/>
          </w:rPr>
          <w:t>https://www.rpclegal.com/thinking/employment/menopause-discrimination-where-are-we-now/</w:t>
        </w:r>
      </w:hyperlink>
      <w:r w:rsidRPr="00402D0C">
        <w:t xml:space="preserve"> (Accessed 2</w:t>
      </w:r>
      <w:r w:rsidRPr="00402D0C">
        <w:rPr>
          <w:vertAlign w:val="superscript"/>
        </w:rPr>
        <w:t>nd</w:t>
      </w:r>
      <w:r w:rsidRPr="00402D0C">
        <w:t xml:space="preserve"> November 2024)</w:t>
      </w:r>
    </w:p>
    <w:p w14:paraId="3B25F1D8" w14:textId="77777777" w:rsidR="001F7246" w:rsidRPr="00402D0C" w:rsidRDefault="001F7246" w:rsidP="00B5130B">
      <w:r w:rsidRPr="00402D0C">
        <w:t xml:space="preserve">Harvard (2022) </w:t>
      </w:r>
      <w:r w:rsidRPr="00402D0C">
        <w:rPr>
          <w:i/>
          <w:iCs/>
        </w:rPr>
        <w:t>Perimenopause: Rocky Road to menopause</w:t>
      </w:r>
      <w:r w:rsidRPr="00402D0C">
        <w:t xml:space="preserve">, Available at: </w:t>
      </w:r>
      <w:hyperlink r:id="rId24" w:anchor=":~:text=Perimenopause%20varies%20greatly%20from%20one,many%20have%20no%20bothersome%20symptoms" w:history="1">
        <w:r w:rsidRPr="00402D0C">
          <w:rPr>
            <w:rStyle w:val="Hyperlink"/>
          </w:rPr>
          <w:t>https://www.health.harvard.edu/womens-health/perimenopause-rocky-road-to-menopause#:~:text=Perimenopause%20varies%20greatly%20from%20one,many%20have%20no%20bothersome%20symptoms</w:t>
        </w:r>
      </w:hyperlink>
      <w:r w:rsidRPr="00402D0C">
        <w:t>. (Accessed 24th October 2024)</w:t>
      </w:r>
    </w:p>
    <w:p w14:paraId="39BBAE3B" w14:textId="77777777" w:rsidR="001F7246" w:rsidRPr="00402D0C" w:rsidRDefault="001F7246" w:rsidP="00B5130B">
      <w:r w:rsidRPr="00402D0C">
        <w:t xml:space="preserve">House of commons (2022) </w:t>
      </w:r>
      <w:r w:rsidRPr="00402D0C">
        <w:rPr>
          <w:i/>
          <w:iCs/>
        </w:rPr>
        <w:t>Menopause and the workplace</w:t>
      </w:r>
      <w:r w:rsidRPr="00402D0C">
        <w:t xml:space="preserve">, available at: - </w:t>
      </w:r>
      <w:hyperlink r:id="rId25" w:history="1">
        <w:r w:rsidRPr="00402D0C">
          <w:rPr>
            <w:rStyle w:val="Hyperlink"/>
          </w:rPr>
          <w:t>https://committees.parliament.uk/work/1416/menopause-and-the-workplace/</w:t>
        </w:r>
      </w:hyperlink>
      <w:r w:rsidRPr="00402D0C">
        <w:t>(Accessed 2nd November 2024)</w:t>
      </w:r>
    </w:p>
    <w:p w14:paraId="7017E133" w14:textId="77777777" w:rsidR="001F7246" w:rsidRDefault="001F7246" w:rsidP="001F7246">
      <w:r w:rsidRPr="001F7246">
        <w:rPr>
          <w:lang w:val="nb-NO"/>
        </w:rPr>
        <w:t xml:space="preserve">Knott, E., </w:t>
      </w:r>
      <w:proofErr w:type="spellStart"/>
      <w:r w:rsidRPr="001F7246">
        <w:rPr>
          <w:lang w:val="nb-NO"/>
        </w:rPr>
        <w:t>Rao</w:t>
      </w:r>
      <w:proofErr w:type="spellEnd"/>
      <w:r w:rsidRPr="001F7246">
        <w:rPr>
          <w:lang w:val="nb-NO"/>
        </w:rPr>
        <w:t>, A.H., Summers, K. </w:t>
      </w:r>
      <w:r w:rsidRPr="001F7246">
        <w:rPr>
          <w:i/>
          <w:iCs/>
          <w:lang w:val="nb-NO"/>
        </w:rPr>
        <w:t>et al.</w:t>
      </w:r>
      <w:r>
        <w:rPr>
          <w:lang w:val="nb-NO"/>
        </w:rPr>
        <w:t xml:space="preserve"> </w:t>
      </w:r>
      <w:r w:rsidRPr="001F7246">
        <w:t>(2022), ‘Interviews in the social sciences</w:t>
      </w:r>
      <w:r>
        <w:t>’</w:t>
      </w:r>
      <w:r w:rsidRPr="001F7246">
        <w:t>. </w:t>
      </w:r>
      <w:r w:rsidRPr="001F7246">
        <w:rPr>
          <w:i/>
          <w:iCs/>
        </w:rPr>
        <w:t>Nat Rev Methods Primers</w:t>
      </w:r>
      <w:r>
        <w:rPr>
          <w:i/>
          <w:iCs/>
        </w:rPr>
        <w:t xml:space="preserve">, </w:t>
      </w:r>
      <w:r>
        <w:t>2 ,</w:t>
      </w:r>
      <w:r w:rsidRPr="001F7246">
        <w:t xml:space="preserve"> 73 (2022). </w:t>
      </w:r>
      <w:r>
        <w:t xml:space="preserve">Available at: </w:t>
      </w:r>
      <w:hyperlink r:id="rId26" w:anchor="citeas" w:history="1">
        <w:r w:rsidRPr="002F2574">
          <w:rPr>
            <w:rStyle w:val="Hyperlink"/>
          </w:rPr>
          <w:t>https://www.nature.com/articles/s43586-022-00150-6#citeas</w:t>
        </w:r>
      </w:hyperlink>
      <w:r>
        <w:t xml:space="preserve"> (Accessed 12</w:t>
      </w:r>
      <w:r w:rsidRPr="001F7246">
        <w:rPr>
          <w:vertAlign w:val="superscript"/>
        </w:rPr>
        <w:t>th</w:t>
      </w:r>
      <w:r>
        <w:t xml:space="preserve"> November 2024)</w:t>
      </w:r>
    </w:p>
    <w:p w14:paraId="5F276493" w14:textId="77777777" w:rsidR="001F7246" w:rsidRPr="00402D0C" w:rsidRDefault="001F7246" w:rsidP="00B5130B">
      <w:r w:rsidRPr="00402D0C">
        <w:rPr>
          <w:lang w:val="nb-NO"/>
        </w:rPr>
        <w:t xml:space="preserve">Knott, E., </w:t>
      </w:r>
      <w:proofErr w:type="spellStart"/>
      <w:r w:rsidRPr="00402D0C">
        <w:rPr>
          <w:lang w:val="nb-NO"/>
        </w:rPr>
        <w:t>Rao</w:t>
      </w:r>
      <w:proofErr w:type="spellEnd"/>
      <w:r w:rsidRPr="00402D0C">
        <w:rPr>
          <w:lang w:val="nb-NO"/>
        </w:rPr>
        <w:t>, A.H., Summers, K. </w:t>
      </w:r>
      <w:r w:rsidRPr="00402D0C">
        <w:rPr>
          <w:i/>
          <w:iCs/>
          <w:lang w:val="nb-NO"/>
        </w:rPr>
        <w:t>et al.</w:t>
      </w:r>
      <w:r w:rsidRPr="00402D0C">
        <w:rPr>
          <w:lang w:val="nb-NO"/>
        </w:rPr>
        <w:t> </w:t>
      </w:r>
      <w:r w:rsidRPr="00402D0C">
        <w:t>(2022) ‘Interviews in the social sciences’. </w:t>
      </w:r>
      <w:r w:rsidRPr="00402D0C">
        <w:rPr>
          <w:i/>
          <w:iCs/>
        </w:rPr>
        <w:t xml:space="preserve">Nat Rev Methods Primers, </w:t>
      </w:r>
      <w:r w:rsidRPr="00402D0C">
        <w:t xml:space="preserve">2 (73), Available at: </w:t>
      </w:r>
      <w:hyperlink r:id="rId27" w:history="1">
        <w:r w:rsidRPr="00402D0C">
          <w:rPr>
            <w:rStyle w:val="Hyperlink"/>
          </w:rPr>
          <w:t>https://www.nature.com/articles/s43586-022-00150-6</w:t>
        </w:r>
      </w:hyperlink>
      <w:r w:rsidRPr="00402D0C">
        <w:t xml:space="preserve"> (Accessed 30th October 2024)</w:t>
      </w:r>
    </w:p>
    <w:p w14:paraId="054A4FC5" w14:textId="77777777" w:rsidR="001F7246" w:rsidRPr="00402D0C" w:rsidRDefault="001F7246" w:rsidP="00B5130B">
      <w:r w:rsidRPr="00402D0C">
        <w:t xml:space="preserve">Lakshman, M. , Sinha, L. , Biswas, M. , &amp; Charles, M. &amp; Arora, N. (2000). ‘Quantitative Vs qualitative research methods’ . </w:t>
      </w:r>
      <w:r w:rsidRPr="00402D0C">
        <w:rPr>
          <w:i/>
          <w:iCs/>
        </w:rPr>
        <w:t xml:space="preserve">Indian journal of </w:t>
      </w:r>
      <w:proofErr w:type="spellStart"/>
      <w:r w:rsidRPr="00402D0C">
        <w:rPr>
          <w:i/>
          <w:iCs/>
        </w:rPr>
        <w:t>pediatrics</w:t>
      </w:r>
      <w:proofErr w:type="spellEnd"/>
      <w:r w:rsidRPr="00402D0C">
        <w:t xml:space="preserve">. 67 (5) pp. 369-77. Available at:  </w:t>
      </w:r>
      <w:hyperlink r:id="rId28" w:history="1">
        <w:r w:rsidRPr="00402D0C">
          <w:rPr>
            <w:rStyle w:val="Hyperlink"/>
          </w:rPr>
          <w:t>https://www.researchgate.net/publication/12434326_Quantitative_Vs_qualitative_research_methods</w:t>
        </w:r>
      </w:hyperlink>
      <w:r w:rsidRPr="00402D0C">
        <w:t xml:space="preserve"> (Accessed 24th October 2024)</w:t>
      </w:r>
    </w:p>
    <w:p w14:paraId="0EE2EF6B" w14:textId="77777777" w:rsidR="001F7246" w:rsidRPr="00402D0C" w:rsidRDefault="001F7246" w:rsidP="00B5130B">
      <w:r w:rsidRPr="00402D0C">
        <w:lastRenderedPageBreak/>
        <w:t xml:space="preserve">Monique </w:t>
      </w:r>
      <w:proofErr w:type="spellStart"/>
      <w:r w:rsidRPr="00402D0C">
        <w:t>Hennink</w:t>
      </w:r>
      <w:proofErr w:type="spellEnd"/>
      <w:r w:rsidRPr="00402D0C">
        <w:t xml:space="preserve">, Bonnie N. Kaiser,(2022),’Sample sizes for saturation in qualitative research: A systematic review of empirical tests’, </w:t>
      </w:r>
      <w:r w:rsidRPr="00402D0C">
        <w:rPr>
          <w:i/>
          <w:iCs/>
        </w:rPr>
        <w:t>Social Science &amp; Medicine</w:t>
      </w:r>
      <w:r w:rsidRPr="00402D0C">
        <w:t xml:space="preserve">, 292. Available at: https: </w:t>
      </w:r>
      <w:hyperlink r:id="rId29" w:history="1">
        <w:r w:rsidRPr="00402D0C">
          <w:rPr>
            <w:rStyle w:val="Hyperlink"/>
          </w:rPr>
          <w:t>https://www.sciencedirect.com/science/article/pii/S0277953621008558</w:t>
        </w:r>
      </w:hyperlink>
      <w:r w:rsidRPr="00402D0C">
        <w:t>(Accessed 22</w:t>
      </w:r>
      <w:r w:rsidRPr="00402D0C">
        <w:rPr>
          <w:vertAlign w:val="superscript"/>
        </w:rPr>
        <w:t>nd</w:t>
      </w:r>
      <w:r w:rsidRPr="00402D0C">
        <w:t xml:space="preserve"> October 2024)</w:t>
      </w:r>
    </w:p>
    <w:p w14:paraId="33078DD9" w14:textId="77777777" w:rsidR="001F7246" w:rsidRPr="00402D0C" w:rsidRDefault="001F7246" w:rsidP="00B5130B">
      <w:proofErr w:type="spellStart"/>
      <w:r w:rsidRPr="00402D0C">
        <w:rPr>
          <w:lang w:val="sv-SE"/>
        </w:rPr>
        <w:t>Munn</w:t>
      </w:r>
      <w:proofErr w:type="spellEnd"/>
      <w:r w:rsidRPr="00402D0C">
        <w:rPr>
          <w:lang w:val="sv-SE"/>
        </w:rPr>
        <w:t xml:space="preserve"> C, Vaughan L, </w:t>
      </w:r>
      <w:proofErr w:type="spellStart"/>
      <w:r w:rsidRPr="00402D0C">
        <w:rPr>
          <w:lang w:val="sv-SE"/>
        </w:rPr>
        <w:t>Talaulikar</w:t>
      </w:r>
      <w:proofErr w:type="spellEnd"/>
      <w:r w:rsidRPr="00402D0C">
        <w:rPr>
          <w:lang w:val="sv-SE"/>
        </w:rPr>
        <w:t xml:space="preserve"> V, Davies MC, Harper JC. </w:t>
      </w:r>
      <w:r w:rsidRPr="00402D0C">
        <w:t xml:space="preserve">(2022),  ‘Menopause knowledge and education in women under 40: Results from an online survey.’ </w:t>
      </w:r>
      <w:r w:rsidRPr="00402D0C">
        <w:rPr>
          <w:i/>
          <w:iCs/>
        </w:rPr>
        <w:t>Women’s Health</w:t>
      </w:r>
      <w:r w:rsidRPr="00402D0C">
        <w:t>.18. Available at :</w:t>
      </w:r>
      <w:hyperlink r:id="rId30" w:history="1">
        <w:r w:rsidRPr="00402D0C">
          <w:rPr>
            <w:rStyle w:val="Hyperlink"/>
          </w:rPr>
          <w:t xml:space="preserve">Menopause knowledge and education in women under 40: Results from an online survey - Carly Munn, Leigh Vaughan, Vikram </w:t>
        </w:r>
        <w:proofErr w:type="spellStart"/>
        <w:r w:rsidRPr="00402D0C">
          <w:rPr>
            <w:rStyle w:val="Hyperlink"/>
          </w:rPr>
          <w:t>Talaulikar</w:t>
        </w:r>
        <w:proofErr w:type="spellEnd"/>
        <w:r w:rsidRPr="00402D0C">
          <w:rPr>
            <w:rStyle w:val="Hyperlink"/>
          </w:rPr>
          <w:t>, Melanie C Davies, Joyce C Harper, 2022</w:t>
        </w:r>
      </w:hyperlink>
      <w:r w:rsidRPr="00402D0C">
        <w:t>(Accessed 2nd November 2024)</w:t>
      </w:r>
    </w:p>
    <w:p w14:paraId="43D99D97" w14:textId="77777777" w:rsidR="001F7246" w:rsidRPr="00402D0C" w:rsidRDefault="001F7246" w:rsidP="00B5130B">
      <w:r w:rsidRPr="00402D0C">
        <w:t xml:space="preserve">Negi, D(2024), </w:t>
      </w:r>
      <w:r w:rsidRPr="00402D0C">
        <w:rPr>
          <w:i/>
          <w:iCs/>
        </w:rPr>
        <w:t>Should I include a timeline in my research proposal</w:t>
      </w:r>
      <w:r w:rsidRPr="00402D0C">
        <w:t xml:space="preserve">, Available at : </w:t>
      </w:r>
      <w:hyperlink r:id="rId31" w:history="1">
        <w:r w:rsidRPr="00402D0C">
          <w:rPr>
            <w:rStyle w:val="Hyperlink"/>
          </w:rPr>
          <w:t>https://medium.com/@deepaknegi24lwf/should-i-include-a-timeline-in-my-research-proposal-41be10aab84a</w:t>
        </w:r>
      </w:hyperlink>
      <w:r w:rsidRPr="00402D0C">
        <w:t xml:space="preserve"> (Accessed 30th October 2024)</w:t>
      </w:r>
    </w:p>
    <w:p w14:paraId="0E7F88F1" w14:textId="77777777" w:rsidR="001F7246" w:rsidRPr="00402D0C" w:rsidRDefault="001F7246" w:rsidP="00B5130B">
      <w:r w:rsidRPr="00402D0C">
        <w:t xml:space="preserve">NHS (2022), </w:t>
      </w:r>
      <w:r w:rsidRPr="00402D0C">
        <w:rPr>
          <w:i/>
          <w:iCs/>
        </w:rPr>
        <w:t>Things you can do – Menopause</w:t>
      </w:r>
      <w:r w:rsidRPr="00402D0C">
        <w:t xml:space="preserve">, Available at:  </w:t>
      </w:r>
      <w:hyperlink r:id="rId32" w:history="1">
        <w:r w:rsidRPr="00402D0C">
          <w:rPr>
            <w:rStyle w:val="Hyperlink"/>
          </w:rPr>
          <w:t>https://www.nhs.uk/conditions/menopause/things-you-can-do/</w:t>
        </w:r>
      </w:hyperlink>
      <w:r w:rsidRPr="00402D0C">
        <w:t xml:space="preserve"> (Accessed 30</w:t>
      </w:r>
      <w:r w:rsidRPr="00402D0C">
        <w:rPr>
          <w:vertAlign w:val="superscript"/>
        </w:rPr>
        <w:t>th</w:t>
      </w:r>
      <w:r w:rsidRPr="00402D0C">
        <w:t xml:space="preserve"> October 2024)</w:t>
      </w:r>
    </w:p>
    <w:p w14:paraId="4DB54C48" w14:textId="77777777" w:rsidR="001F7246" w:rsidRPr="00402D0C" w:rsidRDefault="001F7246" w:rsidP="00B5130B">
      <w:r w:rsidRPr="00402D0C">
        <w:t xml:space="preserve">Nording, L. (2022) </w:t>
      </w:r>
      <w:r w:rsidRPr="00402D0C">
        <w:rPr>
          <w:i/>
          <w:iCs/>
        </w:rPr>
        <w:t>Why menopause matters in the academic workplace,</w:t>
      </w:r>
      <w:r w:rsidRPr="00402D0C">
        <w:t xml:space="preserve"> Available at: </w:t>
      </w:r>
      <w:hyperlink r:id="rId33" w:history="1">
        <w:r w:rsidRPr="00402D0C">
          <w:rPr>
            <w:rStyle w:val="Hyperlink"/>
          </w:rPr>
          <w:t>https://www.nature.com/articles/d41586-022-01258-1</w:t>
        </w:r>
      </w:hyperlink>
      <w:r w:rsidRPr="00402D0C">
        <w:t xml:space="preserve"> (Accessed 2nd November 2024)</w:t>
      </w:r>
    </w:p>
    <w:p w14:paraId="3F3C51FA" w14:textId="77777777" w:rsidR="001F7246" w:rsidRPr="00402D0C" w:rsidRDefault="001F7246" w:rsidP="00B5130B">
      <w:r w:rsidRPr="00402D0C">
        <w:t xml:space="preserve">Peterson (2022), </w:t>
      </w:r>
      <w:r w:rsidRPr="00402D0C">
        <w:rPr>
          <w:i/>
          <w:iCs/>
        </w:rPr>
        <w:t xml:space="preserve">How to Determine the Right Sample Size for Quantitative Research, </w:t>
      </w:r>
      <w:r w:rsidRPr="00402D0C">
        <w:t xml:space="preserve">Available at: </w:t>
      </w:r>
      <w:hyperlink r:id="rId34" w:history="1">
        <w:r w:rsidRPr="00402D0C">
          <w:rPr>
            <w:rStyle w:val="Hyperlink"/>
          </w:rPr>
          <w:t>https://emi-rs.com/2022/02/01/a-quick-guide-to-calculating-sample-size/</w:t>
        </w:r>
      </w:hyperlink>
      <w:r w:rsidRPr="00402D0C">
        <w:t xml:space="preserve"> (Accessed 30</w:t>
      </w:r>
      <w:r w:rsidRPr="00402D0C">
        <w:rPr>
          <w:vertAlign w:val="superscript"/>
        </w:rPr>
        <w:t>th</w:t>
      </w:r>
      <w:r w:rsidRPr="00402D0C">
        <w:t xml:space="preserve"> October 2024)</w:t>
      </w:r>
    </w:p>
    <w:p w14:paraId="0821CC46" w14:textId="77777777" w:rsidR="001F7246" w:rsidRPr="00402D0C" w:rsidRDefault="001F7246" w:rsidP="00B5130B">
      <w:r w:rsidRPr="00402D0C">
        <w:t>Queirós, A., Faria, D. and Almeida, F., (2017) ‘Strengths and limitations of qualitative and quantitative research methods’ , </w:t>
      </w:r>
      <w:r w:rsidRPr="00402D0C">
        <w:rPr>
          <w:i/>
          <w:iCs/>
        </w:rPr>
        <w:t>European journal of education studies</w:t>
      </w:r>
      <w:r w:rsidRPr="00402D0C">
        <w:t xml:space="preserve">. Available at: </w:t>
      </w:r>
      <w:hyperlink r:id="rId35" w:history="1">
        <w:r w:rsidRPr="00402D0C">
          <w:rPr>
            <w:rStyle w:val="Hyperlink"/>
          </w:rPr>
          <w:t>https://oapub.org/edu/index.php/ejes/article/view/1017</w:t>
        </w:r>
      </w:hyperlink>
      <w:r w:rsidRPr="00402D0C">
        <w:t xml:space="preserve"> (Accessed 22nd October 2024)</w:t>
      </w:r>
    </w:p>
    <w:p w14:paraId="13A654DA" w14:textId="77777777" w:rsidR="001F7246" w:rsidRPr="00402D0C" w:rsidRDefault="001F7246" w:rsidP="00B5130B">
      <w:proofErr w:type="spellStart"/>
      <w:r w:rsidRPr="00402D0C">
        <w:rPr>
          <w:lang w:val="de-DE"/>
        </w:rPr>
        <w:t>Quinby</w:t>
      </w:r>
      <w:proofErr w:type="spellEnd"/>
      <w:r w:rsidRPr="00402D0C">
        <w:rPr>
          <w:lang w:val="de-DE"/>
        </w:rPr>
        <w:t xml:space="preserve">, L.D. and Wettstein, G.,(2024). </w:t>
      </w:r>
      <w:r w:rsidRPr="00402D0C">
        <w:t>‘Are older workers capable of working longer?’. </w:t>
      </w:r>
      <w:r w:rsidRPr="00402D0C">
        <w:rPr>
          <w:i/>
          <w:iCs/>
        </w:rPr>
        <w:t>Journal of Pension Economics &amp; Finance</w:t>
      </w:r>
      <w:r w:rsidRPr="00402D0C">
        <w:t>, </w:t>
      </w:r>
      <w:r w:rsidRPr="00402D0C">
        <w:rPr>
          <w:i/>
          <w:iCs/>
        </w:rPr>
        <w:t>23</w:t>
      </w:r>
      <w:r w:rsidRPr="00402D0C">
        <w:t xml:space="preserve">(2), pp.165-182. Available at : </w:t>
      </w:r>
      <w:hyperlink r:id="rId36" w:history="1">
        <w:r w:rsidRPr="00402D0C">
          <w:rPr>
            <w:rStyle w:val="Hyperlink"/>
          </w:rPr>
          <w:t>https://www.cambridge.org/core/journals/journal-of-pension-economics-and-finance/article/are-older-workers-capable-of-working-longer/03BEF28FFBCAB57BAC7E8D14C5F5D92A</w:t>
        </w:r>
      </w:hyperlink>
      <w:r w:rsidRPr="00402D0C">
        <w:t>(Accessed 24th October 2024)</w:t>
      </w:r>
    </w:p>
    <w:p w14:paraId="6F11E43E" w14:textId="77777777" w:rsidR="001F7246" w:rsidRPr="00402D0C" w:rsidRDefault="001F7246" w:rsidP="00B5130B">
      <w:r w:rsidRPr="00402D0C">
        <w:t xml:space="preserve">Reitz, M. , </w:t>
      </w:r>
      <w:proofErr w:type="spellStart"/>
      <w:r w:rsidRPr="00402D0C">
        <w:t>Bolton,M</w:t>
      </w:r>
      <w:proofErr w:type="spellEnd"/>
      <w:r w:rsidRPr="00402D0C">
        <w:t xml:space="preserve">.&amp; Emslie, K. (2020) </w:t>
      </w:r>
      <w:r w:rsidRPr="00402D0C">
        <w:rPr>
          <w:i/>
          <w:iCs/>
        </w:rPr>
        <w:t xml:space="preserve">Is Menopause a Taboo in Your Organization, </w:t>
      </w:r>
      <w:r w:rsidRPr="00402D0C">
        <w:t xml:space="preserve"> Available at: </w:t>
      </w:r>
      <w:hyperlink r:id="rId37" w:history="1">
        <w:r w:rsidRPr="00402D0C">
          <w:rPr>
            <w:rStyle w:val="Hyperlink"/>
          </w:rPr>
          <w:t>https://hbr.org/2020/02/is-menopause-a-taboo-in-your-organization</w:t>
        </w:r>
      </w:hyperlink>
      <w:r w:rsidRPr="00402D0C">
        <w:t>(Accessed 2</w:t>
      </w:r>
      <w:r w:rsidRPr="00402D0C">
        <w:rPr>
          <w:vertAlign w:val="superscript"/>
        </w:rPr>
        <w:t>nd</w:t>
      </w:r>
      <w:r w:rsidRPr="00402D0C">
        <w:t xml:space="preserve"> November 2024)</w:t>
      </w:r>
    </w:p>
    <w:p w14:paraId="1C6E0F71" w14:textId="77777777" w:rsidR="001F7246" w:rsidRPr="00402D0C" w:rsidRDefault="001F7246" w:rsidP="00B5130B">
      <w:r w:rsidRPr="00402D0C">
        <w:t>Roberts, R.E. (2020) ‘Qualitative Interview Questions: Guidance for Novice Researchers’, </w:t>
      </w:r>
      <w:r w:rsidRPr="00402D0C">
        <w:rPr>
          <w:i/>
          <w:iCs/>
        </w:rPr>
        <w:t>Qualitative Report</w:t>
      </w:r>
      <w:r w:rsidRPr="00402D0C">
        <w:t xml:space="preserve">, 25(9), pp. 3185–3203. Available at: </w:t>
      </w:r>
      <w:hyperlink r:id="rId38" w:history="1">
        <w:r w:rsidRPr="00402D0C">
          <w:rPr>
            <w:rStyle w:val="Hyperlink"/>
          </w:rPr>
          <w:t>https://research.ebsco.com/linkprocessor/plink?id=532bce41-907f-32df-befc-7a1b5220f87c</w:t>
        </w:r>
      </w:hyperlink>
      <w:r w:rsidRPr="00402D0C">
        <w:t xml:space="preserve"> (Accessed: 30 October 2024). </w:t>
      </w:r>
    </w:p>
    <w:p w14:paraId="455331B3" w14:textId="77777777" w:rsidR="001F7246" w:rsidRPr="002D00C8" w:rsidRDefault="001F7246" w:rsidP="001F7246">
      <w:proofErr w:type="spellStart"/>
      <w:r w:rsidRPr="002D00C8">
        <w:lastRenderedPageBreak/>
        <w:t>Røddesnes</w:t>
      </w:r>
      <w:proofErr w:type="spellEnd"/>
      <w:r>
        <w:t>,</w:t>
      </w:r>
      <w:r w:rsidRPr="002D00C8">
        <w:t xml:space="preserve"> S</w:t>
      </w:r>
      <w:r>
        <w:t>.</w:t>
      </w:r>
      <w:r w:rsidRPr="002D00C8">
        <w:t>, Faber</w:t>
      </w:r>
      <w:r>
        <w:t>,</w:t>
      </w:r>
      <w:r w:rsidRPr="002D00C8">
        <w:t xml:space="preserve"> H</w:t>
      </w:r>
      <w:r>
        <w:t>.</w:t>
      </w:r>
      <w:r w:rsidRPr="002D00C8">
        <w:t>C</w:t>
      </w:r>
      <w:r>
        <w:t>.</w:t>
      </w:r>
      <w:r w:rsidRPr="002D00C8">
        <w:t>, Jensen</w:t>
      </w:r>
      <w:r>
        <w:t>,</w:t>
      </w:r>
      <w:r w:rsidRPr="002D00C8">
        <w:t xml:space="preserve"> M</w:t>
      </w:r>
      <w:r>
        <w:t>.</w:t>
      </w:r>
      <w:r w:rsidRPr="002D00C8">
        <w:t>R</w:t>
      </w:r>
      <w:r>
        <w:t>. (2019)</w:t>
      </w:r>
      <w:r w:rsidRPr="002D00C8">
        <w:t xml:space="preserve">. </w:t>
      </w:r>
      <w:r>
        <w:t>‘</w:t>
      </w:r>
      <w:r w:rsidRPr="002D00C8">
        <w:t>NVivo courses in the library: working to create the library services of tomorrow</w:t>
      </w:r>
      <w:r>
        <w:t>’</w:t>
      </w:r>
      <w:r w:rsidRPr="002D00C8">
        <w:t xml:space="preserve">. </w:t>
      </w:r>
      <w:r w:rsidRPr="002D00C8">
        <w:rPr>
          <w:i/>
          <w:iCs/>
        </w:rPr>
        <w:t>Nord J Inform Lit in High Educ</w:t>
      </w:r>
      <w:r>
        <w:t>,</w:t>
      </w:r>
      <w:r w:rsidRPr="002D00C8">
        <w:t>11(1)</w:t>
      </w:r>
      <w:r>
        <w:t>, pp.</w:t>
      </w:r>
      <w:r w:rsidRPr="002D00C8">
        <w:t xml:space="preserve">27–38. </w:t>
      </w:r>
      <w:r>
        <w:t xml:space="preserve">Available at: </w:t>
      </w:r>
      <w:hyperlink r:id="rId39" w:history="1">
        <w:r w:rsidRPr="002F2574">
          <w:rPr>
            <w:rStyle w:val="Hyperlink"/>
          </w:rPr>
          <w:t>https://ntnuopen.ntnu.no/ntnu-xmlui/handle/11250/2602791</w:t>
        </w:r>
      </w:hyperlink>
      <w:r>
        <w:t xml:space="preserve"> (Accessed 12th November 2024)</w:t>
      </w:r>
    </w:p>
    <w:p w14:paraId="23A67D17" w14:textId="77777777" w:rsidR="001F7246" w:rsidRPr="00402D0C" w:rsidRDefault="001F7246" w:rsidP="00B5130B">
      <w:r w:rsidRPr="00402D0C">
        <w:t xml:space="preserve">Rooney V Leicester City Council (2021), London, EA- 2021-000256-DA, </w:t>
      </w:r>
      <w:r w:rsidRPr="00402D0C">
        <w:rPr>
          <w:i/>
          <w:iCs/>
        </w:rPr>
        <w:t>Gov.uk</w:t>
      </w:r>
      <w:r w:rsidRPr="00402D0C">
        <w:t xml:space="preserve">, Available at: </w:t>
      </w:r>
      <w:hyperlink r:id="rId40" w:history="1">
        <w:r w:rsidRPr="00402D0C">
          <w:rPr>
            <w:rStyle w:val="Hyperlink"/>
          </w:rPr>
          <w:t>https://assets.publishing.service.gov.uk/media/615eea73e90e07198108146c/Ms_M_Rooney_v_Leicester_City_Council_EA-000070-DA__Previously_UKEAT_0064_20_DA__EA-2021-000256-DA_Previously_UKEAT_0104_21_DA_.pdf</w:t>
        </w:r>
      </w:hyperlink>
      <w:r w:rsidRPr="00402D0C">
        <w:t xml:space="preserve"> (Accessed 2</w:t>
      </w:r>
      <w:r w:rsidRPr="00402D0C">
        <w:rPr>
          <w:vertAlign w:val="superscript"/>
        </w:rPr>
        <w:t>nd</w:t>
      </w:r>
      <w:r w:rsidRPr="00402D0C">
        <w:t xml:space="preserve"> November 2024)</w:t>
      </w:r>
    </w:p>
    <w:p w14:paraId="4519A5C2" w14:textId="77777777" w:rsidR="001F7246" w:rsidRPr="00402D0C" w:rsidRDefault="001F7246" w:rsidP="00B5130B">
      <w:r w:rsidRPr="00402D0C">
        <w:t xml:space="preserve">Roscoe, J. T. (1975). </w:t>
      </w:r>
      <w:r w:rsidRPr="00402D0C">
        <w:rPr>
          <w:i/>
          <w:iCs/>
        </w:rPr>
        <w:t xml:space="preserve">Fundamental research statistics for the </w:t>
      </w:r>
      <w:proofErr w:type="spellStart"/>
      <w:r w:rsidRPr="00402D0C">
        <w:rPr>
          <w:i/>
          <w:iCs/>
        </w:rPr>
        <w:t>behavioral</w:t>
      </w:r>
      <w:proofErr w:type="spellEnd"/>
      <w:r w:rsidRPr="00402D0C">
        <w:rPr>
          <w:i/>
          <w:iCs/>
        </w:rPr>
        <w:t xml:space="preserve"> sciences</w:t>
      </w:r>
      <w:r w:rsidRPr="00402D0C">
        <w:t>. 2</w:t>
      </w:r>
      <w:r w:rsidRPr="00402D0C">
        <w:rPr>
          <w:vertAlign w:val="superscript"/>
        </w:rPr>
        <w:t>nd</w:t>
      </w:r>
      <w:r w:rsidRPr="00402D0C">
        <w:t xml:space="preserve"> </w:t>
      </w:r>
      <w:proofErr w:type="spellStart"/>
      <w:r w:rsidRPr="00402D0C">
        <w:t>edn</w:t>
      </w:r>
      <w:proofErr w:type="spellEnd"/>
      <w:r w:rsidRPr="00402D0C">
        <w:t>. New York: Holt Rinehart and Winston</w:t>
      </w:r>
    </w:p>
    <w:p w14:paraId="03F8EB7B" w14:textId="77777777" w:rsidR="001F7246" w:rsidRPr="00402D0C" w:rsidRDefault="001F7246" w:rsidP="00B5130B">
      <w:proofErr w:type="spellStart"/>
      <w:r w:rsidRPr="00402D0C">
        <w:t>Rowsell,J</w:t>
      </w:r>
      <w:proofErr w:type="spellEnd"/>
      <w:r w:rsidRPr="00402D0C">
        <w:t xml:space="preserve">. (2023), </w:t>
      </w:r>
      <w:r w:rsidRPr="00402D0C">
        <w:rPr>
          <w:i/>
          <w:iCs/>
        </w:rPr>
        <w:t>People Management</w:t>
      </w:r>
      <w:r w:rsidRPr="00402D0C">
        <w:t>, Available at:</w:t>
      </w:r>
      <w:r w:rsidRPr="00402D0C">
        <w:rPr>
          <w:i/>
          <w:iCs/>
        </w:rPr>
        <w:t xml:space="preserve"> </w:t>
      </w:r>
      <w:hyperlink r:id="rId41" w:history="1">
        <w:r w:rsidRPr="00402D0C">
          <w:rPr>
            <w:rStyle w:val="Hyperlink"/>
          </w:rPr>
          <w:t>https://www.peoplemanagement.co.uk/article/1839328/37k-awarded-office-manager-told-everybody-gets-menopause-%E2%80%93-just-it</w:t>
        </w:r>
      </w:hyperlink>
      <w:r w:rsidRPr="00402D0C">
        <w:t>(Accessed 2</w:t>
      </w:r>
      <w:r w:rsidRPr="00402D0C">
        <w:rPr>
          <w:vertAlign w:val="superscript"/>
        </w:rPr>
        <w:t>nd</w:t>
      </w:r>
      <w:r w:rsidRPr="00402D0C">
        <w:t xml:space="preserve"> November 2024)</w:t>
      </w:r>
    </w:p>
    <w:p w14:paraId="7F6E85A7" w14:textId="77777777" w:rsidR="001F7246" w:rsidRPr="00402D0C" w:rsidRDefault="001F7246" w:rsidP="00B5130B">
      <w:r w:rsidRPr="00402D0C">
        <w:t>Singh, A.S.,(2017) ‘Common procedures for development, validity and reliability of a questionnaire’. </w:t>
      </w:r>
      <w:r w:rsidRPr="00402D0C">
        <w:rPr>
          <w:i/>
          <w:iCs/>
        </w:rPr>
        <w:t>International Journal of Economics, Commerce and Management</w:t>
      </w:r>
      <w:r w:rsidRPr="00402D0C">
        <w:t>, </w:t>
      </w:r>
      <w:r w:rsidRPr="00402D0C">
        <w:rPr>
          <w:i/>
          <w:iCs/>
        </w:rPr>
        <w:t>5</w:t>
      </w:r>
      <w:r w:rsidRPr="00402D0C">
        <w:t xml:space="preserve">(5), pp.790-801. Available at: </w:t>
      </w:r>
      <w:hyperlink r:id="rId42" w:history="1">
        <w:r w:rsidRPr="00402D0C">
          <w:rPr>
            <w:rStyle w:val="Hyperlink"/>
          </w:rPr>
          <w:t>https://d1wqtxts1xzle7.cloudfront.net/82461261/5549-libre.pdf?1647890824=&amp;response-content-disposition=inline%3B+filename%3DLicensed_under_Creative_Common_COMMON_PR.pdf&amp;Expires=1730320757&amp;Signature=WvFNbpJWLXT1lupQ4mfn0IncAvpKK1Ow-DGFsr4dcUl3hpLk-UbXYeWE95kZbX~IiaHTzXvK1mKfgcAwQEGz~0cVpYiLXD0vwfgo9CybIKvRoyJpn29fM2TxVqOCtvr71ki319QBD6iaE43cGGhrlO94-XAVnN5E~xmkZ7rvBtXa7O6qHv96yBdKG9M6KAVpPvpAxoM0AJQNp8VlPvciE8dMZ-JIFJbS9v3wnqGLGr0~Xgp29tpjRDSio5EUsyerXZ5sK4eiG7Y4y4dAcmay8khQZ-zSQBJYL9FDJ0DyOWfSp7Eu2cpOXcM8i0yh-JViLZkHKC~VJ~QU~6vlDdn~8g__&amp;Key-Pair-Id=APKAJLOHF5GGSLRBV4ZA</w:t>
        </w:r>
      </w:hyperlink>
      <w:r w:rsidRPr="00402D0C">
        <w:t xml:space="preserve"> (Accessed 30</w:t>
      </w:r>
      <w:r w:rsidRPr="00402D0C">
        <w:rPr>
          <w:vertAlign w:val="superscript"/>
        </w:rPr>
        <w:t>th</w:t>
      </w:r>
      <w:r w:rsidRPr="00402D0C">
        <w:t xml:space="preserve"> October 2024)</w:t>
      </w:r>
    </w:p>
    <w:p w14:paraId="4E0A4BCE" w14:textId="77777777" w:rsidR="001F7246" w:rsidRPr="00402D0C" w:rsidRDefault="001F7246" w:rsidP="00B5130B">
      <w:r w:rsidRPr="00402D0C">
        <w:t xml:space="preserve">Smyrl, N. (2024), </w:t>
      </w:r>
      <w:r w:rsidRPr="00402D0C">
        <w:rPr>
          <w:i/>
          <w:iCs/>
        </w:rPr>
        <w:t>The legal pitfalls of inadequate menopause support</w:t>
      </w:r>
      <w:r w:rsidRPr="00402D0C">
        <w:t xml:space="preserve">, available at: </w:t>
      </w:r>
      <w:hyperlink r:id="rId43" w:history="1">
        <w:r w:rsidRPr="00402D0C">
          <w:rPr>
            <w:rStyle w:val="Hyperlink"/>
          </w:rPr>
          <w:t>https://www.peoplemanagement.co.uk/article/1869443/legal-pitfalls-inadequate-menopause-support</w:t>
        </w:r>
      </w:hyperlink>
      <w:r w:rsidRPr="00402D0C">
        <w:t xml:space="preserve"> (Accessed 2nd November 2024)</w:t>
      </w:r>
    </w:p>
    <w:p w14:paraId="7C0B0CA7" w14:textId="77777777" w:rsidR="001F7246" w:rsidRPr="00402D0C" w:rsidRDefault="001F7246" w:rsidP="00B5130B">
      <w:r w:rsidRPr="00402D0C">
        <w:t xml:space="preserve">Sofaer S. (1999) ‘Qualitative methods: what are they and why use them?’ , </w:t>
      </w:r>
      <w:r w:rsidRPr="00402D0C">
        <w:rPr>
          <w:i/>
          <w:iCs/>
        </w:rPr>
        <w:t>Health Service Research</w:t>
      </w:r>
      <w:r w:rsidRPr="00402D0C">
        <w:t xml:space="preserve">. 34(5), pp. 1101-18. Available at : </w:t>
      </w:r>
      <w:hyperlink r:id="rId44" w:history="1">
        <w:r w:rsidRPr="00402D0C">
          <w:rPr>
            <w:rStyle w:val="Hyperlink"/>
          </w:rPr>
          <w:t>https://pmc.ncbi.nlm.nih.gov/articles/PMC1089055/</w:t>
        </w:r>
      </w:hyperlink>
      <w:r w:rsidRPr="00402D0C">
        <w:rPr>
          <w:rStyle w:val="Hyperlink"/>
        </w:rPr>
        <w:t xml:space="preserve"> </w:t>
      </w:r>
      <w:r w:rsidRPr="00402D0C">
        <w:t xml:space="preserve"> (Accessed 22</w:t>
      </w:r>
      <w:r w:rsidRPr="00402D0C">
        <w:rPr>
          <w:vertAlign w:val="superscript"/>
        </w:rPr>
        <w:t>nd</w:t>
      </w:r>
      <w:r w:rsidRPr="00402D0C">
        <w:t xml:space="preserve"> October 2024)</w:t>
      </w:r>
    </w:p>
    <w:p w14:paraId="4EF1554F" w14:textId="77777777" w:rsidR="001F7246" w:rsidRPr="00402D0C" w:rsidRDefault="001F7246" w:rsidP="00B5130B">
      <w:r w:rsidRPr="00402D0C">
        <w:t xml:space="preserve">Stitzlein, C., </w:t>
      </w:r>
      <w:proofErr w:type="spellStart"/>
      <w:r w:rsidRPr="00402D0C">
        <w:t>Fielke</w:t>
      </w:r>
      <w:proofErr w:type="spellEnd"/>
      <w:r w:rsidRPr="00402D0C">
        <w:t>, S., Waldner, F. and Sanderson, T., 2021. ‘Reputational risk associated with big data research and development: An interdisciplinary perspective’. </w:t>
      </w:r>
      <w:r w:rsidRPr="00402D0C">
        <w:rPr>
          <w:i/>
          <w:iCs/>
        </w:rPr>
        <w:t>Sustainability</w:t>
      </w:r>
      <w:r w:rsidRPr="00402D0C">
        <w:t>, </w:t>
      </w:r>
      <w:r w:rsidRPr="00402D0C">
        <w:rPr>
          <w:i/>
          <w:iCs/>
        </w:rPr>
        <w:t>13</w:t>
      </w:r>
      <w:r w:rsidRPr="00402D0C">
        <w:t xml:space="preserve">(16), p.9280. Available at: </w:t>
      </w:r>
      <w:hyperlink r:id="rId45" w:history="1">
        <w:r w:rsidRPr="00402D0C">
          <w:rPr>
            <w:rStyle w:val="Hyperlink"/>
          </w:rPr>
          <w:t>https://www.mdpi.com/2071-1050/13/16/9280</w:t>
        </w:r>
      </w:hyperlink>
      <w:r w:rsidRPr="00402D0C">
        <w:t xml:space="preserve"> (Accessed 30th October 2024)</w:t>
      </w:r>
    </w:p>
    <w:p w14:paraId="1B628E3E" w14:textId="77777777" w:rsidR="001F7246" w:rsidRPr="00402D0C" w:rsidRDefault="001F7246" w:rsidP="00B5130B">
      <w:proofErr w:type="spellStart"/>
      <w:r w:rsidRPr="00402D0C">
        <w:lastRenderedPageBreak/>
        <w:t>Teamgantt</w:t>
      </w:r>
      <w:proofErr w:type="spellEnd"/>
      <w:r w:rsidRPr="00402D0C">
        <w:t xml:space="preserve"> (No date), </w:t>
      </w:r>
      <w:r w:rsidRPr="00402D0C">
        <w:rPr>
          <w:i/>
          <w:iCs/>
        </w:rPr>
        <w:t>What is a Gantt Chart? A practical guide for project managers</w:t>
      </w:r>
      <w:r w:rsidRPr="00402D0C">
        <w:t xml:space="preserve">, Available at: </w:t>
      </w:r>
      <w:hyperlink r:id="rId46" w:history="1">
        <w:r w:rsidRPr="00402D0C">
          <w:rPr>
            <w:rStyle w:val="Hyperlink"/>
          </w:rPr>
          <w:t>https://www.teamgantt.com/what-is-a-gantt-chart</w:t>
        </w:r>
      </w:hyperlink>
      <w:r w:rsidRPr="00402D0C">
        <w:t xml:space="preserve"> (Accessed 30th October 2024)</w:t>
      </w:r>
    </w:p>
    <w:p w14:paraId="2EF7B27F" w14:textId="77777777" w:rsidR="001F7246" w:rsidRPr="00402D0C" w:rsidRDefault="001F7246" w:rsidP="00B5130B">
      <w:r w:rsidRPr="00402D0C">
        <w:t xml:space="preserve">Thomas, D. R. (2006) ‘A General Inductive Approach for </w:t>
      </w:r>
      <w:proofErr w:type="spellStart"/>
      <w:r w:rsidRPr="00402D0C">
        <w:t>Analyzing</w:t>
      </w:r>
      <w:proofErr w:type="spellEnd"/>
      <w:r w:rsidRPr="00402D0C">
        <w:t xml:space="preserve"> Qualitative Evaluation Data’</w:t>
      </w:r>
      <w:r w:rsidRPr="00402D0C">
        <w:rPr>
          <w:i/>
          <w:iCs/>
        </w:rPr>
        <w:t>,  American Journal of Evaluation</w:t>
      </w:r>
      <w:r w:rsidRPr="00402D0C">
        <w:t xml:space="preserve">, 27(2), pp.237-246. Available at: </w:t>
      </w:r>
      <w:hyperlink r:id="rId47" w:history="1">
        <w:r w:rsidRPr="00402D0C">
          <w:rPr>
            <w:rStyle w:val="Hyperlink"/>
          </w:rPr>
          <w:t>https://journals.sagepub.com/doi/abs/10.1177/1098214005283748</w:t>
        </w:r>
      </w:hyperlink>
      <w:r w:rsidRPr="00402D0C">
        <w:t xml:space="preserve"> (Accessed 22nd October 2024)</w:t>
      </w:r>
    </w:p>
    <w:p w14:paraId="6F878109" w14:textId="77777777" w:rsidR="001F7246" w:rsidRPr="00402D0C" w:rsidRDefault="001F7246" w:rsidP="00B5130B">
      <w:r w:rsidRPr="00402D0C">
        <w:t xml:space="preserve">UWTSD(2023), </w:t>
      </w:r>
      <w:r w:rsidRPr="00402D0C">
        <w:rPr>
          <w:i/>
          <w:iCs/>
        </w:rPr>
        <w:t xml:space="preserve">UWTSD Ethical code of practice. </w:t>
      </w:r>
      <w:r w:rsidRPr="00402D0C">
        <w:t>UWTSD. Unpublished</w:t>
      </w:r>
    </w:p>
    <w:p w14:paraId="3C6E1A60" w14:textId="77777777" w:rsidR="001F7246" w:rsidRPr="00402D0C" w:rsidRDefault="001F7246" w:rsidP="00B5130B">
      <w:r w:rsidRPr="00402D0C">
        <w:t xml:space="preserve">UWTSD(2024a), </w:t>
      </w:r>
      <w:r w:rsidRPr="00402D0C">
        <w:rPr>
          <w:i/>
          <w:iCs/>
        </w:rPr>
        <w:t>Internal data</w:t>
      </w:r>
      <w:r w:rsidRPr="00402D0C">
        <w:t>. UWTSD. Unpublished</w:t>
      </w:r>
    </w:p>
    <w:p w14:paraId="66F6A220" w14:textId="77777777" w:rsidR="001F7246" w:rsidRPr="00402D0C" w:rsidRDefault="001F7246" w:rsidP="00B5130B">
      <w:r w:rsidRPr="00402D0C">
        <w:t>UWTSD(2024b),</w:t>
      </w:r>
      <w:r w:rsidRPr="00402D0C">
        <w:rPr>
          <w:i/>
          <w:iCs/>
        </w:rPr>
        <w:t xml:space="preserve"> Wellbeing</w:t>
      </w:r>
      <w:r w:rsidRPr="00402D0C">
        <w:t>. UWTSD. Unpublished</w:t>
      </w:r>
    </w:p>
    <w:p w14:paraId="1EB689E2" w14:textId="77777777" w:rsidR="001F7246" w:rsidRPr="00402D0C" w:rsidRDefault="001F7246" w:rsidP="00B5130B">
      <w:r w:rsidRPr="00402D0C">
        <w:t xml:space="preserve">Verdonk, P., </w:t>
      </w:r>
      <w:proofErr w:type="spellStart"/>
      <w:r w:rsidRPr="00402D0C">
        <w:t>Bendien</w:t>
      </w:r>
      <w:proofErr w:type="spellEnd"/>
      <w:r w:rsidRPr="00402D0C">
        <w:t>, E. and Appelman, Y., (2022). ‘Menopause and work: A narrative literature review about menopause, work and health’. </w:t>
      </w:r>
      <w:r w:rsidRPr="00402D0C">
        <w:rPr>
          <w:i/>
          <w:iCs/>
        </w:rPr>
        <w:t>Work</w:t>
      </w:r>
      <w:r w:rsidRPr="00402D0C">
        <w:t>, </w:t>
      </w:r>
      <w:r w:rsidRPr="00402D0C">
        <w:rPr>
          <w:i/>
          <w:iCs/>
        </w:rPr>
        <w:t>72</w:t>
      </w:r>
      <w:r w:rsidRPr="00402D0C">
        <w:t xml:space="preserve">(2), pp.483-496. Available at: </w:t>
      </w:r>
      <w:hyperlink r:id="rId48" w:history="1">
        <w:r w:rsidRPr="00402D0C">
          <w:rPr>
            <w:rStyle w:val="Hyperlink"/>
          </w:rPr>
          <w:t>https://content.iospress.com/download/work/wor205214?id=work%2Fwor205214</w:t>
        </w:r>
      </w:hyperlink>
      <w:r w:rsidRPr="00402D0C">
        <w:t xml:space="preserve">  (Accessed 30</w:t>
      </w:r>
      <w:r w:rsidRPr="00402D0C">
        <w:rPr>
          <w:vertAlign w:val="superscript"/>
        </w:rPr>
        <w:t>th</w:t>
      </w:r>
      <w:r w:rsidRPr="00402D0C">
        <w:t xml:space="preserve"> October 2024) </w:t>
      </w:r>
    </w:p>
    <w:p w14:paraId="5BD457ED" w14:textId="77777777" w:rsidR="001F7246" w:rsidRPr="00402D0C" w:rsidRDefault="001F7246" w:rsidP="00B5130B">
      <w:proofErr w:type="spellStart"/>
      <w:r w:rsidRPr="00402D0C">
        <w:t>Voxco</w:t>
      </w:r>
      <w:proofErr w:type="spellEnd"/>
      <w:r w:rsidRPr="00402D0C">
        <w:t xml:space="preserve"> (2024) </w:t>
      </w:r>
      <w:r w:rsidRPr="00402D0C">
        <w:rPr>
          <w:i/>
          <w:iCs/>
        </w:rPr>
        <w:t>Decoding Validity and Reliability for better Surveys</w:t>
      </w:r>
      <w:r w:rsidRPr="00402D0C">
        <w:t xml:space="preserve">, Available at: </w:t>
      </w:r>
      <w:hyperlink r:id="rId49" w:anchor=":~:text=Reliability%20reflects%20the%20extent%20to,study%20was%20meant%20to%20measure" w:history="1">
        <w:r w:rsidRPr="00402D0C">
          <w:rPr>
            <w:rStyle w:val="Hyperlink"/>
          </w:rPr>
          <w:t>https://www.voxco.com/blog/achieving-reliability-and-validity-in-survey-research/#:~:text=Reliability%20reflects%20the%20extent%20to,study%20was%20meant%20to%20measure</w:t>
        </w:r>
      </w:hyperlink>
      <w:r w:rsidRPr="00402D0C">
        <w:t>. (Accessed 30</w:t>
      </w:r>
      <w:r w:rsidRPr="00402D0C">
        <w:rPr>
          <w:vertAlign w:val="superscript"/>
        </w:rPr>
        <w:t>th</w:t>
      </w:r>
      <w:r w:rsidRPr="00402D0C">
        <w:t xml:space="preserve"> October 2024)</w:t>
      </w:r>
    </w:p>
    <w:p w14:paraId="7C3DFB1B" w14:textId="77777777" w:rsidR="001F7246" w:rsidRPr="00402D0C" w:rsidRDefault="001F7246" w:rsidP="00B5130B">
      <w:r w:rsidRPr="00402D0C">
        <w:t xml:space="preserve">Wellington, J., &amp; Szczerbinski, M. (2007). </w:t>
      </w:r>
      <w:r w:rsidRPr="00402D0C">
        <w:rPr>
          <w:i/>
          <w:iCs/>
        </w:rPr>
        <w:t>Research methods for the social sciences,</w:t>
      </w:r>
      <w:r w:rsidRPr="00402D0C">
        <w:t xml:space="preserve"> London: Continuum. </w:t>
      </w:r>
    </w:p>
    <w:p w14:paraId="70D73D1B" w14:textId="77777777" w:rsidR="001F7246" w:rsidRPr="00402D0C" w:rsidRDefault="001F7246" w:rsidP="00B5130B">
      <w:r w:rsidRPr="00402D0C">
        <w:t xml:space="preserve">Woods(2024), </w:t>
      </w:r>
      <w:r w:rsidRPr="00A574CF">
        <w:rPr>
          <w:i/>
          <w:iCs/>
        </w:rPr>
        <w:t>Universities are in crisis</w:t>
      </w:r>
      <w:r w:rsidRPr="00402D0C">
        <w:t xml:space="preserve">, Available at:  </w:t>
      </w:r>
      <w:hyperlink r:id="rId50" w:history="1">
        <w:r w:rsidRPr="00402D0C">
          <w:rPr>
            <w:rStyle w:val="Hyperlink"/>
          </w:rPr>
          <w:t>https://www.newstatesman.com/comment/2024/04/university-funding-is-in-crisis</w:t>
        </w:r>
      </w:hyperlink>
      <w:r w:rsidRPr="00402D0C">
        <w:rPr>
          <w:rStyle w:val="Hyperlink"/>
        </w:rPr>
        <w:t xml:space="preserve"> </w:t>
      </w:r>
      <w:r w:rsidRPr="00402D0C">
        <w:t>(Accessed 22</w:t>
      </w:r>
      <w:r w:rsidRPr="00402D0C">
        <w:rPr>
          <w:vertAlign w:val="superscript"/>
        </w:rPr>
        <w:t>nd</w:t>
      </w:r>
      <w:r w:rsidRPr="00402D0C">
        <w:t xml:space="preserve"> October 2024)</w:t>
      </w:r>
    </w:p>
    <w:p w14:paraId="0C503038" w14:textId="77777777" w:rsidR="001F7246" w:rsidRDefault="001F7246" w:rsidP="00B5130B">
      <w:r w:rsidRPr="00402D0C">
        <w:t xml:space="preserve">World Health Organization (2024), Available at: </w:t>
      </w:r>
      <w:hyperlink r:id="rId51" w:history="1">
        <w:r w:rsidRPr="00402D0C">
          <w:rPr>
            <w:rStyle w:val="Hyperlink"/>
          </w:rPr>
          <w:t>https://www.who.int/news-room/fact-sheets/detail/menopause#:~:text=The%20regularity%20and%20length%20of,55%20years%20for%20women%20worldwide</w:t>
        </w:r>
      </w:hyperlink>
      <w:r w:rsidRPr="00402D0C">
        <w:t>. (Accessed 22</w:t>
      </w:r>
      <w:r w:rsidRPr="00402D0C">
        <w:rPr>
          <w:vertAlign w:val="superscript"/>
        </w:rPr>
        <w:t>nd</w:t>
      </w:r>
      <w:r w:rsidRPr="00402D0C">
        <w:t xml:space="preserve"> October 2024)</w:t>
      </w:r>
    </w:p>
    <w:p w14:paraId="7B568E1C" w14:textId="77777777" w:rsidR="001F7246" w:rsidRPr="00402D0C" w:rsidRDefault="001F7246" w:rsidP="001F7246">
      <w:proofErr w:type="spellStart"/>
      <w:r>
        <w:t>Wyatt,H</w:t>
      </w:r>
      <w:proofErr w:type="spellEnd"/>
      <w:r>
        <w:t xml:space="preserve">. (2024), </w:t>
      </w:r>
      <w:r w:rsidRPr="001F7246">
        <w:rPr>
          <w:i/>
          <w:iCs/>
        </w:rPr>
        <w:t>Menopausal women feel unsupported at work,</w:t>
      </w:r>
      <w:r>
        <w:t xml:space="preserve"> Available at: </w:t>
      </w:r>
      <w:hyperlink r:id="rId52" w:history="1">
        <w:r w:rsidRPr="002F2574">
          <w:rPr>
            <w:rStyle w:val="Hyperlink"/>
          </w:rPr>
          <w:t>https://www.hrmagazine.co.uk/content/news/menopausal-women-feel-unsupported-at-work</w:t>
        </w:r>
      </w:hyperlink>
      <w:r>
        <w:t xml:space="preserve"> (Accessed 12th November 2024)</w:t>
      </w:r>
    </w:p>
    <w:sectPr w:rsidR="001F7246" w:rsidRPr="00402D0C" w:rsidSect="002E7950">
      <w:footerReference w:type="default" r:id="rId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799E33" w14:textId="77777777" w:rsidR="00011AA6" w:rsidRDefault="00011AA6" w:rsidP="00E72013">
      <w:pPr>
        <w:spacing w:after="0" w:line="240" w:lineRule="auto"/>
      </w:pPr>
      <w:r>
        <w:separator/>
      </w:r>
    </w:p>
  </w:endnote>
  <w:endnote w:type="continuationSeparator" w:id="0">
    <w:p w14:paraId="3568A203" w14:textId="77777777" w:rsidR="00011AA6" w:rsidRDefault="00011AA6" w:rsidP="00E720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693E27" w14:textId="771C19BA" w:rsidR="003D1952" w:rsidRDefault="003D1952">
    <w:pPr>
      <w:pStyle w:val="Footer"/>
    </w:pPr>
    <w:r>
      <w:rPr>
        <w:noProof/>
      </w:rPr>
      <mc:AlternateContent>
        <mc:Choice Requires="wpg">
          <w:drawing>
            <wp:anchor distT="0" distB="0" distL="114300" distR="114300" simplePos="0" relativeHeight="251659264" behindDoc="0" locked="0" layoutInCell="1" allowOverlap="1" wp14:anchorId="0C13EEC8" wp14:editId="73BC2C05">
              <wp:simplePos x="0" y="0"/>
              <wp:positionH relativeFrom="page">
                <wp:align>right</wp:align>
              </wp:positionH>
              <wp:positionV relativeFrom="bottomMargin">
                <wp:align>center</wp:align>
              </wp:positionV>
              <wp:extent cx="6172200" cy="417195"/>
              <wp:effectExtent l="0" t="0" r="0" b="1905"/>
              <wp:wrapNone/>
              <wp:docPr id="164" name="Group 57"/>
              <wp:cNvGraphicFramePr/>
              <a:graphic xmlns:a="http://schemas.openxmlformats.org/drawingml/2006/main">
                <a:graphicData uri="http://schemas.microsoft.com/office/word/2010/wordprocessingGroup">
                  <wpg:wgp>
                    <wpg:cNvGrpSpPr/>
                    <wpg:grpSpPr>
                      <a:xfrm>
                        <a:off x="0" y="0"/>
                        <a:ext cx="6172200" cy="417195"/>
                        <a:chOff x="0" y="0"/>
                        <a:chExt cx="6172200" cy="417195"/>
                      </a:xfrm>
                    </wpg:grpSpPr>
                    <wps:wsp>
                      <wps:cNvPr id="165" name="Rectangle 165"/>
                      <wps:cNvSpPr/>
                      <wps:spPr>
                        <a:xfrm>
                          <a:off x="22860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 name="Text Box 166"/>
                      <wps:cNvSpPr txBox="1"/>
                      <wps:spPr>
                        <a:xfrm>
                          <a:off x="0" y="9525"/>
                          <a:ext cx="5943600" cy="4076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3E926" w14:textId="53B58A97" w:rsidR="003D1952" w:rsidRDefault="00EA7761">
                            <w:pPr>
                              <w:pStyle w:val="Footer"/>
                              <w:jc w:val="right"/>
                            </w:pPr>
                            <w:sdt>
                              <w:sdtPr>
                                <w:rPr>
                                  <w:caps/>
                                  <w:color w:val="156082" w:themeColor="accent1"/>
                                  <w:sz w:val="20"/>
                                  <w:szCs w:val="20"/>
                                </w:rPr>
                                <w:alias w:val="Title"/>
                                <w:tag w:val=""/>
                                <w:id w:val="-2000573687"/>
                                <w:dataBinding w:prefixMappings="xmlns:ns0='http://purl.org/dc/elements/1.1/' xmlns:ns1='http://schemas.openxmlformats.org/package/2006/metadata/core-properties' " w:xpath="/ns1:coreProperties[1]/ns0:title[1]" w:storeItemID="{6C3C8BC8-F283-45AE-878A-BAB7291924A1}"/>
                                <w:text/>
                              </w:sdtPr>
                              <w:sdtEndPr/>
                              <w:sdtContent>
                                <w:r w:rsidR="00644660">
                                  <w:rPr>
                                    <w:caps/>
                                    <w:color w:val="156082" w:themeColor="accent1"/>
                                    <w:sz w:val="20"/>
                                    <w:szCs w:val="20"/>
                                  </w:rPr>
                                  <w:t>An investigation into the impact of Menopause in the workplace and the legal implications for UWTSD.</w:t>
                                </w:r>
                              </w:sdtContent>
                            </w:sdt>
                            <w:r w:rsidR="003D1952">
                              <w:rPr>
                                <w:caps/>
                                <w:color w:val="808080" w:themeColor="background1" w:themeShade="80"/>
                                <w:sz w:val="20"/>
                                <w:szCs w:val="20"/>
                              </w:rPr>
                              <w:t> | </w:t>
                            </w:r>
                            <w:sdt>
                              <w:sdtPr>
                                <w:rPr>
                                  <w:color w:val="808080" w:themeColor="background1" w:themeShade="80"/>
                                  <w:sz w:val="20"/>
                                  <w:szCs w:val="20"/>
                                </w:rPr>
                                <w:alias w:val="Subtitle"/>
                                <w:tag w:val=""/>
                                <w:id w:val="-757830567"/>
                                <w:dataBinding w:prefixMappings="xmlns:ns0='http://purl.org/dc/elements/1.1/' xmlns:ns1='http://schemas.openxmlformats.org/package/2006/metadata/core-properties' " w:xpath="/ns1:coreProperties[1]/ns0:subject[1]" w:storeItemID="{6C3C8BC8-F283-45AE-878A-BAB7291924A1}"/>
                                <w:text/>
                              </w:sdtPr>
                              <w:sdtEndPr/>
                              <w:sdtContent>
                                <w:r w:rsidR="002E7950">
                                  <w:rPr>
                                    <w:color w:val="808080" w:themeColor="background1" w:themeShade="80"/>
                                    <w:sz w:val="20"/>
                                    <w:szCs w:val="20"/>
                                  </w:rPr>
                                  <w:t>Dissertation Proposal</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0C13EEC8" id="Group 57" o:spid="_x0000_s1057" style="position:absolute;margin-left:434.8pt;margin-top:0;width:486pt;height:32.85pt;z-index:251659264;mso-position-horizontal:right;mso-position-horizontal-relative:page;mso-position-vertical:center;mso-position-vertical-relative:bottom-margin-area" coordsize="61722,4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">
              <v:rect id="Rectangle 165" o:spid="_x0000_s1058" style="position:absolute;left:2286;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66" o:spid="_x0000_s1059" type="#_x0000_t202" style="position:absolute;top:95;width:59436;height:40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" filled="f" stroked="f" strokeweight=".5pt">
                <v:textbox style="mso-fit-shape-to-text:t" inset="0,,0">
                  <w:txbxContent>
                    <w:p w14:paraId="6113E926" w14:textId="53B58A97" w:rsidR="003D1952" w:rsidRDefault="001F7246">
                      <w:pPr>
                        <w:pStyle w:val="Footer"/>
                        <w:jc w:val="right"/>
                      </w:pPr>
                      <w:sdt>
                        <w:sdtPr>
                          <w:rPr>
                            <w:caps/>
                            <w:color w:val="156082" w:themeColor="accent1"/>
                            <w:sz w:val="20"/>
                            <w:szCs w:val="20"/>
                          </w:rPr>
                          <w:alias w:val="Title"/>
                          <w:tag w:val=""/>
                          <w:id w:val="-2000573687"/>
                          <w:dataBinding w:prefixMappings="xmlns:ns0='http://purl.org/dc/elements/1.1/' xmlns:ns1='http://schemas.openxmlformats.org/package/2006/metadata/core-properties' " w:xpath="/ns1:coreProperties[1]/ns0:title[1]" w:storeItemID="{6C3C8BC8-F283-45AE-878A-BAB7291924A1}"/>
                          <w:text/>
                        </w:sdtPr>
                        <w:sdtEndPr/>
                        <w:sdtContent>
                          <w:r w:rsidR="00644660">
                            <w:rPr>
                              <w:caps/>
                              <w:color w:val="156082" w:themeColor="accent1"/>
                              <w:sz w:val="20"/>
                              <w:szCs w:val="20"/>
                            </w:rPr>
                            <w:t>An investigation into the impact of Menopause in the workplace and the legal implications for UWTSD.</w:t>
                          </w:r>
                        </w:sdtContent>
                      </w:sdt>
                      <w:r w:rsidR="003D1952">
                        <w:rPr>
                          <w:caps/>
                          <w:color w:val="808080" w:themeColor="background1" w:themeShade="80"/>
                          <w:sz w:val="20"/>
                          <w:szCs w:val="20"/>
                        </w:rPr>
                        <w:t> | </w:t>
                      </w:r>
                      <w:sdt>
                        <w:sdtPr>
                          <w:rPr>
                            <w:color w:val="808080" w:themeColor="background1" w:themeShade="80"/>
                            <w:sz w:val="20"/>
                            <w:szCs w:val="20"/>
                          </w:rPr>
                          <w:alias w:val="Subtitle"/>
                          <w:tag w:val=""/>
                          <w:id w:val="-757830567"/>
                          <w:dataBinding w:prefixMappings="xmlns:ns0='http://purl.org/dc/elements/1.1/' xmlns:ns1='http://schemas.openxmlformats.org/package/2006/metadata/core-properties' " w:xpath="/ns1:coreProperties[1]/ns0:subject[1]" w:storeItemID="{6C3C8BC8-F283-45AE-878A-BAB7291924A1}"/>
                          <w:text/>
                        </w:sdtPr>
                        <w:sdtEndPr/>
                        <w:sdtContent>
                          <w:r w:rsidR="002E7950">
                            <w:rPr>
                              <w:color w:val="808080" w:themeColor="background1" w:themeShade="80"/>
                              <w:sz w:val="20"/>
                              <w:szCs w:val="20"/>
                            </w:rPr>
                            <w:t>Dissertation Proposal</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0BCFB9" w14:textId="77777777" w:rsidR="00011AA6" w:rsidRDefault="00011AA6" w:rsidP="00E72013">
      <w:pPr>
        <w:spacing w:after="0" w:line="240" w:lineRule="auto"/>
      </w:pPr>
      <w:r>
        <w:separator/>
      </w:r>
    </w:p>
  </w:footnote>
  <w:footnote w:type="continuationSeparator" w:id="0">
    <w:p w14:paraId="4E865C45" w14:textId="77777777" w:rsidR="00011AA6" w:rsidRDefault="00011AA6" w:rsidP="00E720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153983"/>
    <w:multiLevelType w:val="hybridMultilevel"/>
    <w:tmpl w:val="2C5401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391D0D"/>
    <w:multiLevelType w:val="multilevel"/>
    <w:tmpl w:val="5D38C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0D5884"/>
    <w:multiLevelType w:val="multilevel"/>
    <w:tmpl w:val="9F201D04"/>
    <w:lvl w:ilvl="0">
      <w:start w:val="1"/>
      <w:numFmt w:val="bullet"/>
      <w:lvlText w:val=""/>
      <w:lvlJc w:val="left"/>
      <w:pPr>
        <w:tabs>
          <w:tab w:val="num" w:pos="720"/>
        </w:tabs>
        <w:ind w:left="720" w:hanging="360"/>
      </w:pPr>
      <w:rPr>
        <w:rFonts w:ascii="Symbol" w:hAnsi="Symbol" w:hint="default"/>
        <w:sz w:val="20"/>
      </w:rPr>
    </w:lvl>
    <w:lvl w:ilvl="1">
      <w:start w:val="10"/>
      <w:numFmt w:val="bullet"/>
      <w:lvlText w:val="-"/>
      <w:lvlJc w:val="left"/>
      <w:pPr>
        <w:ind w:left="1440" w:hanging="360"/>
      </w:pPr>
      <w:rPr>
        <w:rFonts w:ascii="Aptos" w:eastAsiaTheme="minorEastAsia"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DC0FAE"/>
    <w:multiLevelType w:val="hybridMultilevel"/>
    <w:tmpl w:val="EA344A4C"/>
    <w:lvl w:ilvl="0" w:tplc="928C9D96">
      <w:start w:val="3"/>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D30C6B"/>
    <w:multiLevelType w:val="hybridMultilevel"/>
    <w:tmpl w:val="C0BEC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E37020"/>
    <w:multiLevelType w:val="hybridMultilevel"/>
    <w:tmpl w:val="310E35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4076D2"/>
    <w:multiLevelType w:val="hybridMultilevel"/>
    <w:tmpl w:val="76120D7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1278099">
    <w:abstractNumId w:val="4"/>
  </w:num>
  <w:num w:numId="2" w16cid:durableId="74018751">
    <w:abstractNumId w:val="6"/>
  </w:num>
  <w:num w:numId="3" w16cid:durableId="1848135331">
    <w:abstractNumId w:val="2"/>
  </w:num>
  <w:num w:numId="4" w16cid:durableId="1719354488">
    <w:abstractNumId w:val="5"/>
  </w:num>
  <w:num w:numId="5" w16cid:durableId="1595749787">
    <w:abstractNumId w:val="0"/>
  </w:num>
  <w:num w:numId="6" w16cid:durableId="1036390489">
    <w:abstractNumId w:val="3"/>
  </w:num>
  <w:num w:numId="7" w16cid:durableId="16624680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0F2"/>
    <w:rsid w:val="000018B0"/>
    <w:rsid w:val="00003A2C"/>
    <w:rsid w:val="00011AA6"/>
    <w:rsid w:val="00013BDD"/>
    <w:rsid w:val="00020AB4"/>
    <w:rsid w:val="0004309C"/>
    <w:rsid w:val="00050A73"/>
    <w:rsid w:val="000668CC"/>
    <w:rsid w:val="00091A94"/>
    <w:rsid w:val="000923F9"/>
    <w:rsid w:val="000A4FFF"/>
    <w:rsid w:val="000C0B46"/>
    <w:rsid w:val="000D4294"/>
    <w:rsid w:val="000D4732"/>
    <w:rsid w:val="000F7FD5"/>
    <w:rsid w:val="00134BDA"/>
    <w:rsid w:val="00155D2C"/>
    <w:rsid w:val="00160679"/>
    <w:rsid w:val="001613C8"/>
    <w:rsid w:val="001811F8"/>
    <w:rsid w:val="001946C3"/>
    <w:rsid w:val="00194DE9"/>
    <w:rsid w:val="001B7A7A"/>
    <w:rsid w:val="001C0D4A"/>
    <w:rsid w:val="001C224F"/>
    <w:rsid w:val="001F2713"/>
    <w:rsid w:val="001F7246"/>
    <w:rsid w:val="00204505"/>
    <w:rsid w:val="00215D99"/>
    <w:rsid w:val="00224380"/>
    <w:rsid w:val="0022574A"/>
    <w:rsid w:val="002431D4"/>
    <w:rsid w:val="0026226E"/>
    <w:rsid w:val="002671A8"/>
    <w:rsid w:val="00280D3F"/>
    <w:rsid w:val="00287FCD"/>
    <w:rsid w:val="002A2BEA"/>
    <w:rsid w:val="002A5C0E"/>
    <w:rsid w:val="002C673A"/>
    <w:rsid w:val="002D00C8"/>
    <w:rsid w:val="002E7950"/>
    <w:rsid w:val="002F186E"/>
    <w:rsid w:val="003023FF"/>
    <w:rsid w:val="003165D7"/>
    <w:rsid w:val="00323001"/>
    <w:rsid w:val="003318D7"/>
    <w:rsid w:val="00354C3A"/>
    <w:rsid w:val="003571A5"/>
    <w:rsid w:val="00391DAF"/>
    <w:rsid w:val="00394748"/>
    <w:rsid w:val="003B2CA6"/>
    <w:rsid w:val="003C1404"/>
    <w:rsid w:val="003D1952"/>
    <w:rsid w:val="00402D0C"/>
    <w:rsid w:val="0040350E"/>
    <w:rsid w:val="0041589F"/>
    <w:rsid w:val="00421BF1"/>
    <w:rsid w:val="00433B59"/>
    <w:rsid w:val="00435AED"/>
    <w:rsid w:val="00487FDC"/>
    <w:rsid w:val="004A0DE3"/>
    <w:rsid w:val="004A2DBE"/>
    <w:rsid w:val="004E4286"/>
    <w:rsid w:val="004F274F"/>
    <w:rsid w:val="0052021E"/>
    <w:rsid w:val="005232D4"/>
    <w:rsid w:val="00525D55"/>
    <w:rsid w:val="00533033"/>
    <w:rsid w:val="00536987"/>
    <w:rsid w:val="0054747B"/>
    <w:rsid w:val="005658BD"/>
    <w:rsid w:val="00597D85"/>
    <w:rsid w:val="005D6CD0"/>
    <w:rsid w:val="00644660"/>
    <w:rsid w:val="00653648"/>
    <w:rsid w:val="00655AEE"/>
    <w:rsid w:val="00666D05"/>
    <w:rsid w:val="00676E6B"/>
    <w:rsid w:val="00694E41"/>
    <w:rsid w:val="00695FC2"/>
    <w:rsid w:val="006A7085"/>
    <w:rsid w:val="006F344D"/>
    <w:rsid w:val="00701290"/>
    <w:rsid w:val="00743099"/>
    <w:rsid w:val="007433A4"/>
    <w:rsid w:val="007658A2"/>
    <w:rsid w:val="007838A4"/>
    <w:rsid w:val="00797336"/>
    <w:rsid w:val="007E4356"/>
    <w:rsid w:val="008260F2"/>
    <w:rsid w:val="00836AC8"/>
    <w:rsid w:val="00844B86"/>
    <w:rsid w:val="00875DBC"/>
    <w:rsid w:val="008A31AF"/>
    <w:rsid w:val="008B7792"/>
    <w:rsid w:val="008C5BF5"/>
    <w:rsid w:val="008C73A6"/>
    <w:rsid w:val="008E3CCC"/>
    <w:rsid w:val="008F2B38"/>
    <w:rsid w:val="009262F5"/>
    <w:rsid w:val="0094589D"/>
    <w:rsid w:val="00957E80"/>
    <w:rsid w:val="009B301A"/>
    <w:rsid w:val="009C26A2"/>
    <w:rsid w:val="009D47F1"/>
    <w:rsid w:val="009E1F1F"/>
    <w:rsid w:val="00A15700"/>
    <w:rsid w:val="00A24540"/>
    <w:rsid w:val="00A25823"/>
    <w:rsid w:val="00A25B69"/>
    <w:rsid w:val="00A47597"/>
    <w:rsid w:val="00A574CF"/>
    <w:rsid w:val="00A6124C"/>
    <w:rsid w:val="00A620A7"/>
    <w:rsid w:val="00A63168"/>
    <w:rsid w:val="00A63E8B"/>
    <w:rsid w:val="00A850B7"/>
    <w:rsid w:val="00A91AAF"/>
    <w:rsid w:val="00AA16A1"/>
    <w:rsid w:val="00AA282E"/>
    <w:rsid w:val="00AA3272"/>
    <w:rsid w:val="00AB04D7"/>
    <w:rsid w:val="00AC053F"/>
    <w:rsid w:val="00AE3990"/>
    <w:rsid w:val="00AF60A3"/>
    <w:rsid w:val="00B05741"/>
    <w:rsid w:val="00B142C2"/>
    <w:rsid w:val="00B17475"/>
    <w:rsid w:val="00B5130B"/>
    <w:rsid w:val="00B76A3E"/>
    <w:rsid w:val="00BB3243"/>
    <w:rsid w:val="00BC3793"/>
    <w:rsid w:val="00BF7FAA"/>
    <w:rsid w:val="00C06A58"/>
    <w:rsid w:val="00C21CBF"/>
    <w:rsid w:val="00C37AC8"/>
    <w:rsid w:val="00C43514"/>
    <w:rsid w:val="00C53187"/>
    <w:rsid w:val="00C72A0F"/>
    <w:rsid w:val="00C86177"/>
    <w:rsid w:val="00C86D56"/>
    <w:rsid w:val="00C9609A"/>
    <w:rsid w:val="00CD09DA"/>
    <w:rsid w:val="00CD577C"/>
    <w:rsid w:val="00D178BC"/>
    <w:rsid w:val="00D560A7"/>
    <w:rsid w:val="00D63CA4"/>
    <w:rsid w:val="00D64BBC"/>
    <w:rsid w:val="00D835A7"/>
    <w:rsid w:val="00DC7E03"/>
    <w:rsid w:val="00DD0901"/>
    <w:rsid w:val="00DE10DF"/>
    <w:rsid w:val="00E013FD"/>
    <w:rsid w:val="00E07571"/>
    <w:rsid w:val="00E40B89"/>
    <w:rsid w:val="00E565C6"/>
    <w:rsid w:val="00E60776"/>
    <w:rsid w:val="00E65395"/>
    <w:rsid w:val="00E72013"/>
    <w:rsid w:val="00E81D55"/>
    <w:rsid w:val="00E907B7"/>
    <w:rsid w:val="00EA7761"/>
    <w:rsid w:val="00EB5FF2"/>
    <w:rsid w:val="00EB7304"/>
    <w:rsid w:val="00EC5476"/>
    <w:rsid w:val="00ED1582"/>
    <w:rsid w:val="00EE03CD"/>
    <w:rsid w:val="00F07778"/>
    <w:rsid w:val="00F10A0D"/>
    <w:rsid w:val="00F132C3"/>
    <w:rsid w:val="00F149BA"/>
    <w:rsid w:val="00F25B05"/>
    <w:rsid w:val="00F26267"/>
    <w:rsid w:val="00F3434B"/>
    <w:rsid w:val="00F64B9C"/>
    <w:rsid w:val="00FA461F"/>
    <w:rsid w:val="00FB287A"/>
    <w:rsid w:val="00FB5639"/>
    <w:rsid w:val="00FE4D93"/>
    <w:rsid w:val="00FE721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8D13EC"/>
  <w15:chartTrackingRefBased/>
  <w15:docId w15:val="{BB5513BD-D80C-47BE-B68D-AF156451F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60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60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60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60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60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60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60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60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60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60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60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60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60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60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60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60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60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60F2"/>
    <w:rPr>
      <w:rFonts w:eastAsiaTheme="majorEastAsia" w:cstheme="majorBidi"/>
      <w:color w:val="272727" w:themeColor="text1" w:themeTint="D8"/>
    </w:rPr>
  </w:style>
  <w:style w:type="paragraph" w:styleId="Title">
    <w:name w:val="Title"/>
    <w:basedOn w:val="Normal"/>
    <w:next w:val="Normal"/>
    <w:link w:val="TitleChar"/>
    <w:uiPriority w:val="10"/>
    <w:qFormat/>
    <w:rsid w:val="008260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60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60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60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60F2"/>
    <w:pPr>
      <w:spacing w:before="160"/>
      <w:jc w:val="center"/>
    </w:pPr>
    <w:rPr>
      <w:i/>
      <w:iCs/>
      <w:color w:val="404040" w:themeColor="text1" w:themeTint="BF"/>
    </w:rPr>
  </w:style>
  <w:style w:type="character" w:customStyle="1" w:styleId="QuoteChar">
    <w:name w:val="Quote Char"/>
    <w:basedOn w:val="DefaultParagraphFont"/>
    <w:link w:val="Quote"/>
    <w:uiPriority w:val="29"/>
    <w:rsid w:val="008260F2"/>
    <w:rPr>
      <w:i/>
      <w:iCs/>
      <w:color w:val="404040" w:themeColor="text1" w:themeTint="BF"/>
    </w:rPr>
  </w:style>
  <w:style w:type="paragraph" w:styleId="ListParagraph">
    <w:name w:val="List Paragraph"/>
    <w:basedOn w:val="Normal"/>
    <w:uiPriority w:val="34"/>
    <w:qFormat/>
    <w:rsid w:val="008260F2"/>
    <w:pPr>
      <w:ind w:left="720"/>
      <w:contextualSpacing/>
    </w:pPr>
  </w:style>
  <w:style w:type="character" w:styleId="IntenseEmphasis">
    <w:name w:val="Intense Emphasis"/>
    <w:basedOn w:val="DefaultParagraphFont"/>
    <w:uiPriority w:val="21"/>
    <w:qFormat/>
    <w:rsid w:val="008260F2"/>
    <w:rPr>
      <w:i/>
      <w:iCs/>
      <w:color w:val="0F4761" w:themeColor="accent1" w:themeShade="BF"/>
    </w:rPr>
  </w:style>
  <w:style w:type="paragraph" w:styleId="IntenseQuote">
    <w:name w:val="Intense Quote"/>
    <w:basedOn w:val="Normal"/>
    <w:next w:val="Normal"/>
    <w:link w:val="IntenseQuoteChar"/>
    <w:uiPriority w:val="30"/>
    <w:qFormat/>
    <w:rsid w:val="008260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60F2"/>
    <w:rPr>
      <w:i/>
      <w:iCs/>
      <w:color w:val="0F4761" w:themeColor="accent1" w:themeShade="BF"/>
    </w:rPr>
  </w:style>
  <w:style w:type="character" w:styleId="IntenseReference">
    <w:name w:val="Intense Reference"/>
    <w:basedOn w:val="DefaultParagraphFont"/>
    <w:uiPriority w:val="32"/>
    <w:qFormat/>
    <w:rsid w:val="008260F2"/>
    <w:rPr>
      <w:b/>
      <w:bCs/>
      <w:smallCaps/>
      <w:color w:val="0F4761" w:themeColor="accent1" w:themeShade="BF"/>
      <w:spacing w:val="5"/>
    </w:rPr>
  </w:style>
  <w:style w:type="character" w:styleId="Hyperlink">
    <w:name w:val="Hyperlink"/>
    <w:basedOn w:val="DefaultParagraphFont"/>
    <w:uiPriority w:val="99"/>
    <w:unhideWhenUsed/>
    <w:rsid w:val="00D63CA4"/>
    <w:rPr>
      <w:color w:val="467886" w:themeColor="hyperlink"/>
      <w:u w:val="single"/>
    </w:rPr>
  </w:style>
  <w:style w:type="character" w:styleId="UnresolvedMention">
    <w:name w:val="Unresolved Mention"/>
    <w:basedOn w:val="DefaultParagraphFont"/>
    <w:uiPriority w:val="99"/>
    <w:semiHidden/>
    <w:unhideWhenUsed/>
    <w:rsid w:val="00D63CA4"/>
    <w:rPr>
      <w:color w:val="605E5C"/>
      <w:shd w:val="clear" w:color="auto" w:fill="E1DFDD"/>
    </w:rPr>
  </w:style>
  <w:style w:type="paragraph" w:styleId="Header">
    <w:name w:val="header"/>
    <w:basedOn w:val="Normal"/>
    <w:link w:val="HeaderChar"/>
    <w:uiPriority w:val="99"/>
    <w:unhideWhenUsed/>
    <w:rsid w:val="00E720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013"/>
  </w:style>
  <w:style w:type="paragraph" w:styleId="Footer">
    <w:name w:val="footer"/>
    <w:basedOn w:val="Normal"/>
    <w:link w:val="FooterChar"/>
    <w:uiPriority w:val="99"/>
    <w:unhideWhenUsed/>
    <w:rsid w:val="00E720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013"/>
  </w:style>
  <w:style w:type="character" w:styleId="CommentReference">
    <w:name w:val="annotation reference"/>
    <w:basedOn w:val="DefaultParagraphFont"/>
    <w:uiPriority w:val="99"/>
    <w:semiHidden/>
    <w:unhideWhenUsed/>
    <w:rsid w:val="00E40B89"/>
    <w:rPr>
      <w:sz w:val="16"/>
      <w:szCs w:val="16"/>
    </w:rPr>
  </w:style>
  <w:style w:type="paragraph" w:styleId="CommentText">
    <w:name w:val="annotation text"/>
    <w:basedOn w:val="Normal"/>
    <w:link w:val="CommentTextChar"/>
    <w:uiPriority w:val="99"/>
    <w:unhideWhenUsed/>
    <w:rsid w:val="00E40B89"/>
    <w:pPr>
      <w:spacing w:line="240" w:lineRule="auto"/>
    </w:pPr>
    <w:rPr>
      <w:sz w:val="20"/>
      <w:szCs w:val="20"/>
    </w:rPr>
  </w:style>
  <w:style w:type="character" w:customStyle="1" w:styleId="CommentTextChar">
    <w:name w:val="Comment Text Char"/>
    <w:basedOn w:val="DefaultParagraphFont"/>
    <w:link w:val="CommentText"/>
    <w:uiPriority w:val="99"/>
    <w:rsid w:val="00E40B89"/>
    <w:rPr>
      <w:sz w:val="20"/>
      <w:szCs w:val="20"/>
    </w:rPr>
  </w:style>
  <w:style w:type="paragraph" w:styleId="CommentSubject">
    <w:name w:val="annotation subject"/>
    <w:basedOn w:val="CommentText"/>
    <w:next w:val="CommentText"/>
    <w:link w:val="CommentSubjectChar"/>
    <w:uiPriority w:val="99"/>
    <w:semiHidden/>
    <w:unhideWhenUsed/>
    <w:rsid w:val="00E40B89"/>
    <w:rPr>
      <w:b/>
      <w:bCs/>
    </w:rPr>
  </w:style>
  <w:style w:type="character" w:customStyle="1" w:styleId="CommentSubjectChar">
    <w:name w:val="Comment Subject Char"/>
    <w:basedOn w:val="CommentTextChar"/>
    <w:link w:val="CommentSubject"/>
    <w:uiPriority w:val="99"/>
    <w:semiHidden/>
    <w:rsid w:val="00E40B89"/>
    <w:rPr>
      <w:b/>
      <w:bCs/>
      <w:sz w:val="20"/>
      <w:szCs w:val="20"/>
    </w:rPr>
  </w:style>
  <w:style w:type="character" w:styleId="FollowedHyperlink">
    <w:name w:val="FollowedHyperlink"/>
    <w:basedOn w:val="DefaultParagraphFont"/>
    <w:uiPriority w:val="99"/>
    <w:semiHidden/>
    <w:unhideWhenUsed/>
    <w:rsid w:val="008E3CCC"/>
    <w:rPr>
      <w:color w:val="96607D" w:themeColor="followedHyperlink"/>
      <w:u w:val="single"/>
    </w:rPr>
  </w:style>
  <w:style w:type="paragraph" w:styleId="NoSpacing">
    <w:name w:val="No Spacing"/>
    <w:link w:val="NoSpacingChar"/>
    <w:uiPriority w:val="1"/>
    <w:qFormat/>
    <w:rsid w:val="002E7950"/>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2E7950"/>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8107618">
      <w:bodyDiv w:val="1"/>
      <w:marLeft w:val="0"/>
      <w:marRight w:val="0"/>
      <w:marTop w:val="0"/>
      <w:marBottom w:val="0"/>
      <w:divBdr>
        <w:top w:val="none" w:sz="0" w:space="0" w:color="auto"/>
        <w:left w:val="none" w:sz="0" w:space="0" w:color="auto"/>
        <w:bottom w:val="none" w:sz="0" w:space="0" w:color="auto"/>
        <w:right w:val="none" w:sz="0" w:space="0" w:color="auto"/>
      </w:divBdr>
    </w:div>
    <w:div w:id="325746548">
      <w:bodyDiv w:val="1"/>
      <w:marLeft w:val="0"/>
      <w:marRight w:val="0"/>
      <w:marTop w:val="0"/>
      <w:marBottom w:val="0"/>
      <w:divBdr>
        <w:top w:val="none" w:sz="0" w:space="0" w:color="auto"/>
        <w:left w:val="none" w:sz="0" w:space="0" w:color="auto"/>
        <w:bottom w:val="none" w:sz="0" w:space="0" w:color="auto"/>
        <w:right w:val="none" w:sz="0" w:space="0" w:color="auto"/>
      </w:divBdr>
    </w:div>
    <w:div w:id="396250389">
      <w:bodyDiv w:val="1"/>
      <w:marLeft w:val="0"/>
      <w:marRight w:val="0"/>
      <w:marTop w:val="0"/>
      <w:marBottom w:val="0"/>
      <w:divBdr>
        <w:top w:val="none" w:sz="0" w:space="0" w:color="auto"/>
        <w:left w:val="none" w:sz="0" w:space="0" w:color="auto"/>
        <w:bottom w:val="none" w:sz="0" w:space="0" w:color="auto"/>
        <w:right w:val="none" w:sz="0" w:space="0" w:color="auto"/>
      </w:divBdr>
    </w:div>
    <w:div w:id="417799654">
      <w:bodyDiv w:val="1"/>
      <w:marLeft w:val="0"/>
      <w:marRight w:val="0"/>
      <w:marTop w:val="0"/>
      <w:marBottom w:val="0"/>
      <w:divBdr>
        <w:top w:val="none" w:sz="0" w:space="0" w:color="auto"/>
        <w:left w:val="none" w:sz="0" w:space="0" w:color="auto"/>
        <w:bottom w:val="none" w:sz="0" w:space="0" w:color="auto"/>
        <w:right w:val="none" w:sz="0" w:space="0" w:color="auto"/>
      </w:divBdr>
    </w:div>
    <w:div w:id="688484586">
      <w:bodyDiv w:val="1"/>
      <w:marLeft w:val="0"/>
      <w:marRight w:val="0"/>
      <w:marTop w:val="0"/>
      <w:marBottom w:val="0"/>
      <w:divBdr>
        <w:top w:val="none" w:sz="0" w:space="0" w:color="auto"/>
        <w:left w:val="none" w:sz="0" w:space="0" w:color="auto"/>
        <w:bottom w:val="none" w:sz="0" w:space="0" w:color="auto"/>
        <w:right w:val="none" w:sz="0" w:space="0" w:color="auto"/>
      </w:divBdr>
    </w:div>
    <w:div w:id="840003568">
      <w:bodyDiv w:val="1"/>
      <w:marLeft w:val="0"/>
      <w:marRight w:val="0"/>
      <w:marTop w:val="0"/>
      <w:marBottom w:val="0"/>
      <w:divBdr>
        <w:top w:val="none" w:sz="0" w:space="0" w:color="auto"/>
        <w:left w:val="none" w:sz="0" w:space="0" w:color="auto"/>
        <w:bottom w:val="none" w:sz="0" w:space="0" w:color="auto"/>
        <w:right w:val="none" w:sz="0" w:space="0" w:color="auto"/>
      </w:divBdr>
    </w:div>
    <w:div w:id="891774803">
      <w:bodyDiv w:val="1"/>
      <w:marLeft w:val="0"/>
      <w:marRight w:val="0"/>
      <w:marTop w:val="0"/>
      <w:marBottom w:val="0"/>
      <w:divBdr>
        <w:top w:val="none" w:sz="0" w:space="0" w:color="auto"/>
        <w:left w:val="none" w:sz="0" w:space="0" w:color="auto"/>
        <w:bottom w:val="none" w:sz="0" w:space="0" w:color="auto"/>
        <w:right w:val="none" w:sz="0" w:space="0" w:color="auto"/>
      </w:divBdr>
      <w:divsChild>
        <w:div w:id="500699409">
          <w:marLeft w:val="0"/>
          <w:marRight w:val="0"/>
          <w:marTop w:val="0"/>
          <w:marBottom w:val="0"/>
          <w:divBdr>
            <w:top w:val="none" w:sz="0" w:space="0" w:color="auto"/>
            <w:left w:val="none" w:sz="0" w:space="0" w:color="auto"/>
            <w:bottom w:val="none" w:sz="0" w:space="0" w:color="auto"/>
            <w:right w:val="none" w:sz="0" w:space="0" w:color="auto"/>
          </w:divBdr>
        </w:div>
        <w:div w:id="1040208189">
          <w:marLeft w:val="0"/>
          <w:marRight w:val="0"/>
          <w:marTop w:val="0"/>
          <w:marBottom w:val="0"/>
          <w:divBdr>
            <w:top w:val="none" w:sz="0" w:space="0" w:color="auto"/>
            <w:left w:val="none" w:sz="0" w:space="0" w:color="auto"/>
            <w:bottom w:val="none" w:sz="0" w:space="0" w:color="auto"/>
            <w:right w:val="none" w:sz="0" w:space="0" w:color="auto"/>
          </w:divBdr>
        </w:div>
      </w:divsChild>
    </w:div>
    <w:div w:id="1172990882">
      <w:bodyDiv w:val="1"/>
      <w:marLeft w:val="0"/>
      <w:marRight w:val="0"/>
      <w:marTop w:val="0"/>
      <w:marBottom w:val="0"/>
      <w:divBdr>
        <w:top w:val="none" w:sz="0" w:space="0" w:color="auto"/>
        <w:left w:val="none" w:sz="0" w:space="0" w:color="auto"/>
        <w:bottom w:val="none" w:sz="0" w:space="0" w:color="auto"/>
        <w:right w:val="none" w:sz="0" w:space="0" w:color="auto"/>
      </w:divBdr>
    </w:div>
    <w:div w:id="1205294785">
      <w:bodyDiv w:val="1"/>
      <w:marLeft w:val="0"/>
      <w:marRight w:val="0"/>
      <w:marTop w:val="0"/>
      <w:marBottom w:val="0"/>
      <w:divBdr>
        <w:top w:val="none" w:sz="0" w:space="0" w:color="auto"/>
        <w:left w:val="none" w:sz="0" w:space="0" w:color="auto"/>
        <w:bottom w:val="none" w:sz="0" w:space="0" w:color="auto"/>
        <w:right w:val="none" w:sz="0" w:space="0" w:color="auto"/>
      </w:divBdr>
    </w:div>
    <w:div w:id="1296832547">
      <w:bodyDiv w:val="1"/>
      <w:marLeft w:val="0"/>
      <w:marRight w:val="0"/>
      <w:marTop w:val="0"/>
      <w:marBottom w:val="0"/>
      <w:divBdr>
        <w:top w:val="none" w:sz="0" w:space="0" w:color="auto"/>
        <w:left w:val="none" w:sz="0" w:space="0" w:color="auto"/>
        <w:bottom w:val="none" w:sz="0" w:space="0" w:color="auto"/>
        <w:right w:val="none" w:sz="0" w:space="0" w:color="auto"/>
      </w:divBdr>
    </w:div>
    <w:div w:id="1339499359">
      <w:bodyDiv w:val="1"/>
      <w:marLeft w:val="0"/>
      <w:marRight w:val="0"/>
      <w:marTop w:val="0"/>
      <w:marBottom w:val="0"/>
      <w:divBdr>
        <w:top w:val="none" w:sz="0" w:space="0" w:color="auto"/>
        <w:left w:val="none" w:sz="0" w:space="0" w:color="auto"/>
        <w:bottom w:val="none" w:sz="0" w:space="0" w:color="auto"/>
        <w:right w:val="none" w:sz="0" w:space="0" w:color="auto"/>
      </w:divBdr>
    </w:div>
    <w:div w:id="1380980077">
      <w:bodyDiv w:val="1"/>
      <w:marLeft w:val="0"/>
      <w:marRight w:val="0"/>
      <w:marTop w:val="0"/>
      <w:marBottom w:val="0"/>
      <w:divBdr>
        <w:top w:val="none" w:sz="0" w:space="0" w:color="auto"/>
        <w:left w:val="none" w:sz="0" w:space="0" w:color="auto"/>
        <w:bottom w:val="none" w:sz="0" w:space="0" w:color="auto"/>
        <w:right w:val="none" w:sz="0" w:space="0" w:color="auto"/>
      </w:divBdr>
    </w:div>
    <w:div w:id="1387335309">
      <w:bodyDiv w:val="1"/>
      <w:marLeft w:val="0"/>
      <w:marRight w:val="0"/>
      <w:marTop w:val="0"/>
      <w:marBottom w:val="0"/>
      <w:divBdr>
        <w:top w:val="none" w:sz="0" w:space="0" w:color="auto"/>
        <w:left w:val="none" w:sz="0" w:space="0" w:color="auto"/>
        <w:bottom w:val="none" w:sz="0" w:space="0" w:color="auto"/>
        <w:right w:val="none" w:sz="0" w:space="0" w:color="auto"/>
      </w:divBdr>
    </w:div>
    <w:div w:id="1627353657">
      <w:bodyDiv w:val="1"/>
      <w:marLeft w:val="0"/>
      <w:marRight w:val="0"/>
      <w:marTop w:val="0"/>
      <w:marBottom w:val="0"/>
      <w:divBdr>
        <w:top w:val="none" w:sz="0" w:space="0" w:color="auto"/>
        <w:left w:val="none" w:sz="0" w:space="0" w:color="auto"/>
        <w:bottom w:val="none" w:sz="0" w:space="0" w:color="auto"/>
        <w:right w:val="none" w:sz="0" w:space="0" w:color="auto"/>
      </w:divBdr>
    </w:div>
    <w:div w:id="1665930729">
      <w:bodyDiv w:val="1"/>
      <w:marLeft w:val="0"/>
      <w:marRight w:val="0"/>
      <w:marTop w:val="0"/>
      <w:marBottom w:val="0"/>
      <w:divBdr>
        <w:top w:val="none" w:sz="0" w:space="0" w:color="auto"/>
        <w:left w:val="none" w:sz="0" w:space="0" w:color="auto"/>
        <w:bottom w:val="none" w:sz="0" w:space="0" w:color="auto"/>
        <w:right w:val="none" w:sz="0" w:space="0" w:color="auto"/>
      </w:divBdr>
    </w:div>
    <w:div w:id="1856189355">
      <w:bodyDiv w:val="1"/>
      <w:marLeft w:val="0"/>
      <w:marRight w:val="0"/>
      <w:marTop w:val="0"/>
      <w:marBottom w:val="0"/>
      <w:divBdr>
        <w:top w:val="none" w:sz="0" w:space="0" w:color="auto"/>
        <w:left w:val="none" w:sz="0" w:space="0" w:color="auto"/>
        <w:bottom w:val="none" w:sz="0" w:space="0" w:color="auto"/>
        <w:right w:val="none" w:sz="0" w:space="0" w:color="auto"/>
      </w:divBdr>
    </w:div>
    <w:div w:id="2071615849">
      <w:bodyDiv w:val="1"/>
      <w:marLeft w:val="0"/>
      <w:marRight w:val="0"/>
      <w:marTop w:val="0"/>
      <w:marBottom w:val="0"/>
      <w:divBdr>
        <w:top w:val="none" w:sz="0" w:space="0" w:color="auto"/>
        <w:left w:val="none" w:sz="0" w:space="0" w:color="auto"/>
        <w:bottom w:val="none" w:sz="0" w:space="0" w:color="auto"/>
        <w:right w:val="none" w:sz="0" w:space="0" w:color="auto"/>
      </w:divBdr>
    </w:div>
    <w:div w:id="2091081013">
      <w:bodyDiv w:val="1"/>
      <w:marLeft w:val="0"/>
      <w:marRight w:val="0"/>
      <w:marTop w:val="0"/>
      <w:marBottom w:val="0"/>
      <w:divBdr>
        <w:top w:val="none" w:sz="0" w:space="0" w:color="auto"/>
        <w:left w:val="none" w:sz="0" w:space="0" w:color="auto"/>
        <w:bottom w:val="none" w:sz="0" w:space="0" w:color="auto"/>
        <w:right w:val="none" w:sz="0" w:space="0" w:color="auto"/>
      </w:divBdr>
    </w:div>
    <w:div w:id="2094665221">
      <w:bodyDiv w:val="1"/>
      <w:marLeft w:val="0"/>
      <w:marRight w:val="0"/>
      <w:marTop w:val="0"/>
      <w:marBottom w:val="0"/>
      <w:divBdr>
        <w:top w:val="none" w:sz="0" w:space="0" w:color="auto"/>
        <w:left w:val="none" w:sz="0" w:space="0" w:color="auto"/>
        <w:bottom w:val="none" w:sz="0" w:space="0" w:color="auto"/>
        <w:right w:val="none" w:sz="0" w:space="0" w:color="auto"/>
      </w:divBdr>
      <w:divsChild>
        <w:div w:id="939987833">
          <w:marLeft w:val="0"/>
          <w:marRight w:val="0"/>
          <w:marTop w:val="0"/>
          <w:marBottom w:val="0"/>
          <w:divBdr>
            <w:top w:val="none" w:sz="0" w:space="0" w:color="auto"/>
            <w:left w:val="none" w:sz="0" w:space="0" w:color="auto"/>
            <w:bottom w:val="none" w:sz="0" w:space="0" w:color="auto"/>
            <w:right w:val="none" w:sz="0" w:space="0" w:color="auto"/>
          </w:divBdr>
        </w:div>
        <w:div w:id="4978933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vestopedia.com/terms/stratified_random_sampling.asp" TargetMode="External"/><Relationship Id="rId18" Type="http://schemas.openxmlformats.org/officeDocument/2006/relationships/hyperlink" Target="https://ohrh.law.ox.ac.uk/wp-content/uploads/2023/10/U-of-OxHRH-J-Engendering-the-Right-to-Work-2.pdf" TargetMode="External"/><Relationship Id="rId26" Type="http://schemas.openxmlformats.org/officeDocument/2006/relationships/hyperlink" Target="https://www.nature.com/articles/s43586-022-00150-6" TargetMode="External"/><Relationship Id="rId39" Type="http://schemas.openxmlformats.org/officeDocument/2006/relationships/hyperlink" Target="https://ntnuopen.ntnu.no/ntnu-xmlui/handle/11250/2602791" TargetMode="External"/><Relationship Id="rId21" Type="http://schemas.openxmlformats.org/officeDocument/2006/relationships/hyperlink" Target="https://www.mendeley.com/catalogue/8d3d59dc-98f4-3256-944b-705e7338fc66/" TargetMode="External"/><Relationship Id="rId34" Type="http://schemas.openxmlformats.org/officeDocument/2006/relationships/hyperlink" Target="https://emi-rs.com/2022/02/01/a-quick-guide-to-calculating-sample-size/" TargetMode="External"/><Relationship Id="rId42" Type="http://schemas.openxmlformats.org/officeDocument/2006/relationships/hyperlink" Target="https://d1wqtxts1xzle7.cloudfront.net/82461261/5549-libre.pdf?1647890824=&amp;response-content-disposition=inline%3B+filename%3DLicensed_under_Creative_Common_COMMON_PR.pdf&amp;Expires=1730320757&amp;Signature=WvFNbpJWLXT1lupQ4mfn0IncAvpKK1Ow-DGFsr4dcUl3hpLk-UbXYeWE95kZbX~IiaHTzXvK1mKfgcAwQEGz~0cVpYiLXD0vwfgo9CybIKvRoyJpn29fM2TxVqOCtvr71ki319QBD6iaE43cGGhrlO94-XAVnN5E~xmkZ7rvBtXa7O6qHv96yBdKG9M6KAVpPvpAxoM0AJQNp8VlPvciE8dMZ-JIFJbS9v3wnqGLGr0~Xgp29tpjRDSio5EUsyerXZ5sK4eiG7Y4y4dAcmay8khQZ-zSQBJYL9FDJ0DyOWfSp7Eu2cpOXcM8i0yh-JViLZkHKC~VJ~QU~6vlDdn~8g__&amp;Key-Pair-Id=APKAJLOHF5GGSLRBV4ZA" TargetMode="External"/><Relationship Id="rId47" Type="http://schemas.openxmlformats.org/officeDocument/2006/relationships/hyperlink" Target="https://journals.sagepub.com/doi/abs/10.1177/1098214005283748" TargetMode="External"/><Relationship Id="rId50" Type="http://schemas.openxmlformats.org/officeDocument/2006/relationships/hyperlink" Target="https://www.newstatesman.com/comment/2024/04/university-funding-is-in-crisis" TargetMode="External"/><Relationship Id="rId55" Type="http://schemas.openxmlformats.org/officeDocument/2006/relationships/theme" Target="theme/theme1.xml"/><Relationship Id="rId7" Type="http://schemas.openxmlformats.org/officeDocument/2006/relationships/hyperlink" Target="https://www.acas.org.uk/1-in-3-employers-do-not-feel-well-equipped-to-support-women-going-through-the-menopause-at-work" TargetMode="External"/><Relationship Id="rId2" Type="http://schemas.openxmlformats.org/officeDocument/2006/relationships/styles" Target="styles.xml"/><Relationship Id="rId16" Type="http://schemas.openxmlformats.org/officeDocument/2006/relationships/hyperlink" Target="https://www.cipd.org/uk/about/press-releases/menopause-at-work/" TargetMode="External"/><Relationship Id="rId29" Type="http://schemas.openxmlformats.org/officeDocument/2006/relationships/hyperlink" Target="https://www.sciencedirect.com/science/article/pii/S0277953621008558" TargetMode="External"/><Relationship Id="rId11" Type="http://schemas.openxmlformats.org/officeDocument/2006/relationships/hyperlink" Target="https://assets.publishing.service.gov.uk/media/650d3c3252e73c000d9426a3/Anderson_v_Thistle_Marine__Peterhead__Ltd_and_James__Jim__Duncan_Clark_-_4101775.2023_-_Final.pdf" TargetMode="External"/><Relationship Id="rId24" Type="http://schemas.openxmlformats.org/officeDocument/2006/relationships/hyperlink" Target="https://www.health.harvard.edu/womens-health/perimenopause-rocky-road-to-menopause" TargetMode="External"/><Relationship Id="rId32" Type="http://schemas.openxmlformats.org/officeDocument/2006/relationships/hyperlink" Target="https://www.nhs.uk/conditions/menopause/things-you-can-do/" TargetMode="External"/><Relationship Id="rId37" Type="http://schemas.openxmlformats.org/officeDocument/2006/relationships/hyperlink" Target="https://hbr.org/2020/02/is-menopause-a-taboo-in-your-organization" TargetMode="External"/><Relationship Id="rId40" Type="http://schemas.openxmlformats.org/officeDocument/2006/relationships/hyperlink" Target="https://assets.publishing.service.gov.uk/media/615eea73e90e07198108146c/Ms_M_Rooney_v_Leicester_City_Council_EA-000070-DA__Previously_UKEAT_0064_20_DA__EA-2021-000256-DA_Previously_UKEAT_0104_21_DA_.pdf" TargetMode="External"/><Relationship Id="rId45" Type="http://schemas.openxmlformats.org/officeDocument/2006/relationships/hyperlink" Target="https://www.mdpi.com/2071-1050/13/16/9280"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accpjournals.onlinelibrary.wiley.com/doi/full/10.1002/jac5.144" TargetMode="External"/><Relationship Id="rId19" Type="http://schemas.openxmlformats.org/officeDocument/2006/relationships/hyperlink" Target="https://www.equalityhumanrights.com/guidance/menopause-workplace-guidance-employers" TargetMode="External"/><Relationship Id="rId31" Type="http://schemas.openxmlformats.org/officeDocument/2006/relationships/hyperlink" Target="https://medium.com/@deepaknegi24lwf/should-i-include-a-timeline-in-my-research-proposal-41be10aab84a" TargetMode="External"/><Relationship Id="rId44" Type="http://schemas.openxmlformats.org/officeDocument/2006/relationships/hyperlink" Target="https://pmc.ncbi.nlm.nih.gov/articles/PMC1089055/" TargetMode="External"/><Relationship Id="rId52" Type="http://schemas.openxmlformats.org/officeDocument/2006/relationships/hyperlink" Target="https://www.hrmagazine.co.uk/content/news/menopausal-women-feel-unsupported-at-work" TargetMode="External"/><Relationship Id="rId4" Type="http://schemas.openxmlformats.org/officeDocument/2006/relationships/webSettings" Target="webSettings.xml"/><Relationship Id="rId9" Type="http://schemas.openxmlformats.org/officeDocument/2006/relationships/hyperlink" Target="https://www.theguardian.com/education/article/2024/aug/09/english-universities-face-autumn-tipping-point-as-financial-crisis-looms" TargetMode="External"/><Relationship Id="rId14" Type="http://schemas.openxmlformats.org/officeDocument/2006/relationships/hyperlink" Target="https://papers.ssrn.com/sol3/papers.cfm?abstract_id=3470734" TargetMode="External"/><Relationship Id="rId22" Type="http://schemas.openxmlformats.org/officeDocument/2006/relationships/hyperlink" Target="https://menopausefriendly.co.uk/menopause-and-employment-law/" TargetMode="External"/><Relationship Id="rId27" Type="http://schemas.openxmlformats.org/officeDocument/2006/relationships/hyperlink" Target="https://www.nature.com/articles/s43586-022-00150-6" TargetMode="External"/><Relationship Id="rId30" Type="http://schemas.openxmlformats.org/officeDocument/2006/relationships/hyperlink" Target="https://journals.sagepub.com/doi/10.1177/17455057221139660" TargetMode="External"/><Relationship Id="rId35" Type="http://schemas.openxmlformats.org/officeDocument/2006/relationships/hyperlink" Target="https://oapub.org/edu/index.php/ejes/article/view/1017" TargetMode="External"/><Relationship Id="rId43" Type="http://schemas.openxmlformats.org/officeDocument/2006/relationships/hyperlink" Target="https://www.peoplemanagement.co.uk/article/1869443/legal-pitfalls-inadequate-menopause-support" TargetMode="External"/><Relationship Id="rId48" Type="http://schemas.openxmlformats.org/officeDocument/2006/relationships/hyperlink" Target="https://content.iospress.com/download/work/wor205214?id=work%2Fwor205214" TargetMode="External"/><Relationship Id="rId8" Type="http://schemas.openxmlformats.org/officeDocument/2006/relationships/hyperlink" Target="https://www.acas.org.uk/if-youve-been-discriminated-against-at-work" TargetMode="External"/><Relationship Id="rId51" Type="http://schemas.openxmlformats.org/officeDocument/2006/relationships/hyperlink" Target="file:///\\shared.uni.local\Deptshare$\Personnel\UWTSD%20Working%20Progress\Beth\CIPD%20Level%207%20course%20information\Masters\World%20HGealth%20Organization%20(2024),%20Availabe%20at:%20https:\www.who.int\news-room\fact-sheets\detail\menopause" TargetMode="External"/><Relationship Id="rId3" Type="http://schemas.openxmlformats.org/officeDocument/2006/relationships/settings" Target="settings.xml"/><Relationship Id="rId12" Type="http://schemas.openxmlformats.org/officeDocument/2006/relationships/hyperlink" Target="https://onlinelibrary.wiley.com/doi/epdf/10.1111/1748-8583.12294" TargetMode="External"/><Relationship Id="rId17" Type="http://schemas.openxmlformats.org/officeDocument/2006/relationships/hyperlink" Target="https://journals.sagepub.com/doi/pdf/10.1177/09500170231212127" TargetMode="External"/><Relationship Id="rId25" Type="http://schemas.openxmlformats.org/officeDocument/2006/relationships/hyperlink" Target="https://committees.parliament.uk/work/1416/menopause-and-the-workplace/" TargetMode="External"/><Relationship Id="rId33" Type="http://schemas.openxmlformats.org/officeDocument/2006/relationships/hyperlink" Target="https://www.nature.com/articles/d41586-022-01258-1" TargetMode="External"/><Relationship Id="rId38" Type="http://schemas.openxmlformats.org/officeDocument/2006/relationships/hyperlink" Target="https://research.ebsco.com/linkprocessor/plink?id=532bce41-907f-32df-befc-7a1b5220f87c" TargetMode="External"/><Relationship Id="rId46" Type="http://schemas.openxmlformats.org/officeDocument/2006/relationships/hyperlink" Target="https://www.teamgantt.com/what-is-a-gantt-chart" TargetMode="External"/><Relationship Id="rId20" Type="http://schemas.openxmlformats.org/officeDocument/2006/relationships/hyperlink" Target="https://www.equity.org.uk/advice-and-support/know-your-rights/right-to-equal-treatment/menopause-and-the-law" TargetMode="External"/><Relationship Id="rId41" Type="http://schemas.openxmlformats.org/officeDocument/2006/relationships/hyperlink" Target="https://www.peoplemanagement.co.uk/article/1839328/37k-awarded-office-manager-told-everybody-gets-menopause-%E2%80%93-just-it"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tandfonline.com/doi/full/10.1080/15265161.2011.585272" TargetMode="External"/><Relationship Id="rId23" Type="http://schemas.openxmlformats.org/officeDocument/2006/relationships/hyperlink" Target="https://www.rpclegal.com/thinking/employment/menopause-discrimination-where-are-we-now/" TargetMode="External"/><Relationship Id="rId28" Type="http://schemas.openxmlformats.org/officeDocument/2006/relationships/hyperlink" Target="https://www.researchgate.net/publication/12434326_Quantitative_Vs_qualitative_research_methods" TargetMode="External"/><Relationship Id="rId36" Type="http://schemas.openxmlformats.org/officeDocument/2006/relationships/hyperlink" Target="https://www.cambridge.org/core/journals/journal-of-pension-economics-and-finance/article/are-older-workers-capable-of-working-longer/03BEF28FFBCAB57BAC7E8D14C5F5D92A" TargetMode="External"/><Relationship Id="rId49" Type="http://schemas.openxmlformats.org/officeDocument/2006/relationships/hyperlink" Target="https://www.voxco.com/blog/achieving-reliability-and-validity-in-survey-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4838</Words>
  <Characters>27578</Characters>
  <Application>Microsoft Office Word</Application>
  <DocSecurity>4</DocSecurity>
  <Lines>229</Lines>
  <Paragraphs>64</Paragraphs>
  <ScaleCrop>false</ScaleCrop>
  <HeadingPairs>
    <vt:vector size="2" baseType="variant">
      <vt:variant>
        <vt:lpstr>Title</vt:lpstr>
      </vt:variant>
      <vt:variant>
        <vt:i4>1</vt:i4>
      </vt:variant>
    </vt:vector>
  </HeadingPairs>
  <TitlesOfParts>
    <vt:vector size="1" baseType="lpstr">
      <vt:lpstr>An investigation into the impact of Menopause in the workplace and the legal implications for UWTSD.</vt:lpstr>
    </vt:vector>
  </TitlesOfParts>
  <Company>2220030</Company>
  <LinksUpToDate>false</LinksUpToDate>
  <CharactersWithSpaces>32352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impact of Menopause in the workplace and the legal implications for UWTSD.</dc:title>
  <dc:subject>Dissertation Proposal</dc:subject>
  <dc:creator>Bethan Wilson</dc:creator>
  <cp:keywords/>
  <dc:description/>
  <cp:lastModifiedBy>Bethan Wilson</cp:lastModifiedBy>
  <cp:revision>2</cp:revision>
  <dcterms:created xsi:type="dcterms:W3CDTF">2024-11-16T09:34:00Z</dcterms:created>
  <dcterms:modified xsi:type="dcterms:W3CDTF">2024-11-16T09:34:00Z</dcterms:modified>
</cp:coreProperties>
</file>