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left"/>
        <w:rPr/>
      </w:pPr>
      <w:bookmarkStart w:colFirst="0" w:colLast="0" w:name="_gjdgxs" w:id="0"/>
      <w:bookmarkEnd w:id="0"/>
      <w:r w:rsidDel="00000000" w:rsidR="00000000" w:rsidRPr="00000000">
        <w:rPr>
          <w:rtl w:val="0"/>
        </w:rPr>
      </w:r>
    </w:p>
    <w:tbl>
      <w:tblPr>
        <w:tblStyle w:val="Table1"/>
        <w:tblW w:w="8958.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7"/>
        <w:gridCol w:w="2284"/>
        <w:gridCol w:w="3062"/>
        <w:gridCol w:w="1745"/>
        <w:tblGridChange w:id="0">
          <w:tblGrid>
            <w:gridCol w:w="1867"/>
            <w:gridCol w:w="2284"/>
            <w:gridCol w:w="3062"/>
            <w:gridCol w:w="174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2">
            <w:pPr>
              <w:spacing w:after="120" w:before="120" w:lineRule="auto"/>
              <w:rPr>
                <w:b w:val="1"/>
              </w:rPr>
            </w:pPr>
            <w:r w:rsidDel="00000000" w:rsidR="00000000" w:rsidRPr="00000000">
              <w:rPr>
                <w:b w:val="1"/>
                <w:rtl w:val="0"/>
              </w:rPr>
              <w:t xml:space="preserve">Student 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3">
            <w:pPr>
              <w:spacing w:after="120" w:before="120" w:lineRule="auto"/>
              <w:rPr>
                <w:b w:val="1"/>
              </w:rPr>
            </w:pPr>
            <w:r w:rsidDel="00000000" w:rsidR="00000000" w:rsidRPr="00000000">
              <w:rPr>
                <w:b w:val="1"/>
                <w:rtl w:val="0"/>
              </w:rPr>
              <w:t xml:space="preserve">Andreea Pislariu</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4">
            <w:pPr>
              <w:spacing w:after="120" w:before="120" w:lineRule="auto"/>
              <w:rPr>
                <w:b w:val="1"/>
              </w:rPr>
            </w:pPr>
            <w:r w:rsidDel="00000000" w:rsidR="00000000" w:rsidRPr="00000000">
              <w:rPr>
                <w:b w:val="1"/>
                <w:rtl w:val="0"/>
              </w:rPr>
              <w:t xml:space="preserve">Student ID number: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spacing w:after="120" w:before="120" w:lineRule="auto"/>
              <w:rPr>
                <w:b w:val="1"/>
              </w:rPr>
            </w:pPr>
            <w:r w:rsidDel="00000000" w:rsidR="00000000" w:rsidRPr="00000000">
              <w:rPr>
                <w:b w:val="1"/>
                <w:rtl w:val="0"/>
              </w:rPr>
              <w:t xml:space="preserve">2215593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6">
            <w:pPr>
              <w:spacing w:after="120" w:before="120" w:lineRule="auto"/>
              <w:rPr>
                <w:b w:val="1"/>
              </w:rPr>
            </w:pPr>
            <w:r w:rsidDel="00000000" w:rsidR="00000000" w:rsidRPr="00000000">
              <w:rPr>
                <w:b w:val="1"/>
                <w:rtl w:val="0"/>
              </w:rPr>
              <w:t xml:space="preserve">Programme: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spacing w:after="120" w:before="120" w:lineRule="auto"/>
              <w:rPr>
                <w:b w:val="1"/>
              </w:rPr>
            </w:pPr>
            <w:r w:rsidDel="00000000" w:rsidR="00000000" w:rsidRPr="00000000">
              <w:rPr>
                <w:rFonts w:ascii="Calibri" w:cs="Calibri" w:eastAsia="Calibri" w:hAnsi="Calibri"/>
                <w:b w:val="1"/>
                <w:rtl w:val="0"/>
              </w:rPr>
              <w:t xml:space="preserve">BA Business Management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A">
            <w:pPr>
              <w:spacing w:after="120" w:before="120" w:lineRule="auto"/>
              <w:rPr>
                <w:b w:val="1"/>
              </w:rPr>
            </w:pPr>
            <w:r w:rsidDel="00000000" w:rsidR="00000000" w:rsidRPr="00000000">
              <w:rPr>
                <w:b w:val="1"/>
                <w:rtl w:val="0"/>
              </w:rPr>
              <w:t xml:space="preserve">Module: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spacing w:after="120" w:before="120" w:lineRule="auto"/>
              <w:rPr>
                <w:rFonts w:ascii="Cambria" w:cs="Cambria" w:eastAsia="Cambria" w:hAnsi="Cambria"/>
                <w:b w:val="1"/>
                <w:sz w:val="20"/>
                <w:szCs w:val="20"/>
              </w:rPr>
            </w:pPr>
            <w:r w:rsidDel="00000000" w:rsidR="00000000" w:rsidRPr="00000000">
              <w:rPr>
                <w:rFonts w:ascii="Cambria" w:cs="Cambria" w:eastAsia="Cambria" w:hAnsi="Cambria"/>
                <w:b w:val="1"/>
                <w:rtl w:val="0"/>
              </w:rPr>
              <w:t xml:space="preserve">Community Engagement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E">
            <w:pPr>
              <w:spacing w:after="120" w:before="120" w:lineRule="auto"/>
              <w:rPr>
                <w:b w:val="1"/>
              </w:rPr>
            </w:pPr>
            <w:r w:rsidDel="00000000" w:rsidR="00000000" w:rsidRPr="00000000">
              <w:rPr>
                <w:b w:val="1"/>
                <w:rtl w:val="0"/>
              </w:rPr>
              <w:t xml:space="preserve">Module code: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spacing w:after="120" w:before="120" w:lineRule="auto"/>
              <w:rPr>
                <w:rFonts w:ascii="Cambria" w:cs="Cambria" w:eastAsia="Cambria" w:hAnsi="Cambria"/>
                <w:b w:val="1"/>
                <w:sz w:val="20"/>
                <w:szCs w:val="20"/>
              </w:rPr>
            </w:pPr>
            <w:r w:rsidDel="00000000" w:rsidR="00000000" w:rsidRPr="00000000">
              <w:rPr>
                <w:rFonts w:ascii="Cambria" w:cs="Cambria" w:eastAsia="Cambria" w:hAnsi="Cambria"/>
                <w:b w:val="1"/>
                <w:rtl w:val="0"/>
              </w:rPr>
              <w:t xml:space="preserve">LCBB4002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0">
            <w:pPr>
              <w:pStyle w:val="Heading2"/>
              <w:rPr>
                <w:sz w:val="22"/>
                <w:szCs w:val="22"/>
              </w:rPr>
            </w:pPr>
            <w:r w:rsidDel="00000000" w:rsidR="00000000" w:rsidRPr="00000000">
              <w:rPr>
                <w:sz w:val="22"/>
                <w:szCs w:val="22"/>
                <w:rtl w:val="0"/>
              </w:rPr>
              <w:t xml:space="preserve">Contribution to Overall Module Assessment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spacing w:after="120" w:before="120" w:lineRule="auto"/>
              <w:rPr>
                <w:rFonts w:ascii="Cambria" w:cs="Cambria" w:eastAsia="Cambria" w:hAnsi="Cambria"/>
                <w:b w:val="1"/>
              </w:rPr>
            </w:pPr>
            <w:r w:rsidDel="00000000" w:rsidR="00000000" w:rsidRPr="00000000">
              <w:rPr>
                <w:rFonts w:ascii="Cambria" w:cs="Cambria" w:eastAsia="Cambria" w:hAnsi="Cambria"/>
                <w:b w:val="1"/>
                <w:rtl w:val="0"/>
              </w:rPr>
              <w:t xml:space="preserve">Component 1 - 50%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2">
            <w:pPr>
              <w:spacing w:after="120" w:before="120" w:lineRule="auto"/>
              <w:rPr>
                <w:b w:val="1"/>
              </w:rPr>
            </w:pPr>
            <w:r w:rsidDel="00000000" w:rsidR="00000000" w:rsidRPr="00000000">
              <w:rPr>
                <w:b w:val="1"/>
                <w:rtl w:val="0"/>
              </w:rPr>
              <w:t xml:space="preserve">Lecturer: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after="120" w:before="120" w:lineRule="auto"/>
              <w:rPr>
                <w:rFonts w:ascii="Cambria" w:cs="Cambria" w:eastAsia="Cambria" w:hAnsi="Cambria"/>
                <w:b w:val="1"/>
              </w:rPr>
            </w:pPr>
            <w:r w:rsidDel="00000000" w:rsidR="00000000" w:rsidRPr="00000000">
              <w:rPr>
                <w:rFonts w:ascii="Cambria" w:cs="Cambria" w:eastAsia="Cambria" w:hAnsi="Cambria"/>
                <w:b w:val="1"/>
                <w:rtl w:val="0"/>
              </w:rPr>
              <w:t xml:space="preserve">Efua Adams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4">
            <w:pPr>
              <w:spacing w:after="120" w:before="120" w:lineRule="auto"/>
              <w:rPr>
                <w:b w:val="1"/>
              </w:rPr>
            </w:pPr>
            <w:r w:rsidDel="00000000" w:rsidR="00000000" w:rsidRPr="00000000">
              <w:rPr>
                <w:b w:val="1"/>
                <w:rtl w:val="0"/>
              </w:rPr>
              <w:t xml:space="preserve">Internal Verifier: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120" w:before="120" w:lineRule="auto"/>
              <w:rPr>
                <w:rFonts w:ascii="Cambria" w:cs="Cambria" w:eastAsia="Cambria" w:hAnsi="Cambria"/>
                <w:b w:val="1"/>
              </w:rPr>
            </w:pPr>
            <w:r w:rsidDel="00000000" w:rsidR="00000000" w:rsidRPr="00000000">
              <w:rPr>
                <w:rFonts w:ascii="Cambria" w:cs="Cambria" w:eastAsia="Cambria" w:hAnsi="Cambria"/>
                <w:b w:val="1"/>
                <w:rtl w:val="0"/>
              </w:rPr>
              <w:t xml:space="preserve">Dr. Md Nazmul Hasan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6">
            <w:pPr>
              <w:spacing w:after="120" w:before="120" w:lineRule="auto"/>
              <w:rPr>
                <w:b w:val="1"/>
              </w:rPr>
            </w:pPr>
            <w:r w:rsidDel="00000000" w:rsidR="00000000" w:rsidRPr="00000000">
              <w:rPr>
                <w:b w:val="1"/>
                <w:rtl w:val="0"/>
              </w:rPr>
              <w:t xml:space="preserve">Assignment Title: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120" w:before="120" w:lineRule="auto"/>
              <w:rPr>
                <w:b w:val="1"/>
              </w:rPr>
            </w:pPr>
            <w:r w:rsidDel="00000000" w:rsidR="00000000" w:rsidRPr="00000000">
              <w:rPr>
                <w:rFonts w:ascii="Calibri" w:cs="Calibri" w:eastAsia="Calibri" w:hAnsi="Calibri"/>
                <w:b w:val="1"/>
                <w:color w:val="1d2228"/>
                <w:rtl w:val="0"/>
              </w:rPr>
              <w:t xml:space="preserve">Assessment 1 – Community Engagement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8">
            <w:pPr>
              <w:spacing w:after="120" w:before="120" w:lineRule="auto"/>
              <w:rPr>
                <w:b w:val="1"/>
              </w:rPr>
            </w:pPr>
            <w:r w:rsidDel="00000000" w:rsidR="00000000" w:rsidRPr="00000000">
              <w:rPr>
                <w:b w:val="1"/>
                <w:rtl w:val="0"/>
              </w:rPr>
              <w:t xml:space="preserve">Word count (or equivalent):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120" w:before="120" w:lineRule="auto"/>
              <w:rPr>
                <w:b w:val="1"/>
              </w:rPr>
            </w:pPr>
            <w:r w:rsidDel="00000000" w:rsidR="00000000" w:rsidRPr="00000000">
              <w:rPr>
                <w:b w:val="1"/>
                <w:rtl w:val="0"/>
              </w:rPr>
              <w:t xml:space="preserve">2,000 Words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A">
            <w:pPr>
              <w:spacing w:after="120" w:before="120" w:lineRule="auto"/>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after="120" w:before="12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C">
            <w:pPr>
              <w:spacing w:after="120" w:before="120" w:lineRule="auto"/>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spacing w:after="120" w:before="12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E">
            <w:pPr>
              <w:spacing w:after="120" w:before="120" w:lineRule="auto"/>
              <w:rPr>
                <w:b w:val="1"/>
              </w:rPr>
            </w:pPr>
            <w:r w:rsidDel="00000000" w:rsidR="00000000" w:rsidRPr="00000000">
              <w:rPr>
                <w:rtl w:val="0"/>
              </w:rPr>
            </w:r>
          </w:p>
        </w:tc>
      </w:tr>
    </w:tbl>
    <w:p w:rsidR="00000000" w:rsidDel="00000000" w:rsidP="00000000" w:rsidRDefault="00000000" w:rsidRPr="00000000" w14:paraId="0000001F">
      <w:pPr>
        <w:spacing w:line="276" w:lineRule="auto"/>
        <w:jc w:val="left"/>
        <w:rPr/>
      </w:pPr>
      <w:r w:rsidDel="00000000" w:rsidR="00000000" w:rsidRPr="00000000">
        <w:rPr>
          <w:rtl w:val="0"/>
        </w:rPr>
        <w:t xml:space="preserve"> </w:t>
      </w:r>
    </w:p>
    <w:p w:rsidR="00000000" w:rsidDel="00000000" w:rsidP="00000000" w:rsidRDefault="00000000" w:rsidRPr="00000000" w14:paraId="00000020">
      <w:pPr>
        <w:pStyle w:val="Title"/>
        <w:jc w:val="center"/>
        <w:rPr/>
      </w:pPr>
      <w:r w:rsidDel="00000000" w:rsidR="00000000" w:rsidRPr="00000000">
        <w:rPr>
          <w:rtl w:val="0"/>
        </w:rPr>
        <w:t xml:space="preserve">Local Authority Community Engagement Process, a case study on the regeneration of the Elephant and Castle area in South London </w:t>
      </w:r>
      <w:r w:rsidDel="00000000" w:rsidR="00000000" w:rsidRPr="00000000">
        <w:br w:type="page"/>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Community engagement strategy is the pattern of actions taken by businesses to cooperate with and through groups of people to address challenges impacting those people's social well-being (Ward &amp; Tonts 2015). This project will be developed based on a case study in The Elephant and Castle area in South London. It is undergoing a major regeneration project of community development. South London's Elephant and Castle is a dynamic and varied community that has struggled with concerns including crime, social illiteracy, and discrimination. Environmental issues and a lack of leisure amenities have also been mentioned. These fundamental community problems through in-depth study and offer suggestions for long-term fixes that can enhance the quality of life for locals (DCLG, 2016). This project aims to improve the built environment and provide better access to affordable housing, public spaces, and community facilities. The project is a significant change for the local community, and requires effective community engagement strategies to ensure that residents and stakeholders are involved in the decision-making process and have their needs and concerns addressed. This assessment will examine at how well community involvement methods worked in a real-world project. It will examine the many types and guiding principles of community involvement, as well as the major participants and their functions. It will also evaluate the project's results and repercussions and offer suggestions for improvement.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As a part of the Southwark Council's intentions to rehabilitate the area, the regeneration project was initially suggested in 2010. The project involves the destruction and reconstruction of the Elephant and Castle shopping complex as well as the nearby structures, in addition to the building of new residences, shops, and community centres. The regeneration project is being led by the Southwark Council in partnership with Delancey, a private property developer (Greater London Authority, 2021). The project also involves collaboration with other stakeholders, such as Transport for London, the Greater London Authority, and local community groups.  The purpose of the Elephant and Castle regeneration project is to improve the built environment and create more vibrant and connected neighbourhoods. It also aims to better access to affordable housing, public spaces, and community facilities, and to support local businesses and economic development (Malan, 2021).  Residents, community organisations, business owners, the Southwark Council, Delancey, Transport for London, and the Greater London Authority are just a few of the parties involved in the redevelopment project. It also involves engagement with various organisations, including environmental groups and heritage societies to make sure the project is sustainable and protects the local cultural history (ThemeGrill, 2019). As a Community Engagement Officer, I expect that the regeneration project for Elephant and Castle will be carried out in a transparent and cooperative manner, with strong community engagement strategies in place to guarantee that the needs and concerns of stakeholders and residents are addressed. I would also expect that the project will follow participation methods and guidelines that put an emphasis on openness, inclusion, and accountability during the decision-making process.</w:t>
      </w:r>
    </w:p>
    <w:p w:rsidR="00000000" w:rsidDel="00000000" w:rsidP="00000000" w:rsidRDefault="00000000" w:rsidRPr="00000000" w14:paraId="00000026">
      <w:pPr>
        <w:rPr/>
      </w:pPr>
      <w:r w:rsidDel="00000000" w:rsidR="00000000" w:rsidRPr="00000000">
        <w:rPr>
          <w:rtl w:val="0"/>
        </w:rPr>
        <w:t xml:space="preserve">A secure, accessible, and healthy environment for residents and stakeholders is at the heart of the community involvement principles for the Elephant and Castle restoration project. The project strives to improve the built environment and offer improved infrastructure to promote economic growth and possibilities. Improved transit alternatives connect individuals to crucial services and facilities, making mobility another important factor. With the help of community-led project and skill-building programmes, educational possibilities are being pushed (Wood, 2021). Environmental advantages, such as better air quality and green places, are given priority in the project. The deadlines are being carefully evaluated to make sure that the project matches the needs and goals of the neighbourhood. The project's overall mission is to advance the prosperity and well-being of the Elephant and Castle neighbourhood.  Many groups are involved in the regeneration of Elephant and Castle and it includes the local community, local authorities, colleges, and the government. The project is partnered with universities and educational institutions to give chances for education and training in that area (Robin, 2021). On the other side, the government and local authorities are in charge of providing funds and regulatory monitoring of this project. The project also actively includes the neighbourhood through community-led initiatives, public consultations, and partnerships with nearby businesses and groups. The project is using a collaborative approach to community participation, which aims to include and empower local residents to have a meaningful say in the decision-making process. Through this project approach, the project aims to create a sense of ownership and accountability among the local community, ensuring that their voices are heard and their needs are addressed. Various media platforms are used to spread information about the Elephant and Castle rehabilitation project, including the project website, social media sites like Facebook and Twitter, regional newspapers, and radio (Flynn, 2018). The local government also has a private portal where it updates stakeholders on projects. Local meetings and open days are used to promote in-person interaction by giving residents a chance to voice their opinions and ask questions. These avenues guarantee that the local community has access to and can learn about the project (Kajastie, 2023). A group of project managers, communication specialists, and social media managers supervises the project and is in charge of keeping all stakeholders informed and involved. Further interested in the project are local transportation agencies, charities, MPs, and highway authorities, who each provide a variety of skills and materials. Several parties are cooperating to make sure the project represents the needs and goals of the Elephant and Castle neighbourhood (Robs, 2022).</w:t>
      </w:r>
      <w:r w:rsidDel="00000000" w:rsidR="00000000" w:rsidRPr="00000000">
        <w:br w:type="page"/>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As a result of the Elephant and Castle regeneration project, a number of stakeholders have developed close bonds and are contributing resources and experience to the endeavour. The local authority funds the project while charities supply staff and volunteers to assist community involvement and consultation activities. The project is receiving funding from banks and allowing it to advance and accomplish its objectives (Suzzie, 2022). Traffic groups are offering construction guidelines in order to guarantee that the project is planned and carried out in a strategy that is safe and effective for the local community. Building and construction businesses are offering comprehensive information on the project design to make sure that it is carried out in a way that is in line with the demands and goals of the community. These relationships of the project are critical to the success, as they ensure that the project benefits from a diverse range of perspectives and expertise. This community project team is better able to understand the needs and priorities of the Elephant and Castle community to implement solutions that are tailored to those needs by collaborating with these stakeholders (Dunton, 2022). These collaborative techniques also help to build trust and accountability among stakeholders, ensuring that the project is implemented in a way that is transparent and responsive to the community's needs. Effective communication plan is a critical component of the Elephant and Castle regeneration project. The project management team has developed a various range of communication strategies to ensure that the community is kept informed and engaged throughout the project's modification and development. One of the primary communication strategy is the posting of regular updates on social media platforms about the project such as Facebook and Twitter (Masey, 2020). These updates provide community members with information about the project's progress, as well as important announcements and events. The project team has shared the project's ideas on various media in addition to social media updates to provide the community a clear presentation of what is being presented. Also, the management team has started online questionnaires/surveys to get feedback from the public on the project's design, construction, and community involvement (Sam, 2022). These surveys of this project offer insightful information about community goals and concerns, assisting in making sure the project is responsive to community requirements. The project team has also sponsored open events, such as town hall meetings and community workshops. It is important to make sure that people of the community have the chance to express their opinions and ask questions. Community members get the opportunity to express their thoughts, concerns, and feedback at these gatherings on various project-related topics (Hansen and Hohenthal, 2021). The project team also goes over Facebook comments and social media posts to make sure that community members' issues are taken care of and their inquiries are answered.</w:t>
      </w:r>
    </w:p>
    <w:p w:rsidR="00000000" w:rsidDel="00000000" w:rsidP="00000000" w:rsidRDefault="00000000" w:rsidRPr="00000000" w14:paraId="00000028">
      <w:pPr>
        <w:rPr/>
      </w:pPr>
      <w:r w:rsidDel="00000000" w:rsidR="00000000" w:rsidRPr="00000000">
        <w:rPr>
          <w:rtl w:val="0"/>
        </w:rPr>
        <w:t xml:space="preserve">The results of the project's community participation activities for Elephant and Castle have primarily been favourable. The project's start is one of the most important consequences which will result in the necessary improvements in the local community (Masey, 2020). Also, a lot of community member’s submitted suggestions and recommendations for the project, showing their enthusiasm for it and active engagement. These inputs added fresh perspectives and suggestions that broadened the project's scope and improved its chances of success. The project has become more representational of the community's needs and objectives as a consequence of the engagement of the community, producing a more significant and proper conclusion (Flynn, 2018). Monitoring and reviewing the community engagement efforts is crucial to ensure their continued success and improvement of the project and make it sustainable in future. It's important to constantly collect and receive feedback from community members to determine what needs to be improved and given more attention. Internet polls, in-person consultations, and public meetings may all offer insightful feedback that can point out areas that need more attention. The project team should be open to this feedback and prepared to make adjustments that take the community's requirements and preferences into account. Local elections can be used as a chance to assess how well the project is doing in the local area and how well the local council is doing generally. The election results can be used as a gauge of the community's confidence in the council's capacity to communicate with them in a meaningful way (Fielmua, 2017). The monitoring and feedback process should be ongoing for the project to stay relevant and responsive to the needs and expectations of the community. The project may stay on course and accomplish its planned goals while addressing the interests and concerns of the community with the support of regular monitoring and evaluation.</w:t>
      </w:r>
    </w:p>
    <w:p w:rsidR="00000000" w:rsidDel="00000000" w:rsidP="00000000" w:rsidRDefault="00000000" w:rsidRPr="00000000" w14:paraId="00000029">
      <w:pPr>
        <w:rPr/>
      </w:pPr>
      <w:r w:rsidDel="00000000" w:rsidR="00000000" w:rsidRPr="00000000">
        <w:rPr>
          <w:rtl w:val="0"/>
        </w:rPr>
        <w:t xml:space="preserve">The project to rebuild Elephant and Castle is now moving along well and that has produced a number of beneficial results, including the submission of plans and proposals for novel concepts. There have been certain difficulties that called for modifications, such the remodelling of the shopping centre (Suzzie, 2022). There also has to be continual monitoring and feedback to make sure the project keeps meeting the requirements and preferences of the community. As a result, it may be necessary to introduce new communication techniques to increase project success and guarantee that all stakeholders are informed and involved. The project is making strides towards realising its objectives of enhancing the social and economic well-being. Some of the activities discussed in this report, such as community engagement strategies, information sharing, empowerment of stakeholders, and monitoring, can be improved by adopting more innovative and inclusive approaches. This can involve using new emerging technology, involving a wider range of stakeholders, improving communication and transparency, and focusing on the specific needs of the community. Establishing more open and transparent lines of communication between the local council and community members, such as frequent community meetings and online feedback platforms, is recommended in order to increase community involvement. It is crucial to make sure that community people are involved in decision-making and that their opinions are taken into account when planning and implementing project. The creation of community watch programmes, community gardens, and local business improvement districts are a few examples of effective community involvement initiatives (De Weger et al., 2018). Active community involvement, clear communication and openness from project leaders, and cooperation with local government and community groups are all approaches that have contributed to their success. The success of a project may also be influenced by offering the community real advantages like improved access to fresh produces and lower crime rates.</w:t>
      </w:r>
    </w:p>
    <w:p w:rsidR="00000000" w:rsidDel="00000000" w:rsidP="00000000" w:rsidRDefault="00000000" w:rsidRPr="00000000" w14:paraId="0000002A">
      <w:pPr>
        <w:rPr/>
      </w:pPr>
      <w:r w:rsidDel="00000000" w:rsidR="00000000" w:rsidRPr="00000000">
        <w:rPr>
          <w:rtl w:val="0"/>
        </w:rPr>
        <w:br w:type="textWrapping"/>
      </w:r>
    </w:p>
    <w:p w:rsidR="00000000" w:rsidDel="00000000" w:rsidP="00000000" w:rsidRDefault="00000000" w:rsidRPr="00000000" w14:paraId="0000002B">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2"/>
        <w:rPr/>
      </w:pPr>
      <w:r w:rsidDel="00000000" w:rsidR="00000000" w:rsidRPr="00000000">
        <w:rPr>
          <w:rtl w:val="0"/>
        </w:rPr>
        <w:t xml:space="preserve">Reference list</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tl w:val="0"/>
        </w:rPr>
        <w:t xml:space="preserve">De Weger, E., Van Vooren, N., Luijkx, K.G., Baan, C.A. and Drewes, H.W. (2018). Achieving successful community engagement: a rapid realist review. </w:t>
      </w:r>
      <w:r w:rsidDel="00000000" w:rsidR="00000000" w:rsidRPr="00000000">
        <w:rPr>
          <w:i w:val="1"/>
          <w:rtl w:val="0"/>
        </w:rPr>
        <w:t xml:space="preserve">BMC Health Services Research</w:t>
      </w:r>
      <w:r w:rsidDel="00000000" w:rsidR="00000000" w:rsidRPr="00000000">
        <w:rPr>
          <w:rtl w:val="0"/>
        </w:rPr>
        <w:t xml:space="preserve">, [online] 18(1). doi:https://doi.org/10.1186/s12913-018-3090-1.</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Dunton, J. (2022). </w:t>
      </w:r>
      <w:r w:rsidDel="00000000" w:rsidR="00000000" w:rsidRPr="00000000">
        <w:rPr>
          <w:i w:val="1"/>
          <w:rtl w:val="0"/>
        </w:rPr>
        <w:t xml:space="preserve">Final vision for Elephant &amp; Castle revealed</w:t>
      </w:r>
      <w:r w:rsidDel="00000000" w:rsidR="00000000" w:rsidRPr="00000000">
        <w:rPr>
          <w:rtl w:val="0"/>
        </w:rPr>
        <w:t xml:space="preserve">. [online] Building. Available at: https://www.building.co.uk/news/final-vision-for-elephant-and-castle-revealed/5032369.article [Accessed 3 Mar. 2023].</w:t>
      </w:r>
    </w:p>
    <w:p w:rsidR="00000000" w:rsidDel="00000000" w:rsidP="00000000" w:rsidRDefault="00000000" w:rsidRPr="00000000" w14:paraId="0000002F">
      <w:pPr>
        <w:rPr/>
      </w:pPr>
      <w:r w:rsidDel="00000000" w:rsidR="00000000" w:rsidRPr="00000000">
        <w:rPr>
          <w:rtl w:val="0"/>
        </w:rPr>
        <w:t xml:space="preserve">Fielmua, N. (2017). The Role of the Community Management Model towards Improved and Sustainable Access to Potable Water in Ghana (A Case of Nadowli District). </w:t>
      </w:r>
      <w:r w:rsidDel="00000000" w:rsidR="00000000" w:rsidRPr="00000000">
        <w:rPr>
          <w:i w:val="1"/>
          <w:rtl w:val="0"/>
        </w:rPr>
        <w:t xml:space="preserve">Journal of Sustainable Development</w:t>
      </w:r>
      <w:r w:rsidDel="00000000" w:rsidR="00000000" w:rsidRPr="00000000">
        <w:rPr>
          <w:rtl w:val="0"/>
        </w:rPr>
        <w:t xml:space="preserve">, 4(3). doi:https://doi.org/10.5539/jsd.v4n3p174.</w:t>
      </w:r>
    </w:p>
    <w:p w:rsidR="00000000" w:rsidDel="00000000" w:rsidP="00000000" w:rsidRDefault="00000000" w:rsidRPr="00000000" w14:paraId="00000030">
      <w:pPr>
        <w:rPr/>
      </w:pPr>
      <w:r w:rsidDel="00000000" w:rsidR="00000000" w:rsidRPr="00000000">
        <w:rPr>
          <w:rtl w:val="0"/>
        </w:rPr>
        <w:t xml:space="preserve">Flynn, J. (2018). Complete control, Elephant and Castle. </w:t>
      </w:r>
      <w:r w:rsidDel="00000000" w:rsidR="00000000" w:rsidRPr="00000000">
        <w:rPr>
          <w:i w:val="1"/>
          <w:rtl w:val="0"/>
        </w:rPr>
        <w:t xml:space="preserve">City</w:t>
      </w:r>
      <w:r w:rsidDel="00000000" w:rsidR="00000000" w:rsidRPr="00000000">
        <w:rPr>
          <w:rtl w:val="0"/>
        </w:rPr>
        <w:t xml:space="preserve">, 20(2), pp.278–286. doi:https://doi.org/10.1080/13604813.2016.1143685.</w:t>
      </w:r>
    </w:p>
    <w:p w:rsidR="00000000" w:rsidDel="00000000" w:rsidP="00000000" w:rsidRDefault="00000000" w:rsidRPr="00000000" w14:paraId="00000031">
      <w:pPr>
        <w:rPr/>
      </w:pPr>
      <w:r w:rsidDel="00000000" w:rsidR="00000000" w:rsidRPr="00000000">
        <w:rPr>
          <w:rtl w:val="0"/>
        </w:rPr>
        <w:t xml:space="preserve">Hansen, I. and Hohenthal, J. (2021). </w:t>
      </w:r>
      <w:r w:rsidDel="00000000" w:rsidR="00000000" w:rsidRPr="00000000">
        <w:rPr>
          <w:i w:val="1"/>
          <w:rtl w:val="0"/>
        </w:rPr>
        <w:t xml:space="preserve">Community Management - The Role Community Managers Play in the Video Game Industry in Sweden Pontus Boström</w:t>
      </w:r>
      <w:r w:rsidDel="00000000" w:rsidR="00000000" w:rsidRPr="00000000">
        <w:rPr>
          <w:rtl w:val="0"/>
        </w:rPr>
        <w:t xml:space="preserve">. [online] Available at: http://uu.diva-portal.org/smash/get/diva2:823348/FULLTEXT01.pdf [Accessed 3 Mar. 2023].</w:t>
      </w:r>
    </w:p>
    <w:p w:rsidR="00000000" w:rsidDel="00000000" w:rsidP="00000000" w:rsidRDefault="00000000" w:rsidRPr="00000000" w14:paraId="00000032">
      <w:pPr>
        <w:rPr/>
      </w:pPr>
      <w:r w:rsidDel="00000000" w:rsidR="00000000" w:rsidRPr="00000000">
        <w:rPr>
          <w:rtl w:val="0"/>
        </w:rPr>
        <w:t xml:space="preserve">Kajastie, N. (2023). </w:t>
      </w:r>
      <w:r w:rsidDel="00000000" w:rsidR="00000000" w:rsidRPr="00000000">
        <w:rPr>
          <w:i w:val="1"/>
          <w:rtl w:val="0"/>
        </w:rPr>
        <w:t xml:space="preserve">Regeneration: Complex engineering required to transform the Elephant</w:t>
      </w:r>
      <w:r w:rsidDel="00000000" w:rsidR="00000000" w:rsidRPr="00000000">
        <w:rPr>
          <w:rtl w:val="0"/>
        </w:rPr>
        <w:t xml:space="preserve">. [online] Ground Engineering (GE). Available at: https://www.geplus.co.uk/features/regeneration-complex-engineering-required-to-transform-the-elephant-06-01-2023/ [Accessed 3 Mar. 2023].</w:t>
      </w:r>
    </w:p>
    <w:p w:rsidR="00000000" w:rsidDel="00000000" w:rsidP="00000000" w:rsidRDefault="00000000" w:rsidRPr="00000000" w14:paraId="00000033">
      <w:pPr>
        <w:rPr/>
      </w:pPr>
      <w:r w:rsidDel="00000000" w:rsidR="00000000" w:rsidRPr="00000000">
        <w:rPr>
          <w:rtl w:val="0"/>
        </w:rPr>
        <w:t xml:space="preserve">Malan, H. (2021). </w:t>
      </w:r>
      <w:r w:rsidDel="00000000" w:rsidR="00000000" w:rsidRPr="00000000">
        <w:rPr>
          <w:i w:val="1"/>
          <w:rtl w:val="0"/>
        </w:rPr>
        <w:t xml:space="preserve">Elephant and Castle</w:t>
      </w:r>
      <w:r w:rsidDel="00000000" w:rsidR="00000000" w:rsidRPr="00000000">
        <w:rPr>
          <w:rtl w:val="0"/>
        </w:rPr>
        <w:t xml:space="preserve">. [online] Southwark Council. Available at: https://www.southwark.gov.uk/regeneration/elephant-and-castle.</w:t>
      </w:r>
    </w:p>
    <w:p w:rsidR="00000000" w:rsidDel="00000000" w:rsidP="00000000" w:rsidRDefault="00000000" w:rsidRPr="00000000" w14:paraId="00000034">
      <w:pPr>
        <w:rPr/>
      </w:pPr>
      <w:r w:rsidDel="00000000" w:rsidR="00000000" w:rsidRPr="00000000">
        <w:rPr>
          <w:rtl w:val="0"/>
        </w:rPr>
        <w:t xml:space="preserve">Masey, A. (2020). </w:t>
      </w:r>
      <w:r w:rsidDel="00000000" w:rsidR="00000000" w:rsidRPr="00000000">
        <w:rPr>
          <w:i w:val="1"/>
          <w:rtl w:val="0"/>
        </w:rPr>
        <w:t xml:space="preserve">Elephant and castle</w:t>
      </w:r>
      <w:r w:rsidDel="00000000" w:rsidR="00000000" w:rsidRPr="00000000">
        <w:rPr>
          <w:rtl w:val="0"/>
        </w:rPr>
        <w:t xml:space="preserve">. [online] Evening Standard. Available at: https://www.standard.co.uk/homesandproperty/where-to-live/living-in-elephant-castle-area-guide-to-homes-schools-and-transport-links-a135826.html [Accessed 3 Mar. 2023].</w:t>
      </w:r>
    </w:p>
    <w:p w:rsidR="00000000" w:rsidDel="00000000" w:rsidP="00000000" w:rsidRDefault="00000000" w:rsidRPr="00000000" w14:paraId="00000035">
      <w:pPr>
        <w:rPr/>
      </w:pPr>
      <w:r w:rsidDel="00000000" w:rsidR="00000000" w:rsidRPr="00000000">
        <w:rPr>
          <w:rtl w:val="0"/>
        </w:rPr>
        <w:t xml:space="preserve">Robin, S. (2021). </w:t>
      </w:r>
      <w:r w:rsidDel="00000000" w:rsidR="00000000" w:rsidRPr="00000000">
        <w:rPr>
          <w:i w:val="1"/>
          <w:rtl w:val="0"/>
        </w:rPr>
        <w:t xml:space="preserve">Regeneration map of Elephant and Castle</w:t>
      </w:r>
      <w:r w:rsidDel="00000000" w:rsidR="00000000" w:rsidRPr="00000000">
        <w:rPr>
          <w:rtl w:val="0"/>
        </w:rPr>
        <w:t xml:space="preserve">. [online] Elephant and Castle. Available at: https://elephantandcastle.org.uk/elephant-and-castle-regeneration-map/ [Accessed 3 Mar. 2023].</w:t>
      </w:r>
    </w:p>
    <w:p w:rsidR="00000000" w:rsidDel="00000000" w:rsidP="00000000" w:rsidRDefault="00000000" w:rsidRPr="00000000" w14:paraId="00000036">
      <w:pPr>
        <w:rPr/>
      </w:pPr>
      <w:r w:rsidDel="00000000" w:rsidR="00000000" w:rsidRPr="00000000">
        <w:rPr>
          <w:rtl w:val="0"/>
        </w:rPr>
        <w:t xml:space="preserve">Robs, S. (2022). </w:t>
      </w:r>
      <w:r w:rsidDel="00000000" w:rsidR="00000000" w:rsidRPr="00000000">
        <w:rPr>
          <w:i w:val="1"/>
          <w:rtl w:val="0"/>
        </w:rPr>
        <w:t xml:space="preserve">Looking to the Future</w:t>
      </w:r>
      <w:r w:rsidDel="00000000" w:rsidR="00000000" w:rsidRPr="00000000">
        <w:rPr>
          <w:rtl w:val="0"/>
        </w:rPr>
        <w:t xml:space="preserve">. [online] Elephant and Castle Town Centre. Available at: https://elephantandcastletowncentre.co.uk/looking-to-the-future/ [Accessed 14 Mar. 2022].</w:t>
      </w:r>
    </w:p>
    <w:p w:rsidR="00000000" w:rsidDel="00000000" w:rsidP="00000000" w:rsidRDefault="00000000" w:rsidRPr="00000000" w14:paraId="00000037">
      <w:pPr>
        <w:rPr/>
      </w:pPr>
      <w:r w:rsidDel="00000000" w:rsidR="00000000" w:rsidRPr="00000000">
        <w:rPr>
          <w:rtl w:val="0"/>
        </w:rPr>
        <w:t xml:space="preserve">Sam, C. (2022). </w:t>
      </w:r>
      <w:r w:rsidDel="00000000" w:rsidR="00000000" w:rsidRPr="00000000">
        <w:rPr>
          <w:i w:val="1"/>
          <w:rtl w:val="0"/>
        </w:rPr>
        <w:t xml:space="preserve">Overview of the plans</w:t>
      </w:r>
      <w:r w:rsidDel="00000000" w:rsidR="00000000" w:rsidRPr="00000000">
        <w:rPr>
          <w:rtl w:val="0"/>
        </w:rPr>
        <w:t xml:space="preserve">. [online] Elephant and Castle. Available at: https://elephantandcastle.org.uk/overview-of-the-plans/ [Accessed 2 Nov. 2021].</w:t>
      </w:r>
    </w:p>
    <w:p w:rsidR="00000000" w:rsidDel="00000000" w:rsidP="00000000" w:rsidRDefault="00000000" w:rsidRPr="00000000" w14:paraId="00000038">
      <w:pPr>
        <w:rPr/>
      </w:pPr>
      <w:r w:rsidDel="00000000" w:rsidR="00000000" w:rsidRPr="00000000">
        <w:rPr>
          <w:rtl w:val="0"/>
        </w:rPr>
        <w:t xml:space="preserve">Suzzie, M. (2022). </w:t>
      </w:r>
      <w:r w:rsidDel="00000000" w:rsidR="00000000" w:rsidRPr="00000000">
        <w:rPr>
          <w:i w:val="1"/>
          <w:rtl w:val="0"/>
        </w:rPr>
        <w:t xml:space="preserve">Elephant and Castle Latest News</w:t>
      </w:r>
      <w:r w:rsidDel="00000000" w:rsidR="00000000" w:rsidRPr="00000000">
        <w:rPr>
          <w:rtl w:val="0"/>
        </w:rPr>
        <w:t xml:space="preserve">. [online] Elephant and Castle. Available at: https://www.elephantandcastle.org.uk/latest-news/ [Accessed 22 Apr. 2021].</w:t>
      </w:r>
    </w:p>
    <w:p w:rsidR="00000000" w:rsidDel="00000000" w:rsidP="00000000" w:rsidRDefault="00000000" w:rsidRPr="00000000" w14:paraId="00000039">
      <w:pPr>
        <w:rPr/>
      </w:pPr>
      <w:r w:rsidDel="00000000" w:rsidR="00000000" w:rsidRPr="00000000">
        <w:rPr>
          <w:rtl w:val="0"/>
        </w:rPr>
        <w:t xml:space="preserve">ThemeGrill (2019). </w:t>
      </w:r>
      <w:r w:rsidDel="00000000" w:rsidR="00000000" w:rsidRPr="00000000">
        <w:rPr>
          <w:i w:val="1"/>
          <w:rtl w:val="0"/>
        </w:rPr>
        <w:t xml:space="preserve">Elephant and Castle | Hidden London</w:t>
      </w:r>
      <w:r w:rsidDel="00000000" w:rsidR="00000000" w:rsidRPr="00000000">
        <w:rPr>
          <w:rtl w:val="0"/>
        </w:rPr>
        <w:t xml:space="preserve">. [online] Hidden-london.com. Available at: https://hidden-london.com/gazetteer/elephant-and-castle/ [Accessed 3 Dec. 2019].</w:t>
      </w:r>
    </w:p>
    <w:p w:rsidR="00000000" w:rsidDel="00000000" w:rsidP="00000000" w:rsidRDefault="00000000" w:rsidRPr="00000000" w14:paraId="0000003A">
      <w:pPr>
        <w:rPr/>
      </w:pPr>
      <w:r w:rsidDel="00000000" w:rsidR="00000000" w:rsidRPr="00000000">
        <w:rPr>
          <w:rtl w:val="0"/>
        </w:rPr>
        <w:t xml:space="preserve">Wood, R. (2021). </w:t>
      </w:r>
      <w:r w:rsidDel="00000000" w:rsidR="00000000" w:rsidRPr="00000000">
        <w:rPr>
          <w:i w:val="1"/>
          <w:rtl w:val="0"/>
        </w:rPr>
        <w:t xml:space="preserve">The Human Cost of Elephant and Castle’s £4 Billion ‘Regeneration’ Scheme</w:t>
      </w:r>
      <w:r w:rsidDel="00000000" w:rsidR="00000000" w:rsidRPr="00000000">
        <w:rPr>
          <w:rtl w:val="0"/>
        </w:rPr>
        <w:t xml:space="preserve">. [online] www.vice.com. Available at: https://www.vice.com/en/article/z3edxj/elephant-and-castle-london-regeneration-shopping-centre [Accessed 30 Nov. 2021].</w:t>
      </w:r>
    </w:p>
    <w:p w:rsidR="00000000" w:rsidDel="00000000" w:rsidP="00000000" w:rsidRDefault="00000000" w:rsidRPr="00000000" w14:paraId="0000003B">
      <w:pPr>
        <w:rPr/>
      </w:pPr>
      <w:r w:rsidDel="00000000" w:rsidR="00000000" w:rsidRPr="00000000">
        <w:rPr>
          <w:rtl w:val="0"/>
        </w:rPr>
        <w:t xml:space="preserve">Department for Communities and Local Government. (2016). Community engagement: improving outcomes for everyone. Retrieved from https://assets.publishing.service.gov.uk/government/uploads/system/uploads/attachment_data/file/550785/Community_Engagement_Improving_Outcomes_for_Everyone.pdf</w:t>
      </w:r>
    </w:p>
    <w:p w:rsidR="00000000" w:rsidDel="00000000" w:rsidP="00000000" w:rsidRDefault="00000000" w:rsidRPr="00000000" w14:paraId="0000003C">
      <w:pPr>
        <w:rPr/>
      </w:pPr>
      <w:r w:rsidDel="00000000" w:rsidR="00000000" w:rsidRPr="00000000">
        <w:rPr>
          <w:rtl w:val="0"/>
        </w:rPr>
        <w:t xml:space="preserve">Greater London Authority. (2021). Elephant and Castle regeneration. Retrieved from https://www.london.gov.uk/what-we-do/regeneration/regeneration-projects/elephant-and-castle-regeneration</w:t>
      </w:r>
    </w:p>
    <w:p w:rsidR="00000000" w:rsidDel="00000000" w:rsidP="00000000" w:rsidRDefault="00000000" w:rsidRPr="00000000" w14:paraId="0000003D">
      <w:pPr>
        <w:rPr/>
      </w:pPr>
      <w:r w:rsidDel="00000000" w:rsidR="00000000" w:rsidRPr="00000000">
        <w:rPr>
          <w:rtl w:val="0"/>
        </w:rPr>
        <w:t xml:space="preserve">Ward, K., &amp; Tonts, M. (2015). Community engagement and social inclusion in small towns: Exploring the evidence from Australia and Canada. Community Development, 46(5), 562-581. doi: 10.1080/15575330.2015.1089221</w:t>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1047494" cy="416240"/>
          <wp:effectExtent b="0" l="0" r="0" t="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1"/>
                  <a:srcRect b="0" l="0" r="0" t="0"/>
                  <a:stretch>
                    <a:fillRect/>
                  </a:stretch>
                </pic:blipFill>
                <pic:spPr>
                  <a:xfrm>
                    <a:off x="0" y="0"/>
                    <a:ext cx="1047494" cy="4162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sz w:val="28"/>
      <w:szCs w:val="28"/>
    </w:rPr>
  </w:style>
  <w:style w:type="paragraph" w:styleId="Heading2">
    <w:name w:val="heading 2"/>
    <w:basedOn w:val="Normal"/>
    <w:next w:val="Normal"/>
    <w:pPr>
      <w:keepNext w:val="1"/>
      <w:keepLines w:val="1"/>
      <w:spacing w:after="0" w:before="40" w:lineRule="auto"/>
    </w:pPr>
    <w:rPr>
      <w:b w:val="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mbria" w:cs="Cambria" w:eastAsia="Cambria" w:hAnsi="Cambria"/>
      <w:sz w:val="56"/>
      <w:szCs w:val="56"/>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