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B4CCB" w14:textId="0A1212B6" w:rsidR="006E71D8" w:rsidRPr="00C627CF" w:rsidRDefault="00CD2EC1" w:rsidP="00C627CF">
      <w:pPr>
        <w:spacing w:line="480" w:lineRule="auto"/>
        <w:jc w:val="both"/>
        <w:rPr>
          <w:rFonts w:ascii="Arial" w:hAnsi="Arial" w:cs="Arial"/>
          <w:color w:val="0B0C0C"/>
          <w:sz w:val="24"/>
          <w:szCs w:val="24"/>
        </w:rPr>
      </w:pPr>
      <w:r w:rsidRPr="00C627CF">
        <w:rPr>
          <w:rFonts w:ascii="Arial" w:eastAsia="Times New Roman" w:hAnsi="Arial" w:cs="Arial"/>
          <w:color w:val="0B0C0C"/>
          <w:sz w:val="24"/>
          <w:szCs w:val="24"/>
          <w:lang w:eastAsia="en-GB"/>
        </w:rPr>
        <w:t>The UK government has made it a key priority to minimise crime as part of the country's levelling up effort. However, they acknowledge the need for a trained and driven police force to develop aptitude and capacity to deal with contemporary crime.</w:t>
      </w:r>
      <w:r w:rsidR="00B30488" w:rsidRPr="00C627CF">
        <w:rPr>
          <w:rFonts w:ascii="Arial" w:eastAsia="Times New Roman" w:hAnsi="Arial" w:cs="Arial"/>
          <w:color w:val="0B0C0C"/>
          <w:sz w:val="24"/>
          <w:szCs w:val="24"/>
          <w:lang w:eastAsia="en-GB"/>
        </w:rPr>
        <w:t xml:space="preserve"> Research suggests that there are </w:t>
      </w:r>
      <w:r w:rsidR="00B30488" w:rsidRPr="00C627CF">
        <w:rPr>
          <w:rFonts w:ascii="Arial" w:hAnsi="Arial" w:cs="Arial"/>
          <w:color w:val="0B0C0C"/>
          <w:sz w:val="24"/>
          <w:szCs w:val="24"/>
        </w:rPr>
        <w:t>several</w:t>
      </w:r>
      <w:r w:rsidR="00E21F2C" w:rsidRPr="00C627CF">
        <w:rPr>
          <w:rFonts w:ascii="Arial" w:hAnsi="Arial" w:cs="Arial"/>
          <w:color w:val="0B0C0C"/>
          <w:sz w:val="24"/>
          <w:szCs w:val="24"/>
        </w:rPr>
        <w:t xml:space="preserve"> factors </w:t>
      </w:r>
      <w:r w:rsidR="005C4CBD" w:rsidRPr="00C627CF">
        <w:rPr>
          <w:rFonts w:ascii="Arial" w:hAnsi="Arial" w:cs="Arial"/>
          <w:color w:val="0B0C0C"/>
          <w:sz w:val="24"/>
          <w:szCs w:val="24"/>
        </w:rPr>
        <w:t>that obstruct the government’s goals</w:t>
      </w:r>
      <w:r w:rsidR="006E71D8" w:rsidRPr="00C627CF">
        <w:rPr>
          <w:rFonts w:ascii="Arial" w:hAnsi="Arial" w:cs="Arial"/>
          <w:color w:val="0B0C0C"/>
          <w:sz w:val="24"/>
          <w:szCs w:val="24"/>
        </w:rPr>
        <w:t xml:space="preserve">, even though police funding has increased to £16.9 billion in 2022/23. This includes funding for national priorities, such as recruitment and retention of police officers (Home Office, 2022) </w:t>
      </w:r>
    </w:p>
    <w:p w14:paraId="740A329F" w14:textId="1E253B14" w:rsidR="00EE0A73" w:rsidRPr="00C627CF" w:rsidRDefault="00EE0A73" w:rsidP="00C627CF">
      <w:pPr>
        <w:spacing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 xml:space="preserve">To reach </w:t>
      </w:r>
      <w:r w:rsidR="000B437B">
        <w:rPr>
          <w:rFonts w:ascii="Arial" w:eastAsia="Times New Roman" w:hAnsi="Arial" w:cs="Arial"/>
          <w:color w:val="0B0C0C"/>
          <w:sz w:val="24"/>
          <w:szCs w:val="24"/>
          <w:lang w:eastAsia="en-GB"/>
        </w:rPr>
        <w:t xml:space="preserve">the UK Governments </w:t>
      </w:r>
      <w:r w:rsidRPr="00C627CF">
        <w:rPr>
          <w:rFonts w:ascii="Arial" w:eastAsia="Times New Roman" w:hAnsi="Arial" w:cs="Arial"/>
          <w:color w:val="0B0C0C"/>
          <w:sz w:val="24"/>
          <w:szCs w:val="24"/>
          <w:lang w:eastAsia="en-GB"/>
        </w:rPr>
        <w:t xml:space="preserve">goal of </w:t>
      </w:r>
      <w:r w:rsidR="000B437B">
        <w:rPr>
          <w:rFonts w:ascii="Arial" w:eastAsia="Times New Roman" w:hAnsi="Arial" w:cs="Arial"/>
          <w:color w:val="0B0C0C"/>
          <w:sz w:val="24"/>
          <w:szCs w:val="24"/>
          <w:lang w:eastAsia="en-GB"/>
        </w:rPr>
        <w:t xml:space="preserve">recruiting an extra </w:t>
      </w:r>
      <w:r w:rsidRPr="00C627CF">
        <w:rPr>
          <w:rFonts w:ascii="Arial" w:eastAsia="Times New Roman" w:hAnsi="Arial" w:cs="Arial"/>
          <w:color w:val="0B0C0C"/>
          <w:sz w:val="24"/>
          <w:szCs w:val="24"/>
          <w:lang w:eastAsia="en-GB"/>
        </w:rPr>
        <w:t>20,000 police officers by March 2023, there has been a constant rise in the number of officers employed. Officer recruitment numbers do, however, vary from month to month, reflecting the various recruitment cycles of forces as well as seasonal trends.</w:t>
      </w:r>
    </w:p>
    <w:p w14:paraId="5DF573E4" w14:textId="7607CBE9" w:rsidR="00EE0A73" w:rsidRPr="00C627CF" w:rsidRDefault="00EE0A73" w:rsidP="00C627CF">
      <w:pPr>
        <w:spacing w:line="480" w:lineRule="auto"/>
        <w:jc w:val="both"/>
        <w:rPr>
          <w:rFonts w:ascii="Arial" w:eastAsia="Times New Roman" w:hAnsi="Arial" w:cs="Arial"/>
          <w:color w:val="0B0C0C"/>
          <w:sz w:val="24"/>
          <w:szCs w:val="24"/>
          <w:lang w:eastAsia="en-GB"/>
        </w:rPr>
      </w:pPr>
      <w:r w:rsidRPr="00C627CF">
        <w:rPr>
          <w:rFonts w:ascii="Arial" w:hAnsi="Arial" w:cs="Arial"/>
          <w:noProof/>
          <w:sz w:val="24"/>
          <w:szCs w:val="24"/>
        </w:rPr>
        <w:drawing>
          <wp:inline distT="0" distB="0" distL="0" distR="0" wp14:anchorId="2426ACD9" wp14:editId="3E4EFEA3">
            <wp:extent cx="5731510" cy="3820795"/>
            <wp:effectExtent l="19050" t="19050" r="21590" b="27305"/>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chemeClr val="tx1"/>
                      </a:solidFill>
                    </a:ln>
                  </pic:spPr>
                </pic:pic>
              </a:graphicData>
            </a:graphic>
          </wp:inline>
        </w:drawing>
      </w:r>
    </w:p>
    <w:p w14:paraId="52072EBA" w14:textId="21708989" w:rsidR="00EE0A73" w:rsidRPr="00C627CF" w:rsidRDefault="00EE0A73" w:rsidP="00C627CF">
      <w:pPr>
        <w:shd w:val="clear" w:color="auto" w:fill="FFFFFF"/>
        <w:spacing w:before="300" w:after="300"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Figure 1</w:t>
      </w:r>
      <w:r w:rsidR="0085072C" w:rsidRPr="00C627CF">
        <w:rPr>
          <w:rFonts w:ascii="Arial" w:eastAsia="Times New Roman" w:hAnsi="Arial" w:cs="Arial"/>
          <w:color w:val="0B0C0C"/>
          <w:sz w:val="24"/>
          <w:szCs w:val="24"/>
          <w:lang w:eastAsia="en-GB"/>
        </w:rPr>
        <w:t>.</w:t>
      </w:r>
      <w:r w:rsidRPr="00C627CF">
        <w:rPr>
          <w:rFonts w:ascii="Arial" w:eastAsia="Times New Roman" w:hAnsi="Arial" w:cs="Arial"/>
          <w:color w:val="0B0C0C"/>
          <w:sz w:val="24"/>
          <w:szCs w:val="24"/>
          <w:lang w:eastAsia="en-GB"/>
        </w:rPr>
        <w:t xml:space="preserve"> </w:t>
      </w:r>
    </w:p>
    <w:p w14:paraId="02738C79" w14:textId="18683C3E" w:rsidR="00EE0A73" w:rsidRPr="00C627CF" w:rsidRDefault="00EE0A73" w:rsidP="00C627CF">
      <w:pPr>
        <w:shd w:val="clear" w:color="auto" w:fill="FFFFFF"/>
        <w:spacing w:before="300" w:after="300"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lastRenderedPageBreak/>
        <w:t xml:space="preserve">The above graph shows that there has been a steady rise of police officers employed across the England and Wales, however there was a significant decline in the number of officers leaving the service between </w:t>
      </w:r>
      <w:r w:rsidR="00DF2EDE" w:rsidRPr="00C627CF">
        <w:rPr>
          <w:rFonts w:ascii="Arial" w:eastAsia="Times New Roman" w:hAnsi="Arial" w:cs="Arial"/>
          <w:color w:val="0B0C0C"/>
          <w:sz w:val="24"/>
          <w:szCs w:val="24"/>
          <w:lang w:eastAsia="en-GB"/>
        </w:rPr>
        <w:t>November 2021 and December 2021 and between March 2022 and April 2022</w:t>
      </w:r>
      <w:r w:rsidR="0026541C">
        <w:rPr>
          <w:rFonts w:ascii="Arial" w:eastAsia="Times New Roman" w:hAnsi="Arial" w:cs="Arial"/>
          <w:color w:val="0B0C0C"/>
          <w:sz w:val="24"/>
          <w:szCs w:val="24"/>
          <w:lang w:eastAsia="en-GB"/>
        </w:rPr>
        <w:t xml:space="preserve">. This decline falls within the period that the </w:t>
      </w:r>
      <w:r w:rsidR="0026541C" w:rsidRPr="00C627CF">
        <w:rPr>
          <w:rFonts w:ascii="Arial" w:eastAsia="Times New Roman" w:hAnsi="Arial" w:cs="Arial"/>
          <w:color w:val="0B0C0C"/>
          <w:sz w:val="24"/>
          <w:szCs w:val="24"/>
          <w:lang w:eastAsia="en-GB"/>
        </w:rPr>
        <w:t>Police Education Qualification Framework</w:t>
      </w:r>
      <w:r w:rsidR="0026541C">
        <w:rPr>
          <w:rFonts w:ascii="Arial" w:eastAsia="Times New Roman" w:hAnsi="Arial" w:cs="Arial"/>
          <w:color w:val="0B0C0C"/>
          <w:sz w:val="24"/>
          <w:szCs w:val="24"/>
          <w:lang w:eastAsia="en-GB"/>
        </w:rPr>
        <w:t xml:space="preserve"> was introduced</w:t>
      </w:r>
      <w:r w:rsidR="0026541C" w:rsidRPr="00C627CF">
        <w:rPr>
          <w:rFonts w:ascii="Arial" w:eastAsia="Times New Roman" w:hAnsi="Arial" w:cs="Arial"/>
          <w:color w:val="0B0C0C"/>
          <w:sz w:val="24"/>
          <w:szCs w:val="24"/>
          <w:lang w:eastAsia="en-GB"/>
        </w:rPr>
        <w:t xml:space="preserve"> in March 2019</w:t>
      </w:r>
      <w:r w:rsidR="0026541C">
        <w:rPr>
          <w:rFonts w:ascii="Arial" w:eastAsia="Times New Roman" w:hAnsi="Arial" w:cs="Arial"/>
          <w:color w:val="0B0C0C"/>
          <w:sz w:val="24"/>
          <w:szCs w:val="24"/>
          <w:lang w:eastAsia="en-GB"/>
        </w:rPr>
        <w:t>, which may be significant or coincidental</w:t>
      </w:r>
      <w:r w:rsidR="0026541C" w:rsidRPr="00C627CF">
        <w:rPr>
          <w:rFonts w:ascii="Arial" w:eastAsia="Times New Roman" w:hAnsi="Arial" w:cs="Arial"/>
          <w:color w:val="0B0C0C"/>
          <w:sz w:val="24"/>
          <w:szCs w:val="24"/>
          <w:lang w:eastAsia="en-GB"/>
        </w:rPr>
        <w:t xml:space="preserve"> </w:t>
      </w:r>
      <w:r w:rsidR="00DF2EDE" w:rsidRPr="00C627CF">
        <w:rPr>
          <w:rFonts w:ascii="Arial" w:eastAsia="Times New Roman" w:hAnsi="Arial" w:cs="Arial"/>
          <w:color w:val="0B0C0C"/>
          <w:sz w:val="24"/>
          <w:szCs w:val="24"/>
          <w:lang w:eastAsia="en-GB"/>
        </w:rPr>
        <w:t xml:space="preserve">(Home Office, 2022) </w:t>
      </w:r>
    </w:p>
    <w:p w14:paraId="449539DF" w14:textId="13D5E1FB" w:rsidR="004721DF" w:rsidRPr="006C3522" w:rsidRDefault="00555290" w:rsidP="006C3522">
      <w:pPr>
        <w:shd w:val="clear" w:color="auto" w:fill="FFFFFF"/>
        <w:spacing w:line="480" w:lineRule="auto"/>
        <w:jc w:val="both"/>
        <w:rPr>
          <w:rFonts w:ascii="Arial" w:eastAsia="Times New Roman" w:hAnsi="Arial" w:cs="Arial"/>
          <w:color w:val="FF0000"/>
          <w:sz w:val="24"/>
          <w:szCs w:val="24"/>
          <w:lang w:eastAsia="en-GB"/>
        </w:rPr>
      </w:pPr>
      <w:r w:rsidRPr="00C627CF">
        <w:rPr>
          <w:rFonts w:ascii="Arial" w:eastAsia="Times New Roman" w:hAnsi="Arial" w:cs="Arial"/>
          <w:color w:val="0B0C0C"/>
          <w:sz w:val="24"/>
          <w:szCs w:val="24"/>
          <w:lang w:eastAsia="en-GB"/>
        </w:rPr>
        <w:t xml:space="preserve">In </w:t>
      </w:r>
      <w:r w:rsidR="00B855A0" w:rsidRPr="00C627CF">
        <w:rPr>
          <w:rFonts w:ascii="Arial" w:eastAsia="Times New Roman" w:hAnsi="Arial" w:cs="Arial"/>
          <w:color w:val="0B0C0C"/>
          <w:sz w:val="24"/>
          <w:szCs w:val="24"/>
          <w:lang w:eastAsia="en-GB"/>
        </w:rPr>
        <w:t>January 2021</w:t>
      </w:r>
      <w:r w:rsidR="002B58FE" w:rsidRPr="00C627CF">
        <w:rPr>
          <w:rFonts w:ascii="Arial" w:eastAsia="Times New Roman" w:hAnsi="Arial" w:cs="Arial"/>
          <w:color w:val="0B0C0C"/>
          <w:sz w:val="24"/>
          <w:szCs w:val="24"/>
          <w:lang w:eastAsia="en-GB"/>
        </w:rPr>
        <w:t xml:space="preserve">, the Office of National Statistics (2022) confirmed that there were </w:t>
      </w:r>
      <w:r w:rsidR="00B855A0" w:rsidRPr="00C627CF">
        <w:rPr>
          <w:rFonts w:ascii="Arial" w:eastAsia="Times New Roman" w:hAnsi="Arial" w:cs="Arial"/>
          <w:color w:val="0B0C0C"/>
          <w:sz w:val="24"/>
          <w:szCs w:val="24"/>
          <w:lang w:eastAsia="en-GB"/>
        </w:rPr>
        <w:t xml:space="preserve">97,300 </w:t>
      </w:r>
      <w:r w:rsidR="004721DF" w:rsidRPr="00C627CF">
        <w:rPr>
          <w:rFonts w:ascii="Arial" w:eastAsia="Times New Roman" w:hAnsi="Arial" w:cs="Arial"/>
          <w:color w:val="0B0C0C"/>
          <w:sz w:val="24"/>
          <w:szCs w:val="24"/>
          <w:lang w:eastAsia="en-GB"/>
        </w:rPr>
        <w:t xml:space="preserve">full-time officers </w:t>
      </w:r>
      <w:r w:rsidR="002B58FE" w:rsidRPr="00C627CF">
        <w:rPr>
          <w:rFonts w:ascii="Arial" w:eastAsia="Times New Roman" w:hAnsi="Arial" w:cs="Arial"/>
          <w:color w:val="0B0C0C"/>
          <w:sz w:val="24"/>
          <w:szCs w:val="24"/>
          <w:lang w:eastAsia="en-GB"/>
        </w:rPr>
        <w:t xml:space="preserve">in </w:t>
      </w:r>
      <w:r w:rsidR="004721DF" w:rsidRPr="00C627CF">
        <w:rPr>
          <w:rFonts w:ascii="Arial" w:eastAsia="Times New Roman" w:hAnsi="Arial" w:cs="Arial"/>
          <w:color w:val="0B0C0C"/>
          <w:sz w:val="24"/>
          <w:szCs w:val="24"/>
          <w:lang w:eastAsia="en-GB"/>
        </w:rPr>
        <w:t>43 territorial police forces in England and Wales</w:t>
      </w:r>
      <w:r w:rsidR="0080303D" w:rsidRPr="00C627CF">
        <w:rPr>
          <w:rFonts w:ascii="Arial" w:eastAsia="Times New Roman" w:hAnsi="Arial" w:cs="Arial"/>
          <w:color w:val="0B0C0C"/>
          <w:sz w:val="24"/>
          <w:szCs w:val="24"/>
          <w:lang w:eastAsia="en-GB"/>
        </w:rPr>
        <w:t xml:space="preserve">, </w:t>
      </w:r>
      <w:r w:rsidR="00CE1CF3" w:rsidRPr="00C627CF">
        <w:rPr>
          <w:rFonts w:ascii="Arial" w:eastAsia="Times New Roman" w:hAnsi="Arial" w:cs="Arial"/>
          <w:color w:val="0B0C0C"/>
          <w:sz w:val="24"/>
          <w:szCs w:val="24"/>
          <w:lang w:eastAsia="en-GB"/>
        </w:rPr>
        <w:t>and</w:t>
      </w:r>
      <w:r w:rsidR="0080303D" w:rsidRPr="00C627CF">
        <w:rPr>
          <w:rFonts w:ascii="Arial" w:eastAsia="Times New Roman" w:hAnsi="Arial" w:cs="Arial"/>
          <w:color w:val="0B0C0C"/>
          <w:sz w:val="24"/>
          <w:szCs w:val="24"/>
          <w:lang w:eastAsia="en-GB"/>
        </w:rPr>
        <w:t xml:space="preserve"> according to the Home Office (2022) by March 2022 that number had risen to </w:t>
      </w:r>
      <w:r w:rsidR="00B855A0" w:rsidRPr="00C627CF">
        <w:rPr>
          <w:rFonts w:ascii="Arial" w:eastAsia="Times New Roman" w:hAnsi="Arial" w:cs="Arial"/>
          <w:color w:val="0B0C0C"/>
          <w:sz w:val="24"/>
          <w:szCs w:val="24"/>
          <w:lang w:eastAsia="en-GB"/>
        </w:rPr>
        <w:t>140,228</w:t>
      </w:r>
      <w:r w:rsidR="0080303D" w:rsidRPr="00C627CF">
        <w:rPr>
          <w:rFonts w:ascii="Arial" w:eastAsia="Times New Roman" w:hAnsi="Arial" w:cs="Arial"/>
          <w:color w:val="0B0C0C"/>
          <w:sz w:val="24"/>
          <w:szCs w:val="24"/>
          <w:lang w:eastAsia="en-GB"/>
        </w:rPr>
        <w:t xml:space="preserve">. </w:t>
      </w:r>
      <w:r w:rsidR="006C3522" w:rsidRPr="006C3522">
        <w:rPr>
          <w:rFonts w:ascii="Arial" w:eastAsia="Times New Roman" w:hAnsi="Arial" w:cs="Arial"/>
          <w:sz w:val="24"/>
          <w:szCs w:val="24"/>
          <w:lang w:eastAsia="en-GB"/>
        </w:rPr>
        <w:t>There appears to be inconsistences between the data, as the Home Office (2022) identifie</w:t>
      </w:r>
      <w:r w:rsidR="000C1C38">
        <w:rPr>
          <w:rFonts w:ascii="Arial" w:eastAsia="Times New Roman" w:hAnsi="Arial" w:cs="Arial"/>
          <w:sz w:val="24"/>
          <w:szCs w:val="24"/>
          <w:lang w:eastAsia="en-GB"/>
        </w:rPr>
        <w:t>d</w:t>
      </w:r>
      <w:r w:rsidR="006C3522" w:rsidRPr="006C3522">
        <w:rPr>
          <w:rFonts w:ascii="Arial" w:eastAsia="Times New Roman" w:hAnsi="Arial" w:cs="Arial"/>
          <w:sz w:val="24"/>
          <w:szCs w:val="24"/>
          <w:lang w:eastAsia="en-GB"/>
        </w:rPr>
        <w:t xml:space="preserve"> that only </w:t>
      </w:r>
      <w:r w:rsidR="004721DF" w:rsidRPr="006C3522">
        <w:rPr>
          <w:rFonts w:ascii="Arial" w:eastAsia="Times New Roman" w:hAnsi="Arial" w:cs="Arial"/>
          <w:sz w:val="24"/>
          <w:szCs w:val="24"/>
          <w:lang w:eastAsia="en-GB"/>
        </w:rPr>
        <w:t>12</w:t>
      </w:r>
      <w:r w:rsidR="004721DF" w:rsidRPr="00C627CF">
        <w:rPr>
          <w:rFonts w:ascii="Arial" w:eastAsia="Times New Roman" w:hAnsi="Arial" w:cs="Arial"/>
          <w:color w:val="0B0C0C"/>
          <w:sz w:val="24"/>
          <w:szCs w:val="24"/>
          <w:lang w:eastAsia="en-GB"/>
        </w:rPr>
        <w:t>,789 new police officers joined the 43 territorial police forces in England and Wales in the year ending March 2022</w:t>
      </w:r>
      <w:r w:rsidR="006C3522">
        <w:rPr>
          <w:rFonts w:ascii="Arial" w:eastAsia="Times New Roman" w:hAnsi="Arial" w:cs="Arial"/>
          <w:color w:val="0B0C0C"/>
          <w:sz w:val="24"/>
          <w:szCs w:val="24"/>
          <w:lang w:eastAsia="en-GB"/>
        </w:rPr>
        <w:t xml:space="preserve">. This is </w:t>
      </w:r>
      <w:r w:rsidR="004721DF" w:rsidRPr="00C627CF">
        <w:rPr>
          <w:rFonts w:ascii="Arial" w:eastAsia="Times New Roman" w:hAnsi="Arial" w:cs="Arial"/>
          <w:color w:val="0B0C0C"/>
          <w:sz w:val="24"/>
          <w:szCs w:val="24"/>
          <w:lang w:eastAsia="en-GB"/>
        </w:rPr>
        <w:t>an increase of 662 (or 5.5%) on the previous year</w:t>
      </w:r>
      <w:r w:rsidR="00793345" w:rsidRPr="00C627CF">
        <w:rPr>
          <w:rFonts w:ascii="Arial" w:eastAsia="Times New Roman" w:hAnsi="Arial" w:cs="Arial"/>
          <w:color w:val="0B0C0C"/>
          <w:sz w:val="24"/>
          <w:szCs w:val="24"/>
          <w:lang w:eastAsia="en-GB"/>
        </w:rPr>
        <w:t xml:space="preserve"> (Home Office, 2022)</w:t>
      </w:r>
      <w:r w:rsidR="009F0B4F" w:rsidRPr="00C627CF">
        <w:rPr>
          <w:rFonts w:ascii="Arial" w:hAnsi="Arial" w:cs="Arial"/>
          <w:sz w:val="24"/>
          <w:szCs w:val="24"/>
        </w:rPr>
        <w:t xml:space="preserve"> </w:t>
      </w:r>
      <w:r w:rsidR="009F0B4F" w:rsidRPr="00C627CF">
        <w:rPr>
          <w:rFonts w:ascii="Arial" w:eastAsia="Times New Roman" w:hAnsi="Arial" w:cs="Arial"/>
          <w:color w:val="0B0C0C"/>
          <w:sz w:val="24"/>
          <w:szCs w:val="24"/>
          <w:lang w:eastAsia="en-GB"/>
        </w:rPr>
        <w:t>Compared to previous years, this year has seen the second-highest number of new police recruits.</w:t>
      </w:r>
    </w:p>
    <w:p w14:paraId="59CE584F" w14:textId="7F4E3379" w:rsidR="0085072C" w:rsidRPr="00C627CF" w:rsidRDefault="00AC31F0" w:rsidP="00C627CF">
      <w:pPr>
        <w:shd w:val="clear" w:color="auto" w:fill="FFFFFF"/>
        <w:spacing w:after="75"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The</w:t>
      </w:r>
      <w:r w:rsidRPr="00C627CF">
        <w:rPr>
          <w:rFonts w:ascii="Arial" w:eastAsia="Times New Roman" w:hAnsi="Arial" w:cs="Arial"/>
          <w:color w:val="0B0C0C"/>
          <w:sz w:val="24"/>
          <w:szCs w:val="24"/>
          <w:lang w:eastAsia="en-GB"/>
        </w:rPr>
        <w:t xml:space="preserve"> increase of recruitment is reflected in the UK Governments pledge to employ </w:t>
      </w:r>
      <w:r w:rsidRPr="00C627CF">
        <w:rPr>
          <w:rFonts w:ascii="Arial" w:eastAsia="Times New Roman" w:hAnsi="Arial" w:cs="Arial"/>
          <w:color w:val="0B0C0C"/>
          <w:sz w:val="24"/>
          <w:szCs w:val="24"/>
          <w:lang w:eastAsia="en-GB"/>
        </w:rPr>
        <w:t>20,000 more police officers in England and Wales by the end of March 2023</w:t>
      </w:r>
      <w:r w:rsidRPr="00C627CF">
        <w:rPr>
          <w:rFonts w:ascii="Arial" w:eastAsia="Times New Roman" w:hAnsi="Arial" w:cs="Arial"/>
          <w:color w:val="0B0C0C"/>
          <w:sz w:val="24"/>
          <w:szCs w:val="24"/>
          <w:lang w:eastAsia="en-GB"/>
        </w:rPr>
        <w:t xml:space="preserve"> and </w:t>
      </w:r>
      <w:r w:rsidRPr="00C627CF">
        <w:rPr>
          <w:rFonts w:ascii="Arial" w:eastAsia="Times New Roman" w:hAnsi="Arial" w:cs="Arial"/>
          <w:color w:val="0B0C0C"/>
          <w:sz w:val="24"/>
          <w:szCs w:val="24"/>
          <w:lang w:eastAsia="en-GB"/>
        </w:rPr>
        <w:t>12,000 extra police</w:t>
      </w:r>
      <w:r w:rsidRPr="00C627CF">
        <w:rPr>
          <w:rFonts w:ascii="Arial" w:eastAsia="Times New Roman" w:hAnsi="Arial" w:cs="Arial"/>
          <w:color w:val="0B0C0C"/>
          <w:sz w:val="24"/>
          <w:szCs w:val="24"/>
          <w:lang w:eastAsia="en-GB"/>
        </w:rPr>
        <w:t xml:space="preserve"> officers</w:t>
      </w:r>
      <w:r w:rsidRPr="00C627CF">
        <w:rPr>
          <w:rFonts w:ascii="Arial" w:eastAsia="Times New Roman" w:hAnsi="Arial" w:cs="Arial"/>
          <w:color w:val="0B0C0C"/>
          <w:sz w:val="24"/>
          <w:szCs w:val="24"/>
          <w:lang w:eastAsia="en-GB"/>
        </w:rPr>
        <w:t xml:space="preserve"> could have been </w:t>
      </w:r>
      <w:r w:rsidRPr="00C627CF">
        <w:rPr>
          <w:rFonts w:ascii="Arial" w:eastAsia="Times New Roman" w:hAnsi="Arial" w:cs="Arial"/>
          <w:color w:val="0B0C0C"/>
          <w:sz w:val="24"/>
          <w:szCs w:val="24"/>
          <w:lang w:eastAsia="en-GB"/>
        </w:rPr>
        <w:t>employed</w:t>
      </w:r>
      <w:r w:rsidRPr="00C627CF">
        <w:rPr>
          <w:rFonts w:ascii="Arial" w:eastAsia="Times New Roman" w:hAnsi="Arial" w:cs="Arial"/>
          <w:color w:val="0B0C0C"/>
          <w:sz w:val="24"/>
          <w:szCs w:val="24"/>
          <w:lang w:eastAsia="en-GB"/>
        </w:rPr>
        <w:t xml:space="preserve"> by the end of March 2022 under the first two phases of this pl</w:t>
      </w:r>
      <w:r w:rsidR="00A534C4" w:rsidRPr="00C627CF">
        <w:rPr>
          <w:rFonts w:ascii="Arial" w:eastAsia="Times New Roman" w:hAnsi="Arial" w:cs="Arial"/>
          <w:color w:val="0B0C0C"/>
          <w:sz w:val="24"/>
          <w:szCs w:val="24"/>
          <w:lang w:eastAsia="en-GB"/>
        </w:rPr>
        <w:t>edge</w:t>
      </w:r>
      <w:r w:rsidRPr="00C627CF">
        <w:rPr>
          <w:rFonts w:ascii="Arial" w:eastAsia="Times New Roman" w:hAnsi="Arial" w:cs="Arial"/>
          <w:color w:val="0B0C0C"/>
          <w:sz w:val="24"/>
          <w:szCs w:val="24"/>
          <w:lang w:eastAsia="en-GB"/>
        </w:rPr>
        <w:t>.</w:t>
      </w:r>
    </w:p>
    <w:p w14:paraId="33C1DF45" w14:textId="76199467" w:rsidR="00882CE4" w:rsidRPr="00C627CF" w:rsidRDefault="00FB6BF3" w:rsidP="00C627CF">
      <w:pPr>
        <w:shd w:val="clear" w:color="auto" w:fill="FFFFFF"/>
        <w:spacing w:before="300" w:after="300" w:line="480" w:lineRule="auto"/>
        <w:jc w:val="both"/>
        <w:rPr>
          <w:rFonts w:ascii="Arial" w:eastAsia="Times New Roman" w:hAnsi="Arial" w:cs="Arial"/>
          <w:color w:val="0B0C0C"/>
          <w:sz w:val="24"/>
          <w:szCs w:val="24"/>
          <w:lang w:eastAsia="en-GB"/>
        </w:rPr>
      </w:pPr>
      <w:r w:rsidRPr="00C627CF">
        <w:rPr>
          <w:rFonts w:ascii="Arial" w:hAnsi="Arial" w:cs="Arial"/>
          <w:noProof/>
          <w:sz w:val="24"/>
          <w:szCs w:val="24"/>
        </w:rPr>
        <w:drawing>
          <wp:inline distT="0" distB="0" distL="0" distR="0" wp14:anchorId="3FAA36E5" wp14:editId="52E5AABD">
            <wp:extent cx="5731510" cy="3820795"/>
            <wp:effectExtent l="19050" t="19050" r="21590" b="27305"/>
            <wp:docPr id="4" name="Picture 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histo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solidFill>
                        <a:schemeClr val="tx1"/>
                      </a:solidFill>
                    </a:ln>
                  </pic:spPr>
                </pic:pic>
              </a:graphicData>
            </a:graphic>
          </wp:inline>
        </w:drawing>
      </w:r>
    </w:p>
    <w:p w14:paraId="060C4FA7" w14:textId="77777777" w:rsidR="0085072C" w:rsidRPr="00C627CF" w:rsidRDefault="0085072C" w:rsidP="00C627CF">
      <w:pPr>
        <w:shd w:val="clear" w:color="auto" w:fill="FFFFFF"/>
        <w:spacing w:before="300" w:after="300"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 xml:space="preserve">Figure 2. </w:t>
      </w:r>
    </w:p>
    <w:p w14:paraId="3249CF2B" w14:textId="22696458" w:rsidR="0085072C" w:rsidRPr="00C627CF" w:rsidRDefault="0085072C" w:rsidP="00C627CF">
      <w:pPr>
        <w:shd w:val="clear" w:color="auto" w:fill="FFFFFF"/>
        <w:spacing w:after="75" w:line="480" w:lineRule="auto"/>
        <w:jc w:val="both"/>
        <w:rPr>
          <w:rFonts w:ascii="Arial" w:eastAsia="Times New Roman" w:hAnsi="Arial" w:cs="Arial"/>
          <w:color w:val="0B0C0C"/>
          <w:sz w:val="24"/>
          <w:szCs w:val="24"/>
          <w:lang w:eastAsia="en-GB"/>
        </w:rPr>
      </w:pPr>
      <w:r w:rsidRPr="00C627CF">
        <w:rPr>
          <w:rFonts w:ascii="Arial" w:eastAsia="Times New Roman" w:hAnsi="Arial" w:cs="Arial"/>
          <w:color w:val="0B0C0C"/>
          <w:sz w:val="24"/>
          <w:szCs w:val="24"/>
          <w:lang w:eastAsia="en-GB"/>
        </w:rPr>
        <w:t xml:space="preserve">However, </w:t>
      </w:r>
      <w:r w:rsidR="001F6697" w:rsidRPr="00C627CF">
        <w:rPr>
          <w:rFonts w:ascii="Arial" w:eastAsia="Times New Roman" w:hAnsi="Arial" w:cs="Arial"/>
          <w:color w:val="0B0C0C"/>
          <w:sz w:val="24"/>
          <w:szCs w:val="24"/>
          <w:lang w:eastAsia="en-GB"/>
        </w:rPr>
        <w:t xml:space="preserve">the above table obtained from </w:t>
      </w:r>
      <w:r w:rsidRPr="00C627CF">
        <w:rPr>
          <w:rFonts w:ascii="Arial" w:eastAsia="Times New Roman" w:hAnsi="Arial" w:cs="Arial"/>
          <w:color w:val="0B0C0C"/>
          <w:sz w:val="24"/>
          <w:szCs w:val="24"/>
          <w:lang w:eastAsia="en-GB"/>
        </w:rPr>
        <w:t xml:space="preserve">the Home Office (2022) </w:t>
      </w:r>
      <w:r w:rsidR="001F6697" w:rsidRPr="00C627CF">
        <w:rPr>
          <w:rFonts w:ascii="Arial" w:eastAsia="Times New Roman" w:hAnsi="Arial" w:cs="Arial"/>
          <w:color w:val="0B0C0C"/>
          <w:sz w:val="24"/>
          <w:szCs w:val="24"/>
          <w:lang w:eastAsia="en-GB"/>
        </w:rPr>
        <w:t xml:space="preserve">shows that </w:t>
      </w:r>
      <w:r w:rsidRPr="00C627CF">
        <w:rPr>
          <w:rFonts w:ascii="Arial" w:eastAsia="Times New Roman" w:hAnsi="Arial" w:cs="Arial"/>
          <w:color w:val="0B0C0C"/>
          <w:sz w:val="24"/>
          <w:szCs w:val="24"/>
          <w:lang w:eastAsia="en-GB"/>
        </w:rPr>
        <w:t xml:space="preserve">the same year 8,117 police officers leaving the 43 territorial police forces in England and Wales, which is the greatest number of yearly leavers since comparable records began in March 2003. This data excluded transferees. It's interesting that the same author acknowledges that the rate of police officers leaving was 6.0%, which was comparable to levels between the fiscal years ending in 2016 and 2019 (Home Office, 2022) </w:t>
      </w:r>
    </w:p>
    <w:p w14:paraId="5D71B474" w14:textId="6FC61FBE" w:rsidR="00C627CF" w:rsidRDefault="0085072C" w:rsidP="000C1C38">
      <w:pPr>
        <w:pStyle w:val="NormalWeb"/>
        <w:shd w:val="clear" w:color="auto" w:fill="FFFFFF"/>
        <w:spacing w:before="300" w:beforeAutospacing="0" w:after="300" w:afterAutospacing="0" w:line="480" w:lineRule="auto"/>
        <w:jc w:val="both"/>
        <w:rPr>
          <w:rFonts w:ascii="Arial" w:hAnsi="Arial" w:cs="Arial"/>
        </w:rPr>
      </w:pPr>
      <w:r w:rsidRPr="00C627CF">
        <w:rPr>
          <w:rFonts w:ascii="Arial" w:hAnsi="Arial" w:cs="Arial"/>
          <w:color w:val="0B0C0C"/>
        </w:rPr>
        <w:t>There may be many reasons for the significant 35% decrease in national police force establishment figures. An expanding workforce may cause a rise in departures</w:t>
      </w:r>
      <w:r w:rsidR="000C1C38">
        <w:rPr>
          <w:rFonts w:ascii="Arial" w:hAnsi="Arial" w:cs="Arial"/>
          <w:color w:val="0B0C0C"/>
        </w:rPr>
        <w:t xml:space="preserve">, </w:t>
      </w:r>
      <w:r w:rsidR="000C1C38" w:rsidRPr="000C1C38">
        <w:rPr>
          <w:rFonts w:ascii="Arial" w:hAnsi="Arial" w:cs="Arial"/>
          <w:color w:val="0B0C0C"/>
        </w:rPr>
        <w:t>however according to t</w:t>
      </w:r>
      <w:r w:rsidR="0098510F" w:rsidRPr="000C1C38">
        <w:rPr>
          <w:rStyle w:val="Strong"/>
          <w:rFonts w:ascii="Arial" w:hAnsi="Arial" w:cs="Arial"/>
          <w:b w:val="0"/>
          <w:bCs w:val="0"/>
          <w:color w:val="0B0C0C"/>
          <w:shd w:val="clear" w:color="auto" w:fill="FFFFFF"/>
        </w:rPr>
        <w:t>he Home Office (2022)</w:t>
      </w:r>
      <w:r w:rsidR="000C1C38" w:rsidRPr="000C1C38">
        <w:rPr>
          <w:rStyle w:val="Strong"/>
          <w:rFonts w:ascii="Arial" w:hAnsi="Arial" w:cs="Arial"/>
          <w:b w:val="0"/>
          <w:bCs w:val="0"/>
          <w:color w:val="0B0C0C"/>
          <w:shd w:val="clear" w:color="auto" w:fill="FFFFFF"/>
        </w:rPr>
        <w:t xml:space="preserve"> the reasons for resignations vary. </w:t>
      </w:r>
    </w:p>
    <w:p w14:paraId="1EBCAAD8" w14:textId="77777777" w:rsidR="000C1C38" w:rsidRPr="000C1C38" w:rsidRDefault="000C1C38" w:rsidP="000C1C38">
      <w:pPr>
        <w:pStyle w:val="NormalWeb"/>
        <w:shd w:val="clear" w:color="auto" w:fill="FFFFFF"/>
        <w:spacing w:before="300" w:beforeAutospacing="0" w:after="300" w:afterAutospacing="0" w:line="480" w:lineRule="auto"/>
        <w:jc w:val="both"/>
        <w:rPr>
          <w:rFonts w:ascii="Arial" w:hAnsi="Arial" w:cs="Arial"/>
          <w:color w:val="0B0C0C"/>
        </w:rPr>
      </w:pPr>
    </w:p>
    <w:tbl>
      <w:tblPr>
        <w:tblStyle w:val="TableGrid"/>
        <w:tblW w:w="0" w:type="auto"/>
        <w:tblLook w:val="04A0" w:firstRow="1" w:lastRow="0" w:firstColumn="1" w:lastColumn="0" w:noHBand="0" w:noVBand="1"/>
      </w:tblPr>
      <w:tblGrid>
        <w:gridCol w:w="3613"/>
        <w:gridCol w:w="777"/>
        <w:gridCol w:w="1007"/>
        <w:gridCol w:w="848"/>
        <w:gridCol w:w="849"/>
        <w:gridCol w:w="986"/>
        <w:gridCol w:w="936"/>
      </w:tblGrid>
      <w:tr w:rsidR="00DD6402" w14:paraId="147F65BF" w14:textId="77777777" w:rsidTr="00DD6402">
        <w:tc>
          <w:tcPr>
            <w:tcW w:w="3613" w:type="dxa"/>
          </w:tcPr>
          <w:p w14:paraId="19683BAC" w14:textId="2202F9C9" w:rsidR="00C627CF" w:rsidRDefault="00C627CF" w:rsidP="00C627CF">
            <w:pPr>
              <w:spacing w:line="480" w:lineRule="auto"/>
              <w:jc w:val="both"/>
              <w:rPr>
                <w:rFonts w:ascii="Arial" w:hAnsi="Arial" w:cs="Arial"/>
                <w:sz w:val="24"/>
                <w:szCs w:val="24"/>
              </w:rPr>
            </w:pPr>
            <w:r w:rsidRPr="00C627CF">
              <w:rPr>
                <w:rFonts w:ascii="Arial" w:hAnsi="Arial" w:cs="Arial"/>
              </w:rPr>
              <w:t>Year ending 31 March:</w:t>
            </w:r>
          </w:p>
        </w:tc>
        <w:tc>
          <w:tcPr>
            <w:tcW w:w="777" w:type="dxa"/>
          </w:tcPr>
          <w:p w14:paraId="4EC606C8" w14:textId="7054209C" w:rsidR="00C627CF" w:rsidRDefault="00DD6402" w:rsidP="00C627CF">
            <w:pPr>
              <w:spacing w:line="480" w:lineRule="auto"/>
              <w:jc w:val="both"/>
              <w:rPr>
                <w:rFonts w:ascii="Arial" w:hAnsi="Arial" w:cs="Arial"/>
                <w:sz w:val="24"/>
                <w:szCs w:val="24"/>
              </w:rPr>
            </w:pPr>
            <w:r w:rsidRPr="00C627CF">
              <w:rPr>
                <w:rFonts w:ascii="Arial" w:hAnsi="Arial" w:cs="Arial"/>
              </w:rPr>
              <w:t>2017</w:t>
            </w:r>
          </w:p>
        </w:tc>
        <w:tc>
          <w:tcPr>
            <w:tcW w:w="1007" w:type="dxa"/>
          </w:tcPr>
          <w:p w14:paraId="1DFF0392" w14:textId="568C6834" w:rsidR="00C627CF" w:rsidRDefault="00DD6402" w:rsidP="00C627CF">
            <w:pPr>
              <w:spacing w:line="480" w:lineRule="auto"/>
              <w:jc w:val="both"/>
              <w:rPr>
                <w:rFonts w:ascii="Arial" w:hAnsi="Arial" w:cs="Arial"/>
                <w:sz w:val="24"/>
                <w:szCs w:val="24"/>
              </w:rPr>
            </w:pPr>
            <w:r w:rsidRPr="00C627CF">
              <w:rPr>
                <w:rFonts w:ascii="Arial" w:hAnsi="Arial" w:cs="Arial"/>
              </w:rPr>
              <w:t>2018</w:t>
            </w:r>
          </w:p>
        </w:tc>
        <w:tc>
          <w:tcPr>
            <w:tcW w:w="848" w:type="dxa"/>
          </w:tcPr>
          <w:p w14:paraId="5B38B481" w14:textId="4D22B929" w:rsidR="00C627CF" w:rsidRDefault="00DD6402" w:rsidP="00C627CF">
            <w:pPr>
              <w:spacing w:line="480" w:lineRule="auto"/>
              <w:jc w:val="both"/>
              <w:rPr>
                <w:rFonts w:ascii="Arial" w:hAnsi="Arial" w:cs="Arial"/>
                <w:sz w:val="24"/>
                <w:szCs w:val="24"/>
              </w:rPr>
            </w:pPr>
            <w:r w:rsidRPr="00C627CF">
              <w:rPr>
                <w:rFonts w:ascii="Arial" w:hAnsi="Arial" w:cs="Arial"/>
              </w:rPr>
              <w:t>2019</w:t>
            </w:r>
          </w:p>
        </w:tc>
        <w:tc>
          <w:tcPr>
            <w:tcW w:w="849" w:type="dxa"/>
          </w:tcPr>
          <w:p w14:paraId="2971A91C" w14:textId="783F0706" w:rsidR="00C627CF" w:rsidRDefault="00DD6402" w:rsidP="00C627CF">
            <w:pPr>
              <w:spacing w:line="480" w:lineRule="auto"/>
              <w:jc w:val="both"/>
              <w:rPr>
                <w:rFonts w:ascii="Arial" w:hAnsi="Arial" w:cs="Arial"/>
                <w:sz w:val="24"/>
                <w:szCs w:val="24"/>
              </w:rPr>
            </w:pPr>
            <w:r w:rsidRPr="00C627CF">
              <w:rPr>
                <w:rFonts w:ascii="Arial" w:hAnsi="Arial" w:cs="Arial"/>
              </w:rPr>
              <w:t>2020</w:t>
            </w:r>
          </w:p>
        </w:tc>
        <w:tc>
          <w:tcPr>
            <w:tcW w:w="986" w:type="dxa"/>
          </w:tcPr>
          <w:p w14:paraId="08714E66" w14:textId="7C36644C" w:rsidR="00C627CF" w:rsidRDefault="00DD6402" w:rsidP="00C627CF">
            <w:pPr>
              <w:spacing w:line="480" w:lineRule="auto"/>
              <w:jc w:val="both"/>
              <w:rPr>
                <w:rFonts w:ascii="Arial" w:hAnsi="Arial" w:cs="Arial"/>
                <w:sz w:val="24"/>
                <w:szCs w:val="24"/>
              </w:rPr>
            </w:pPr>
            <w:r w:rsidRPr="00C627CF">
              <w:rPr>
                <w:rFonts w:ascii="Arial" w:hAnsi="Arial" w:cs="Arial"/>
              </w:rPr>
              <w:t>2021</w:t>
            </w:r>
          </w:p>
        </w:tc>
        <w:tc>
          <w:tcPr>
            <w:tcW w:w="936" w:type="dxa"/>
          </w:tcPr>
          <w:p w14:paraId="7DD94D82" w14:textId="601436F3" w:rsidR="00C627CF" w:rsidRDefault="00DD6402" w:rsidP="00C627CF">
            <w:pPr>
              <w:spacing w:line="480" w:lineRule="auto"/>
              <w:jc w:val="both"/>
              <w:rPr>
                <w:rFonts w:ascii="Arial" w:hAnsi="Arial" w:cs="Arial"/>
                <w:sz w:val="24"/>
                <w:szCs w:val="24"/>
              </w:rPr>
            </w:pPr>
            <w:r w:rsidRPr="00C627CF">
              <w:rPr>
                <w:rFonts w:ascii="Arial" w:hAnsi="Arial" w:cs="Arial"/>
              </w:rPr>
              <w:t>2022</w:t>
            </w:r>
          </w:p>
        </w:tc>
      </w:tr>
      <w:tr w:rsidR="00DD6402" w14:paraId="5D6A100A" w14:textId="77777777" w:rsidTr="00DD6402">
        <w:tc>
          <w:tcPr>
            <w:tcW w:w="3613" w:type="dxa"/>
          </w:tcPr>
          <w:p w14:paraId="766F0B0D" w14:textId="7670A966" w:rsidR="00C627CF" w:rsidRDefault="00C627CF" w:rsidP="00C627CF">
            <w:pPr>
              <w:spacing w:line="480" w:lineRule="auto"/>
              <w:jc w:val="both"/>
              <w:rPr>
                <w:rFonts w:ascii="Arial" w:hAnsi="Arial" w:cs="Arial"/>
                <w:sz w:val="24"/>
                <w:szCs w:val="24"/>
              </w:rPr>
            </w:pPr>
            <w:r w:rsidRPr="00C627CF">
              <w:rPr>
                <w:rFonts w:ascii="Arial" w:hAnsi="Arial" w:cs="Arial"/>
              </w:rPr>
              <w:t>Normal retirement</w:t>
            </w:r>
          </w:p>
        </w:tc>
        <w:tc>
          <w:tcPr>
            <w:tcW w:w="777" w:type="dxa"/>
          </w:tcPr>
          <w:p w14:paraId="1D07FA8B" w14:textId="227EA937" w:rsidR="00C627CF" w:rsidRDefault="00DD6402" w:rsidP="00C627CF">
            <w:pPr>
              <w:spacing w:line="480" w:lineRule="auto"/>
              <w:jc w:val="both"/>
              <w:rPr>
                <w:rFonts w:ascii="Arial" w:hAnsi="Arial" w:cs="Arial"/>
                <w:sz w:val="24"/>
                <w:szCs w:val="24"/>
              </w:rPr>
            </w:pPr>
            <w:r w:rsidRPr="00C627CF">
              <w:rPr>
                <w:rFonts w:ascii="Arial" w:hAnsi="Arial" w:cs="Arial"/>
              </w:rPr>
              <w:t>4,507</w:t>
            </w:r>
          </w:p>
        </w:tc>
        <w:tc>
          <w:tcPr>
            <w:tcW w:w="1007" w:type="dxa"/>
          </w:tcPr>
          <w:p w14:paraId="5623740C" w14:textId="259B0BD7" w:rsidR="00C627CF" w:rsidRDefault="00DD6402" w:rsidP="00C627CF">
            <w:pPr>
              <w:spacing w:line="480" w:lineRule="auto"/>
              <w:jc w:val="both"/>
              <w:rPr>
                <w:rFonts w:ascii="Arial" w:hAnsi="Arial" w:cs="Arial"/>
                <w:sz w:val="24"/>
                <w:szCs w:val="24"/>
              </w:rPr>
            </w:pPr>
            <w:r w:rsidRPr="00C627CF">
              <w:rPr>
                <w:rFonts w:ascii="Arial" w:hAnsi="Arial" w:cs="Arial"/>
              </w:rPr>
              <w:t>4,747</w:t>
            </w:r>
          </w:p>
        </w:tc>
        <w:tc>
          <w:tcPr>
            <w:tcW w:w="848" w:type="dxa"/>
          </w:tcPr>
          <w:p w14:paraId="2927CA20" w14:textId="7D7CBE9D" w:rsidR="00C627CF" w:rsidRDefault="00DD6402" w:rsidP="00C627CF">
            <w:pPr>
              <w:spacing w:line="480" w:lineRule="auto"/>
              <w:jc w:val="both"/>
              <w:rPr>
                <w:rFonts w:ascii="Arial" w:hAnsi="Arial" w:cs="Arial"/>
                <w:sz w:val="24"/>
                <w:szCs w:val="24"/>
              </w:rPr>
            </w:pPr>
            <w:r w:rsidRPr="00C627CF">
              <w:rPr>
                <w:rFonts w:ascii="Arial" w:hAnsi="Arial" w:cs="Arial"/>
              </w:rPr>
              <w:t>4,492</w:t>
            </w:r>
          </w:p>
        </w:tc>
        <w:tc>
          <w:tcPr>
            <w:tcW w:w="849" w:type="dxa"/>
          </w:tcPr>
          <w:p w14:paraId="7681F853" w14:textId="3800FD4D" w:rsidR="00C627CF" w:rsidRDefault="00DD6402" w:rsidP="00C627CF">
            <w:pPr>
              <w:spacing w:line="480" w:lineRule="auto"/>
              <w:jc w:val="both"/>
              <w:rPr>
                <w:rFonts w:ascii="Arial" w:hAnsi="Arial" w:cs="Arial"/>
                <w:sz w:val="24"/>
                <w:szCs w:val="24"/>
              </w:rPr>
            </w:pPr>
            <w:r w:rsidRPr="00C627CF">
              <w:rPr>
                <w:rFonts w:ascii="Arial" w:hAnsi="Arial" w:cs="Arial"/>
              </w:rPr>
              <w:t>4,169</w:t>
            </w:r>
          </w:p>
        </w:tc>
        <w:tc>
          <w:tcPr>
            <w:tcW w:w="986" w:type="dxa"/>
          </w:tcPr>
          <w:p w14:paraId="73208C06" w14:textId="187DA8E7" w:rsidR="00C627CF" w:rsidRDefault="00DD6402" w:rsidP="00C627CF">
            <w:pPr>
              <w:spacing w:line="480" w:lineRule="auto"/>
              <w:jc w:val="both"/>
              <w:rPr>
                <w:rFonts w:ascii="Arial" w:hAnsi="Arial" w:cs="Arial"/>
                <w:sz w:val="24"/>
                <w:szCs w:val="24"/>
              </w:rPr>
            </w:pPr>
            <w:r w:rsidRPr="00C627CF">
              <w:rPr>
                <w:rFonts w:ascii="Arial" w:hAnsi="Arial" w:cs="Arial"/>
              </w:rPr>
              <w:t>3,429</w:t>
            </w:r>
          </w:p>
        </w:tc>
        <w:tc>
          <w:tcPr>
            <w:tcW w:w="936" w:type="dxa"/>
          </w:tcPr>
          <w:p w14:paraId="42A8B665" w14:textId="3959F822" w:rsidR="00C627CF" w:rsidRDefault="00DD6402" w:rsidP="00C627CF">
            <w:pPr>
              <w:spacing w:line="480" w:lineRule="auto"/>
              <w:jc w:val="both"/>
              <w:rPr>
                <w:rFonts w:ascii="Arial" w:hAnsi="Arial" w:cs="Arial"/>
                <w:sz w:val="24"/>
                <w:szCs w:val="24"/>
              </w:rPr>
            </w:pPr>
            <w:r w:rsidRPr="00C627CF">
              <w:rPr>
                <w:rFonts w:ascii="Arial" w:hAnsi="Arial" w:cs="Arial"/>
              </w:rPr>
              <w:t>4,134</w:t>
            </w:r>
          </w:p>
        </w:tc>
      </w:tr>
      <w:tr w:rsidR="00DD6402" w14:paraId="15EED877" w14:textId="77777777" w:rsidTr="00DD6402">
        <w:tc>
          <w:tcPr>
            <w:tcW w:w="3613" w:type="dxa"/>
          </w:tcPr>
          <w:p w14:paraId="48F6372F" w14:textId="5C80F448" w:rsidR="00C627CF" w:rsidRDefault="00C627CF" w:rsidP="00C627CF">
            <w:pPr>
              <w:spacing w:line="480" w:lineRule="auto"/>
              <w:jc w:val="both"/>
              <w:rPr>
                <w:rFonts w:ascii="Arial" w:hAnsi="Arial" w:cs="Arial"/>
                <w:sz w:val="24"/>
                <w:szCs w:val="24"/>
              </w:rPr>
            </w:pPr>
            <w:r w:rsidRPr="00C627CF">
              <w:rPr>
                <w:rFonts w:ascii="Arial" w:hAnsi="Arial" w:cs="Arial"/>
              </w:rPr>
              <w:t>Voluntary resignation</w:t>
            </w:r>
          </w:p>
        </w:tc>
        <w:tc>
          <w:tcPr>
            <w:tcW w:w="777" w:type="dxa"/>
          </w:tcPr>
          <w:p w14:paraId="28AFE0F7" w14:textId="45C2C80A" w:rsidR="00C627CF" w:rsidRDefault="00DD6402" w:rsidP="00C627CF">
            <w:pPr>
              <w:spacing w:line="480" w:lineRule="auto"/>
              <w:jc w:val="both"/>
              <w:rPr>
                <w:rFonts w:ascii="Arial" w:hAnsi="Arial" w:cs="Arial"/>
                <w:sz w:val="24"/>
                <w:szCs w:val="24"/>
              </w:rPr>
            </w:pPr>
            <w:r w:rsidRPr="00C627CF">
              <w:rPr>
                <w:rFonts w:ascii="Arial" w:hAnsi="Arial" w:cs="Arial"/>
              </w:rPr>
              <w:t>2,035</w:t>
            </w:r>
          </w:p>
        </w:tc>
        <w:tc>
          <w:tcPr>
            <w:tcW w:w="1007" w:type="dxa"/>
          </w:tcPr>
          <w:p w14:paraId="7E5623DE" w14:textId="28181025" w:rsidR="00C627CF" w:rsidRDefault="00DD6402" w:rsidP="00C627CF">
            <w:pPr>
              <w:spacing w:line="480" w:lineRule="auto"/>
              <w:jc w:val="both"/>
              <w:rPr>
                <w:rFonts w:ascii="Arial" w:hAnsi="Arial" w:cs="Arial"/>
                <w:sz w:val="24"/>
                <w:szCs w:val="24"/>
              </w:rPr>
            </w:pPr>
            <w:r w:rsidRPr="00C627CF">
              <w:rPr>
                <w:rFonts w:ascii="Arial" w:hAnsi="Arial" w:cs="Arial"/>
              </w:rPr>
              <w:t>1,995</w:t>
            </w:r>
          </w:p>
        </w:tc>
        <w:tc>
          <w:tcPr>
            <w:tcW w:w="848" w:type="dxa"/>
          </w:tcPr>
          <w:p w14:paraId="49AAE812" w14:textId="1FEAD39C" w:rsidR="00C627CF" w:rsidRDefault="00DD6402" w:rsidP="00C627CF">
            <w:pPr>
              <w:spacing w:line="480" w:lineRule="auto"/>
              <w:jc w:val="both"/>
              <w:rPr>
                <w:rFonts w:ascii="Arial" w:hAnsi="Arial" w:cs="Arial"/>
                <w:sz w:val="24"/>
                <w:szCs w:val="24"/>
              </w:rPr>
            </w:pPr>
            <w:r w:rsidRPr="00C627CF">
              <w:rPr>
                <w:rFonts w:ascii="Arial" w:hAnsi="Arial" w:cs="Arial"/>
              </w:rPr>
              <w:t>2,175</w:t>
            </w:r>
          </w:p>
        </w:tc>
        <w:tc>
          <w:tcPr>
            <w:tcW w:w="849" w:type="dxa"/>
          </w:tcPr>
          <w:p w14:paraId="3C95CE16" w14:textId="2D685AE1" w:rsidR="00C627CF" w:rsidRDefault="00DD6402" w:rsidP="00C627CF">
            <w:pPr>
              <w:spacing w:line="480" w:lineRule="auto"/>
              <w:jc w:val="both"/>
              <w:rPr>
                <w:rFonts w:ascii="Arial" w:hAnsi="Arial" w:cs="Arial"/>
                <w:sz w:val="24"/>
                <w:szCs w:val="24"/>
              </w:rPr>
            </w:pPr>
            <w:r w:rsidRPr="00C627CF">
              <w:rPr>
                <w:rFonts w:ascii="Arial" w:hAnsi="Arial" w:cs="Arial"/>
              </w:rPr>
              <w:t>2,363</w:t>
            </w:r>
          </w:p>
        </w:tc>
        <w:tc>
          <w:tcPr>
            <w:tcW w:w="986" w:type="dxa"/>
          </w:tcPr>
          <w:p w14:paraId="5A0FE9C6" w14:textId="0C23A7A6" w:rsidR="00C627CF" w:rsidRDefault="00DD6402" w:rsidP="00C627CF">
            <w:pPr>
              <w:spacing w:line="480" w:lineRule="auto"/>
              <w:jc w:val="both"/>
              <w:rPr>
                <w:rFonts w:ascii="Arial" w:hAnsi="Arial" w:cs="Arial"/>
                <w:sz w:val="24"/>
                <w:szCs w:val="24"/>
              </w:rPr>
            </w:pPr>
            <w:r w:rsidRPr="00C627CF">
              <w:rPr>
                <w:rFonts w:ascii="Arial" w:hAnsi="Arial" w:cs="Arial"/>
              </w:rPr>
              <w:t>1,996</w:t>
            </w:r>
          </w:p>
        </w:tc>
        <w:tc>
          <w:tcPr>
            <w:tcW w:w="936" w:type="dxa"/>
          </w:tcPr>
          <w:p w14:paraId="2F882B38" w14:textId="110FCE2D" w:rsidR="00C627CF" w:rsidRDefault="00DD6402" w:rsidP="00C627CF">
            <w:pPr>
              <w:spacing w:line="480" w:lineRule="auto"/>
              <w:jc w:val="both"/>
              <w:rPr>
                <w:rFonts w:ascii="Arial" w:hAnsi="Arial" w:cs="Arial"/>
                <w:sz w:val="24"/>
                <w:szCs w:val="24"/>
              </w:rPr>
            </w:pPr>
            <w:r w:rsidRPr="00C627CF">
              <w:rPr>
                <w:rFonts w:ascii="Arial" w:hAnsi="Arial" w:cs="Arial"/>
              </w:rPr>
              <w:t>3,433</w:t>
            </w:r>
          </w:p>
        </w:tc>
      </w:tr>
      <w:tr w:rsidR="00DD6402" w14:paraId="5B5DF9CB" w14:textId="77777777" w:rsidTr="00DD6402">
        <w:tc>
          <w:tcPr>
            <w:tcW w:w="3613" w:type="dxa"/>
          </w:tcPr>
          <w:p w14:paraId="06F30DE6" w14:textId="39E7089D" w:rsidR="00C627CF" w:rsidRDefault="00C627CF" w:rsidP="00C627CF">
            <w:pPr>
              <w:spacing w:line="480" w:lineRule="auto"/>
              <w:jc w:val="both"/>
              <w:rPr>
                <w:rFonts w:ascii="Arial" w:hAnsi="Arial" w:cs="Arial"/>
                <w:sz w:val="24"/>
                <w:szCs w:val="24"/>
              </w:rPr>
            </w:pPr>
            <w:r w:rsidRPr="00C627CF">
              <w:rPr>
                <w:rFonts w:ascii="Arial" w:hAnsi="Arial" w:cs="Arial"/>
              </w:rPr>
              <w:t>Transfer</w:t>
            </w:r>
            <w:r w:rsidRPr="00C627CF">
              <w:rPr>
                <w:rFonts w:ascii="Arial" w:hAnsi="Arial" w:cs="Arial"/>
              </w:rPr>
              <w:tab/>
            </w:r>
          </w:p>
        </w:tc>
        <w:tc>
          <w:tcPr>
            <w:tcW w:w="777" w:type="dxa"/>
          </w:tcPr>
          <w:p w14:paraId="3568DAAA" w14:textId="59CC7AFB" w:rsidR="00C627CF" w:rsidRDefault="00DD6402" w:rsidP="00C627CF">
            <w:pPr>
              <w:spacing w:line="480" w:lineRule="auto"/>
              <w:jc w:val="both"/>
              <w:rPr>
                <w:rFonts w:ascii="Arial" w:hAnsi="Arial" w:cs="Arial"/>
                <w:sz w:val="24"/>
                <w:szCs w:val="24"/>
              </w:rPr>
            </w:pPr>
            <w:r w:rsidRPr="00C627CF">
              <w:rPr>
                <w:rFonts w:ascii="Arial" w:hAnsi="Arial" w:cs="Arial"/>
              </w:rPr>
              <w:t>1,093</w:t>
            </w:r>
          </w:p>
        </w:tc>
        <w:tc>
          <w:tcPr>
            <w:tcW w:w="1007" w:type="dxa"/>
          </w:tcPr>
          <w:p w14:paraId="129988BF" w14:textId="7686B955" w:rsidR="00C627CF" w:rsidRDefault="00DD6402" w:rsidP="00C627CF">
            <w:pPr>
              <w:spacing w:line="480" w:lineRule="auto"/>
              <w:jc w:val="both"/>
              <w:rPr>
                <w:rFonts w:ascii="Arial" w:hAnsi="Arial" w:cs="Arial"/>
                <w:sz w:val="24"/>
                <w:szCs w:val="24"/>
              </w:rPr>
            </w:pPr>
            <w:r w:rsidRPr="00C627CF">
              <w:rPr>
                <w:rFonts w:ascii="Arial" w:hAnsi="Arial" w:cs="Arial"/>
              </w:rPr>
              <w:t>1,068</w:t>
            </w:r>
          </w:p>
        </w:tc>
        <w:tc>
          <w:tcPr>
            <w:tcW w:w="848" w:type="dxa"/>
          </w:tcPr>
          <w:p w14:paraId="271FCAD3" w14:textId="1F69936D" w:rsidR="00C627CF" w:rsidRDefault="00DD6402" w:rsidP="00C627CF">
            <w:pPr>
              <w:spacing w:line="480" w:lineRule="auto"/>
              <w:jc w:val="both"/>
              <w:rPr>
                <w:rFonts w:ascii="Arial" w:hAnsi="Arial" w:cs="Arial"/>
                <w:sz w:val="24"/>
                <w:szCs w:val="24"/>
              </w:rPr>
            </w:pPr>
            <w:r w:rsidRPr="00C627CF">
              <w:rPr>
                <w:rFonts w:ascii="Arial" w:hAnsi="Arial" w:cs="Arial"/>
              </w:rPr>
              <w:t>1,339</w:t>
            </w:r>
          </w:p>
        </w:tc>
        <w:tc>
          <w:tcPr>
            <w:tcW w:w="849" w:type="dxa"/>
          </w:tcPr>
          <w:p w14:paraId="09B4C66A" w14:textId="4E2DFA91" w:rsidR="00C627CF" w:rsidRDefault="00DD6402" w:rsidP="00C627CF">
            <w:pPr>
              <w:spacing w:line="480" w:lineRule="auto"/>
              <w:jc w:val="both"/>
              <w:rPr>
                <w:rFonts w:ascii="Arial" w:hAnsi="Arial" w:cs="Arial"/>
                <w:sz w:val="24"/>
                <w:szCs w:val="24"/>
              </w:rPr>
            </w:pPr>
            <w:r w:rsidRPr="00C627CF">
              <w:rPr>
                <w:rFonts w:ascii="Arial" w:hAnsi="Arial" w:cs="Arial"/>
              </w:rPr>
              <w:t>1,405</w:t>
            </w:r>
          </w:p>
        </w:tc>
        <w:tc>
          <w:tcPr>
            <w:tcW w:w="986" w:type="dxa"/>
          </w:tcPr>
          <w:p w14:paraId="772C881A" w14:textId="297BF289" w:rsidR="00C627CF" w:rsidRDefault="00DD6402" w:rsidP="00C627CF">
            <w:pPr>
              <w:spacing w:line="480" w:lineRule="auto"/>
              <w:jc w:val="both"/>
              <w:rPr>
                <w:rFonts w:ascii="Arial" w:hAnsi="Arial" w:cs="Arial"/>
                <w:sz w:val="24"/>
                <w:szCs w:val="24"/>
              </w:rPr>
            </w:pPr>
            <w:r w:rsidRPr="00C627CF">
              <w:rPr>
                <w:rFonts w:ascii="Arial" w:hAnsi="Arial" w:cs="Arial"/>
              </w:rPr>
              <w:t>1,024</w:t>
            </w:r>
          </w:p>
        </w:tc>
        <w:tc>
          <w:tcPr>
            <w:tcW w:w="936" w:type="dxa"/>
          </w:tcPr>
          <w:p w14:paraId="026E451C" w14:textId="06058B9F" w:rsidR="00C627CF" w:rsidRDefault="00DD6402" w:rsidP="00C627CF">
            <w:pPr>
              <w:spacing w:line="480" w:lineRule="auto"/>
              <w:jc w:val="both"/>
              <w:rPr>
                <w:rFonts w:ascii="Arial" w:hAnsi="Arial" w:cs="Arial"/>
                <w:sz w:val="24"/>
                <w:szCs w:val="24"/>
              </w:rPr>
            </w:pPr>
            <w:r w:rsidRPr="00C627CF">
              <w:rPr>
                <w:rFonts w:ascii="Arial" w:hAnsi="Arial" w:cs="Arial"/>
              </w:rPr>
              <w:t>1,186</w:t>
            </w:r>
          </w:p>
        </w:tc>
      </w:tr>
      <w:tr w:rsidR="00DD6402" w14:paraId="1F1515C1" w14:textId="77777777" w:rsidTr="00DD6402">
        <w:tc>
          <w:tcPr>
            <w:tcW w:w="3613" w:type="dxa"/>
          </w:tcPr>
          <w:p w14:paraId="3F44CA8C" w14:textId="5EE459FB" w:rsidR="00C627CF" w:rsidRDefault="00C627CF" w:rsidP="00C627CF">
            <w:pPr>
              <w:spacing w:line="480" w:lineRule="auto"/>
              <w:jc w:val="both"/>
              <w:rPr>
                <w:rFonts w:ascii="Arial" w:hAnsi="Arial" w:cs="Arial"/>
                <w:sz w:val="24"/>
                <w:szCs w:val="24"/>
              </w:rPr>
            </w:pPr>
            <w:r w:rsidRPr="00C627CF">
              <w:rPr>
                <w:rFonts w:ascii="Arial" w:hAnsi="Arial" w:cs="Arial"/>
              </w:rPr>
              <w:t>Medical retirement</w:t>
            </w:r>
            <w:r w:rsidRPr="00C627CF">
              <w:rPr>
                <w:rFonts w:ascii="Arial" w:hAnsi="Arial" w:cs="Arial"/>
              </w:rPr>
              <w:tab/>
            </w:r>
          </w:p>
        </w:tc>
        <w:tc>
          <w:tcPr>
            <w:tcW w:w="777" w:type="dxa"/>
          </w:tcPr>
          <w:p w14:paraId="4D1B399F" w14:textId="0B068B69" w:rsidR="00C627CF" w:rsidRDefault="00DD6402" w:rsidP="00C627CF">
            <w:pPr>
              <w:spacing w:line="480" w:lineRule="auto"/>
              <w:jc w:val="both"/>
              <w:rPr>
                <w:rFonts w:ascii="Arial" w:hAnsi="Arial" w:cs="Arial"/>
                <w:sz w:val="24"/>
                <w:szCs w:val="24"/>
              </w:rPr>
            </w:pPr>
            <w:r w:rsidRPr="00C627CF">
              <w:rPr>
                <w:rFonts w:ascii="Arial" w:hAnsi="Arial" w:cs="Arial"/>
              </w:rPr>
              <w:t>587</w:t>
            </w:r>
          </w:p>
        </w:tc>
        <w:tc>
          <w:tcPr>
            <w:tcW w:w="1007" w:type="dxa"/>
          </w:tcPr>
          <w:p w14:paraId="287E5DA8" w14:textId="579C62E0" w:rsidR="00C627CF" w:rsidRDefault="00DD6402" w:rsidP="00C627CF">
            <w:pPr>
              <w:spacing w:line="480" w:lineRule="auto"/>
              <w:jc w:val="both"/>
              <w:rPr>
                <w:rFonts w:ascii="Arial" w:hAnsi="Arial" w:cs="Arial"/>
                <w:sz w:val="24"/>
                <w:szCs w:val="24"/>
              </w:rPr>
            </w:pPr>
            <w:r w:rsidRPr="00C627CF">
              <w:rPr>
                <w:rFonts w:ascii="Arial" w:hAnsi="Arial" w:cs="Arial"/>
              </w:rPr>
              <w:t>500</w:t>
            </w:r>
          </w:p>
        </w:tc>
        <w:tc>
          <w:tcPr>
            <w:tcW w:w="848" w:type="dxa"/>
          </w:tcPr>
          <w:p w14:paraId="12DBC828" w14:textId="4B579C6A" w:rsidR="00C627CF" w:rsidRDefault="00DD6402" w:rsidP="00C627CF">
            <w:pPr>
              <w:spacing w:line="480" w:lineRule="auto"/>
              <w:jc w:val="both"/>
              <w:rPr>
                <w:rFonts w:ascii="Arial" w:hAnsi="Arial" w:cs="Arial"/>
                <w:sz w:val="24"/>
                <w:szCs w:val="24"/>
              </w:rPr>
            </w:pPr>
            <w:r w:rsidRPr="00C627CF">
              <w:rPr>
                <w:rFonts w:ascii="Arial" w:hAnsi="Arial" w:cs="Arial"/>
              </w:rPr>
              <w:t>514</w:t>
            </w:r>
          </w:p>
        </w:tc>
        <w:tc>
          <w:tcPr>
            <w:tcW w:w="849" w:type="dxa"/>
          </w:tcPr>
          <w:p w14:paraId="149A5D02" w14:textId="1709C5C7" w:rsidR="00C627CF" w:rsidRDefault="00DD6402" w:rsidP="00C627CF">
            <w:pPr>
              <w:spacing w:line="480" w:lineRule="auto"/>
              <w:jc w:val="both"/>
              <w:rPr>
                <w:rFonts w:ascii="Arial" w:hAnsi="Arial" w:cs="Arial"/>
                <w:sz w:val="24"/>
                <w:szCs w:val="24"/>
              </w:rPr>
            </w:pPr>
            <w:r w:rsidRPr="00C627CF">
              <w:rPr>
                <w:rFonts w:ascii="Arial" w:hAnsi="Arial" w:cs="Arial"/>
              </w:rPr>
              <w:t>377</w:t>
            </w:r>
          </w:p>
        </w:tc>
        <w:tc>
          <w:tcPr>
            <w:tcW w:w="986" w:type="dxa"/>
          </w:tcPr>
          <w:p w14:paraId="00EECB3B" w14:textId="78874EED" w:rsidR="00C627CF" w:rsidRDefault="00DD6402" w:rsidP="00C627CF">
            <w:pPr>
              <w:spacing w:line="480" w:lineRule="auto"/>
              <w:jc w:val="both"/>
              <w:rPr>
                <w:rFonts w:ascii="Arial" w:hAnsi="Arial" w:cs="Arial"/>
                <w:sz w:val="24"/>
                <w:szCs w:val="24"/>
              </w:rPr>
            </w:pPr>
            <w:r w:rsidRPr="00C627CF">
              <w:rPr>
                <w:rFonts w:ascii="Arial" w:hAnsi="Arial" w:cs="Arial"/>
              </w:rPr>
              <w:t>357</w:t>
            </w:r>
          </w:p>
        </w:tc>
        <w:tc>
          <w:tcPr>
            <w:tcW w:w="936" w:type="dxa"/>
          </w:tcPr>
          <w:p w14:paraId="63F73E12" w14:textId="66F3239C" w:rsidR="00C627CF" w:rsidRDefault="00DD6402" w:rsidP="00C627CF">
            <w:pPr>
              <w:spacing w:line="480" w:lineRule="auto"/>
              <w:jc w:val="both"/>
              <w:rPr>
                <w:rFonts w:ascii="Arial" w:hAnsi="Arial" w:cs="Arial"/>
                <w:sz w:val="24"/>
                <w:szCs w:val="24"/>
              </w:rPr>
            </w:pPr>
            <w:r w:rsidRPr="00C627CF">
              <w:rPr>
                <w:rFonts w:ascii="Arial" w:hAnsi="Arial" w:cs="Arial"/>
              </w:rPr>
              <w:t>303</w:t>
            </w:r>
          </w:p>
        </w:tc>
      </w:tr>
      <w:tr w:rsidR="00DD6402" w14:paraId="093BC971" w14:textId="77777777" w:rsidTr="00DD6402">
        <w:trPr>
          <w:trHeight w:val="485"/>
        </w:trPr>
        <w:tc>
          <w:tcPr>
            <w:tcW w:w="3613" w:type="dxa"/>
          </w:tcPr>
          <w:p w14:paraId="06F04A8F" w14:textId="23AB0461" w:rsidR="00C627CF" w:rsidRDefault="00C627CF" w:rsidP="00DD6402">
            <w:pPr>
              <w:spacing w:line="480" w:lineRule="auto"/>
              <w:rPr>
                <w:rFonts w:ascii="Arial" w:hAnsi="Arial" w:cs="Arial"/>
                <w:sz w:val="24"/>
                <w:szCs w:val="24"/>
              </w:rPr>
            </w:pPr>
            <w:r w:rsidRPr="00C627CF">
              <w:rPr>
                <w:rFonts w:ascii="Arial" w:hAnsi="Arial" w:cs="Arial"/>
              </w:rPr>
              <w:t>Contract termination and</w:t>
            </w:r>
            <w:r w:rsidR="00DD6402">
              <w:rPr>
                <w:rFonts w:ascii="Arial" w:hAnsi="Arial" w:cs="Arial"/>
              </w:rPr>
              <w:t xml:space="preserve"> </w:t>
            </w:r>
            <w:r w:rsidRPr="00C627CF">
              <w:rPr>
                <w:rFonts w:ascii="Arial" w:hAnsi="Arial" w:cs="Arial"/>
              </w:rPr>
              <w:t>dismissal</w:t>
            </w:r>
          </w:p>
        </w:tc>
        <w:tc>
          <w:tcPr>
            <w:tcW w:w="777" w:type="dxa"/>
          </w:tcPr>
          <w:p w14:paraId="4B690154" w14:textId="499387EC" w:rsidR="00C627CF" w:rsidRDefault="00DD6402" w:rsidP="00C627CF">
            <w:pPr>
              <w:spacing w:line="480" w:lineRule="auto"/>
              <w:jc w:val="both"/>
              <w:rPr>
                <w:rFonts w:ascii="Arial" w:hAnsi="Arial" w:cs="Arial"/>
                <w:sz w:val="24"/>
                <w:szCs w:val="24"/>
              </w:rPr>
            </w:pPr>
            <w:r w:rsidRPr="00C627CF">
              <w:rPr>
                <w:rFonts w:ascii="Arial" w:hAnsi="Arial" w:cs="Arial"/>
              </w:rPr>
              <w:t>289</w:t>
            </w:r>
          </w:p>
        </w:tc>
        <w:tc>
          <w:tcPr>
            <w:tcW w:w="1007" w:type="dxa"/>
          </w:tcPr>
          <w:p w14:paraId="1664C1E5" w14:textId="42D6C4DF" w:rsidR="00C627CF" w:rsidRDefault="00DD6402" w:rsidP="00C627CF">
            <w:pPr>
              <w:spacing w:line="480" w:lineRule="auto"/>
              <w:jc w:val="both"/>
              <w:rPr>
                <w:rFonts w:ascii="Arial" w:hAnsi="Arial" w:cs="Arial"/>
                <w:sz w:val="24"/>
                <w:szCs w:val="24"/>
              </w:rPr>
            </w:pPr>
            <w:r>
              <w:rPr>
                <w:rFonts w:ascii="Arial" w:hAnsi="Arial" w:cs="Arial"/>
              </w:rPr>
              <w:t>269</w:t>
            </w:r>
            <w:r w:rsidRPr="00C627CF">
              <w:rPr>
                <w:rFonts w:ascii="Arial" w:hAnsi="Arial" w:cs="Arial"/>
              </w:rPr>
              <w:tab/>
            </w:r>
          </w:p>
        </w:tc>
        <w:tc>
          <w:tcPr>
            <w:tcW w:w="848" w:type="dxa"/>
          </w:tcPr>
          <w:p w14:paraId="326F2185" w14:textId="674E1AE6" w:rsidR="00C627CF" w:rsidRDefault="00DD6402" w:rsidP="00C627CF">
            <w:pPr>
              <w:spacing w:line="480" w:lineRule="auto"/>
              <w:jc w:val="both"/>
              <w:rPr>
                <w:rFonts w:ascii="Arial" w:hAnsi="Arial" w:cs="Arial"/>
                <w:sz w:val="24"/>
                <w:szCs w:val="24"/>
              </w:rPr>
            </w:pPr>
            <w:r w:rsidRPr="00C627CF">
              <w:rPr>
                <w:rFonts w:ascii="Arial" w:hAnsi="Arial" w:cs="Arial"/>
              </w:rPr>
              <w:t>161</w:t>
            </w:r>
          </w:p>
        </w:tc>
        <w:tc>
          <w:tcPr>
            <w:tcW w:w="849" w:type="dxa"/>
          </w:tcPr>
          <w:p w14:paraId="6C65AF0D" w14:textId="68D3045F" w:rsidR="00C627CF" w:rsidRDefault="00DD6402" w:rsidP="00C627CF">
            <w:pPr>
              <w:spacing w:line="480" w:lineRule="auto"/>
              <w:jc w:val="both"/>
              <w:rPr>
                <w:rFonts w:ascii="Arial" w:hAnsi="Arial" w:cs="Arial"/>
                <w:sz w:val="24"/>
                <w:szCs w:val="24"/>
              </w:rPr>
            </w:pPr>
            <w:r w:rsidRPr="00C627CF">
              <w:rPr>
                <w:rFonts w:ascii="Arial" w:hAnsi="Arial" w:cs="Arial"/>
              </w:rPr>
              <w:t>163</w:t>
            </w:r>
          </w:p>
        </w:tc>
        <w:tc>
          <w:tcPr>
            <w:tcW w:w="986" w:type="dxa"/>
          </w:tcPr>
          <w:p w14:paraId="13F9675B" w14:textId="1AF2E16A" w:rsidR="00C627CF" w:rsidRDefault="00DD6402" w:rsidP="00C627CF">
            <w:pPr>
              <w:spacing w:line="480" w:lineRule="auto"/>
              <w:jc w:val="both"/>
              <w:rPr>
                <w:rFonts w:ascii="Arial" w:hAnsi="Arial" w:cs="Arial"/>
                <w:sz w:val="24"/>
                <w:szCs w:val="24"/>
              </w:rPr>
            </w:pPr>
            <w:r w:rsidRPr="00C627CF">
              <w:rPr>
                <w:rFonts w:ascii="Arial" w:hAnsi="Arial" w:cs="Arial"/>
              </w:rPr>
              <w:t>169</w:t>
            </w:r>
          </w:p>
        </w:tc>
        <w:tc>
          <w:tcPr>
            <w:tcW w:w="936" w:type="dxa"/>
          </w:tcPr>
          <w:p w14:paraId="61FEDB9C" w14:textId="263212ED" w:rsidR="00C627CF" w:rsidRDefault="00DD6402" w:rsidP="00C627CF">
            <w:pPr>
              <w:spacing w:line="480" w:lineRule="auto"/>
              <w:jc w:val="both"/>
              <w:rPr>
                <w:rFonts w:ascii="Arial" w:hAnsi="Arial" w:cs="Arial"/>
                <w:sz w:val="24"/>
                <w:szCs w:val="24"/>
              </w:rPr>
            </w:pPr>
            <w:r w:rsidRPr="00C627CF">
              <w:rPr>
                <w:rFonts w:ascii="Arial" w:hAnsi="Arial" w:cs="Arial"/>
              </w:rPr>
              <w:t>180</w:t>
            </w:r>
          </w:p>
        </w:tc>
      </w:tr>
      <w:tr w:rsidR="00DD6402" w14:paraId="76B82C4E" w14:textId="77777777" w:rsidTr="00DD6402">
        <w:tc>
          <w:tcPr>
            <w:tcW w:w="3613" w:type="dxa"/>
          </w:tcPr>
          <w:p w14:paraId="55AB9864" w14:textId="4D9CB76F" w:rsidR="00C627CF" w:rsidRDefault="00C627CF" w:rsidP="00C627CF">
            <w:pPr>
              <w:spacing w:line="480" w:lineRule="auto"/>
              <w:jc w:val="both"/>
              <w:rPr>
                <w:rFonts w:ascii="Arial" w:hAnsi="Arial" w:cs="Arial"/>
                <w:sz w:val="24"/>
                <w:szCs w:val="24"/>
              </w:rPr>
            </w:pPr>
            <w:r w:rsidRPr="00C627CF">
              <w:rPr>
                <w:rFonts w:ascii="Arial" w:hAnsi="Arial" w:cs="Arial"/>
              </w:rPr>
              <w:t>Death</w:t>
            </w:r>
            <w:r w:rsidRPr="00C627CF">
              <w:rPr>
                <w:rFonts w:ascii="Arial" w:hAnsi="Arial" w:cs="Arial"/>
              </w:rPr>
              <w:tab/>
            </w:r>
            <w:r w:rsidRPr="00C627CF">
              <w:rPr>
                <w:rFonts w:ascii="Arial" w:hAnsi="Arial" w:cs="Arial"/>
              </w:rPr>
              <w:tab/>
            </w:r>
          </w:p>
        </w:tc>
        <w:tc>
          <w:tcPr>
            <w:tcW w:w="777" w:type="dxa"/>
          </w:tcPr>
          <w:p w14:paraId="330211D7" w14:textId="6753A3D2" w:rsidR="00C627CF" w:rsidRDefault="00DD6402" w:rsidP="00C627CF">
            <w:pPr>
              <w:spacing w:line="480" w:lineRule="auto"/>
              <w:jc w:val="both"/>
              <w:rPr>
                <w:rFonts w:ascii="Arial" w:hAnsi="Arial" w:cs="Arial"/>
                <w:sz w:val="24"/>
                <w:szCs w:val="24"/>
              </w:rPr>
            </w:pPr>
            <w:r w:rsidRPr="00C627CF">
              <w:rPr>
                <w:rFonts w:ascii="Arial" w:hAnsi="Arial" w:cs="Arial"/>
              </w:rPr>
              <w:t>57</w:t>
            </w:r>
          </w:p>
        </w:tc>
        <w:tc>
          <w:tcPr>
            <w:tcW w:w="1007" w:type="dxa"/>
          </w:tcPr>
          <w:p w14:paraId="717332F4" w14:textId="05D1F7A0" w:rsidR="00C627CF" w:rsidRDefault="00DD6402" w:rsidP="00C627CF">
            <w:pPr>
              <w:spacing w:line="480" w:lineRule="auto"/>
              <w:jc w:val="both"/>
              <w:rPr>
                <w:rFonts w:ascii="Arial" w:hAnsi="Arial" w:cs="Arial"/>
                <w:sz w:val="24"/>
                <w:szCs w:val="24"/>
              </w:rPr>
            </w:pPr>
            <w:r w:rsidRPr="00C627CF">
              <w:rPr>
                <w:rFonts w:ascii="Arial" w:hAnsi="Arial" w:cs="Arial"/>
              </w:rPr>
              <w:t>51</w:t>
            </w:r>
          </w:p>
        </w:tc>
        <w:tc>
          <w:tcPr>
            <w:tcW w:w="848" w:type="dxa"/>
          </w:tcPr>
          <w:p w14:paraId="6B76B047" w14:textId="7C04CC11" w:rsidR="00C627CF" w:rsidRDefault="00DD6402" w:rsidP="00C627CF">
            <w:pPr>
              <w:spacing w:line="480" w:lineRule="auto"/>
              <w:jc w:val="both"/>
              <w:rPr>
                <w:rFonts w:ascii="Arial" w:hAnsi="Arial" w:cs="Arial"/>
                <w:sz w:val="24"/>
                <w:szCs w:val="24"/>
              </w:rPr>
            </w:pPr>
            <w:r w:rsidRPr="00C627CF">
              <w:rPr>
                <w:rFonts w:ascii="Arial" w:hAnsi="Arial" w:cs="Arial"/>
              </w:rPr>
              <w:t>46</w:t>
            </w:r>
          </w:p>
        </w:tc>
        <w:tc>
          <w:tcPr>
            <w:tcW w:w="849" w:type="dxa"/>
          </w:tcPr>
          <w:p w14:paraId="43557487" w14:textId="32A5EFCF" w:rsidR="00C627CF" w:rsidRDefault="00DD6402" w:rsidP="00C627CF">
            <w:pPr>
              <w:spacing w:line="480" w:lineRule="auto"/>
              <w:jc w:val="both"/>
              <w:rPr>
                <w:rFonts w:ascii="Arial" w:hAnsi="Arial" w:cs="Arial"/>
                <w:sz w:val="24"/>
                <w:szCs w:val="24"/>
              </w:rPr>
            </w:pPr>
            <w:r w:rsidRPr="00C627CF">
              <w:rPr>
                <w:rFonts w:ascii="Arial" w:hAnsi="Arial" w:cs="Arial"/>
              </w:rPr>
              <w:t>69</w:t>
            </w:r>
          </w:p>
        </w:tc>
        <w:tc>
          <w:tcPr>
            <w:tcW w:w="986" w:type="dxa"/>
          </w:tcPr>
          <w:p w14:paraId="406425B3" w14:textId="5A6C5F45" w:rsidR="00C627CF" w:rsidRDefault="00DD6402" w:rsidP="00C627CF">
            <w:pPr>
              <w:spacing w:line="480" w:lineRule="auto"/>
              <w:jc w:val="both"/>
              <w:rPr>
                <w:rFonts w:ascii="Arial" w:hAnsi="Arial" w:cs="Arial"/>
                <w:sz w:val="24"/>
                <w:szCs w:val="24"/>
              </w:rPr>
            </w:pPr>
            <w:r w:rsidRPr="00C627CF">
              <w:rPr>
                <w:rFonts w:ascii="Arial" w:hAnsi="Arial" w:cs="Arial"/>
              </w:rPr>
              <w:t>67</w:t>
            </w:r>
          </w:p>
        </w:tc>
        <w:tc>
          <w:tcPr>
            <w:tcW w:w="936" w:type="dxa"/>
          </w:tcPr>
          <w:p w14:paraId="5D0728E1" w14:textId="768AAD28" w:rsidR="00C627CF" w:rsidRDefault="00DD6402" w:rsidP="00C627CF">
            <w:pPr>
              <w:spacing w:line="480" w:lineRule="auto"/>
              <w:jc w:val="both"/>
              <w:rPr>
                <w:rFonts w:ascii="Arial" w:hAnsi="Arial" w:cs="Arial"/>
                <w:sz w:val="24"/>
                <w:szCs w:val="24"/>
              </w:rPr>
            </w:pPr>
            <w:r w:rsidRPr="00C627CF">
              <w:rPr>
                <w:rFonts w:ascii="Arial" w:hAnsi="Arial" w:cs="Arial"/>
              </w:rPr>
              <w:t>67</w:t>
            </w:r>
          </w:p>
        </w:tc>
      </w:tr>
    </w:tbl>
    <w:p w14:paraId="0E64EE7F" w14:textId="77777777" w:rsidR="00C627CF" w:rsidRPr="00C627CF" w:rsidRDefault="00C627CF" w:rsidP="00C627CF">
      <w:pPr>
        <w:spacing w:line="480" w:lineRule="auto"/>
        <w:jc w:val="both"/>
        <w:rPr>
          <w:rFonts w:ascii="Arial" w:hAnsi="Arial" w:cs="Arial"/>
          <w:sz w:val="24"/>
          <w:szCs w:val="24"/>
        </w:rPr>
      </w:pPr>
    </w:p>
    <w:p w14:paraId="2D317025" w14:textId="2A094FE2" w:rsidR="00FB6BF3" w:rsidRDefault="00650AE7" w:rsidP="00C627CF">
      <w:pPr>
        <w:spacing w:line="480" w:lineRule="auto"/>
        <w:jc w:val="both"/>
        <w:rPr>
          <w:rFonts w:ascii="Arial" w:hAnsi="Arial" w:cs="Arial"/>
          <w:color w:val="0B0C0C"/>
          <w:sz w:val="24"/>
          <w:szCs w:val="24"/>
          <w:shd w:val="clear" w:color="auto" w:fill="FFFFFF"/>
        </w:rPr>
      </w:pPr>
      <w:r w:rsidRPr="00C627CF">
        <w:rPr>
          <w:rFonts w:ascii="Arial" w:hAnsi="Arial" w:cs="Arial"/>
          <w:color w:val="0B0C0C"/>
          <w:sz w:val="24"/>
          <w:szCs w:val="24"/>
          <w:shd w:val="clear" w:color="auto" w:fill="FFFFFF"/>
        </w:rPr>
        <w:t xml:space="preserve">In the years prior to March 2022, </w:t>
      </w:r>
      <w:r w:rsidRPr="00C627CF">
        <w:rPr>
          <w:rFonts w:ascii="Arial" w:hAnsi="Arial" w:cs="Arial"/>
          <w:color w:val="0B0C0C"/>
          <w:sz w:val="24"/>
          <w:szCs w:val="24"/>
          <w:shd w:val="clear" w:color="auto" w:fill="FFFFFF"/>
        </w:rPr>
        <w:t>many</w:t>
      </w:r>
      <w:r w:rsidRPr="00C627CF">
        <w:rPr>
          <w:rFonts w:ascii="Arial" w:hAnsi="Arial" w:cs="Arial"/>
          <w:color w:val="0B0C0C"/>
          <w:sz w:val="24"/>
          <w:szCs w:val="24"/>
          <w:shd w:val="clear" w:color="auto" w:fill="FFFFFF"/>
        </w:rPr>
        <w:t xml:space="preserve"> officers leaving the service (excluding transfers) did so via normal retirement, which h</w:t>
      </w:r>
      <w:r w:rsidRPr="00C627CF">
        <w:rPr>
          <w:rFonts w:ascii="Arial" w:hAnsi="Arial" w:cs="Arial"/>
          <w:color w:val="0B0C0C"/>
          <w:sz w:val="24"/>
          <w:szCs w:val="24"/>
          <w:shd w:val="clear" w:color="auto" w:fill="FFFFFF"/>
        </w:rPr>
        <w:t xml:space="preserve">as historically </w:t>
      </w:r>
      <w:r w:rsidRPr="00C627CF">
        <w:rPr>
          <w:rFonts w:ascii="Arial" w:hAnsi="Arial" w:cs="Arial"/>
          <w:color w:val="0B0C0C"/>
          <w:sz w:val="24"/>
          <w:szCs w:val="24"/>
          <w:shd w:val="clear" w:color="auto" w:fill="FFFFFF"/>
        </w:rPr>
        <w:t xml:space="preserve">accounted for around 60% to 70% of </w:t>
      </w:r>
      <w:r w:rsidRPr="00C627CF">
        <w:rPr>
          <w:rFonts w:ascii="Arial" w:hAnsi="Arial" w:cs="Arial"/>
          <w:color w:val="0B0C0C"/>
          <w:sz w:val="24"/>
          <w:szCs w:val="24"/>
          <w:shd w:val="clear" w:color="auto" w:fill="FFFFFF"/>
        </w:rPr>
        <w:t>departing officers. Interestingly, the number of voluntary resignations has risen compared to previous years</w:t>
      </w:r>
      <w:r w:rsidR="00AB54D3" w:rsidRPr="00C627CF">
        <w:rPr>
          <w:rFonts w:ascii="Arial" w:hAnsi="Arial" w:cs="Arial"/>
          <w:color w:val="0B0C0C"/>
          <w:sz w:val="24"/>
          <w:szCs w:val="24"/>
          <w:shd w:val="clear" w:color="auto" w:fill="FFFFFF"/>
        </w:rPr>
        <w:t xml:space="preserve"> and although there is no national data surrounding the reasons for the resignations, the Home Office (2022) has </w:t>
      </w:r>
      <w:r w:rsidR="005C57B7" w:rsidRPr="00C627CF">
        <w:rPr>
          <w:rFonts w:ascii="Arial" w:hAnsi="Arial" w:cs="Arial"/>
          <w:color w:val="0B0C0C"/>
          <w:sz w:val="24"/>
          <w:szCs w:val="24"/>
          <w:shd w:val="clear" w:color="auto" w:fill="FFFFFF"/>
        </w:rPr>
        <w:t xml:space="preserve">identified that the makeup of </w:t>
      </w:r>
      <w:r w:rsidR="005C57B7" w:rsidRPr="00C627CF">
        <w:rPr>
          <w:rFonts w:ascii="Arial" w:hAnsi="Arial" w:cs="Arial"/>
          <w:color w:val="0B0C0C"/>
          <w:sz w:val="24"/>
          <w:szCs w:val="24"/>
          <w:shd w:val="clear" w:color="auto" w:fill="FFFFFF"/>
        </w:rPr>
        <w:t xml:space="preserve">police </w:t>
      </w:r>
      <w:r w:rsidR="005C57B7" w:rsidRPr="00C627CF">
        <w:rPr>
          <w:rFonts w:ascii="Arial" w:hAnsi="Arial" w:cs="Arial"/>
          <w:color w:val="0B0C0C"/>
          <w:sz w:val="24"/>
          <w:szCs w:val="24"/>
          <w:shd w:val="clear" w:color="auto" w:fill="FFFFFF"/>
        </w:rPr>
        <w:t>officer</w:t>
      </w:r>
      <w:r w:rsidR="005C57B7" w:rsidRPr="00C627CF">
        <w:rPr>
          <w:rFonts w:ascii="Arial" w:hAnsi="Arial" w:cs="Arial"/>
          <w:color w:val="0B0C0C"/>
          <w:sz w:val="24"/>
          <w:szCs w:val="24"/>
          <w:shd w:val="clear" w:color="auto" w:fill="FFFFFF"/>
        </w:rPr>
        <w:t>s</w:t>
      </w:r>
      <w:r w:rsidR="005C57B7" w:rsidRPr="00C627CF">
        <w:rPr>
          <w:rFonts w:ascii="Arial" w:hAnsi="Arial" w:cs="Arial"/>
          <w:color w:val="0B0C0C"/>
          <w:sz w:val="24"/>
          <w:szCs w:val="24"/>
          <w:shd w:val="clear" w:color="auto" w:fill="FFFFFF"/>
        </w:rPr>
        <w:t xml:space="preserve"> in the year ending March 2022 showed that 33% of the police force have less than 5 </w:t>
      </w:r>
      <w:r w:rsidR="005C57B7" w:rsidRPr="00C627CF">
        <w:rPr>
          <w:rFonts w:ascii="Arial" w:hAnsi="Arial" w:cs="Arial"/>
          <w:color w:val="0B0C0C"/>
          <w:sz w:val="24"/>
          <w:szCs w:val="24"/>
          <w:shd w:val="clear" w:color="auto" w:fill="FFFFFF"/>
        </w:rPr>
        <w:t xml:space="preserve">years’ service, </w:t>
      </w:r>
      <w:r w:rsidR="00AB54D3" w:rsidRPr="00C627CF">
        <w:rPr>
          <w:rFonts w:ascii="Arial" w:hAnsi="Arial" w:cs="Arial"/>
          <w:color w:val="0B0C0C"/>
          <w:sz w:val="24"/>
          <w:szCs w:val="24"/>
          <w:shd w:val="clear" w:color="auto" w:fill="FFFFFF"/>
        </w:rPr>
        <w:t xml:space="preserve">with 9% of them having less than 1 year service. This not only reflects a young </w:t>
      </w:r>
      <w:r w:rsidR="005C57B7" w:rsidRPr="00C627CF">
        <w:rPr>
          <w:rFonts w:ascii="Arial" w:hAnsi="Arial" w:cs="Arial"/>
          <w:color w:val="0B0C0C"/>
          <w:sz w:val="24"/>
          <w:szCs w:val="24"/>
          <w:shd w:val="clear" w:color="auto" w:fill="FFFFFF"/>
        </w:rPr>
        <w:t>in-service</w:t>
      </w:r>
      <w:r w:rsidR="00AB54D3" w:rsidRPr="00C627CF">
        <w:rPr>
          <w:rFonts w:ascii="Arial" w:hAnsi="Arial" w:cs="Arial"/>
          <w:color w:val="0B0C0C"/>
          <w:sz w:val="24"/>
          <w:szCs w:val="24"/>
          <w:shd w:val="clear" w:color="auto" w:fill="FFFFFF"/>
        </w:rPr>
        <w:t xml:space="preserve"> </w:t>
      </w:r>
      <w:r w:rsidR="00C627CF" w:rsidRPr="00C627CF">
        <w:rPr>
          <w:rFonts w:ascii="Arial" w:hAnsi="Arial" w:cs="Arial"/>
          <w:color w:val="0B0C0C"/>
          <w:sz w:val="24"/>
          <w:szCs w:val="24"/>
          <w:shd w:val="clear" w:color="auto" w:fill="FFFFFF"/>
        </w:rPr>
        <w:t>workforce,</w:t>
      </w:r>
      <w:r w:rsidR="00AB54D3" w:rsidRPr="00C627CF">
        <w:rPr>
          <w:rFonts w:ascii="Arial" w:hAnsi="Arial" w:cs="Arial"/>
          <w:color w:val="0B0C0C"/>
          <w:sz w:val="24"/>
          <w:szCs w:val="24"/>
          <w:shd w:val="clear" w:color="auto" w:fill="FFFFFF"/>
        </w:rPr>
        <w:t xml:space="preserve"> but </w:t>
      </w:r>
      <w:r w:rsidR="005C57B7" w:rsidRPr="00C627CF">
        <w:rPr>
          <w:rFonts w:ascii="Arial" w:hAnsi="Arial" w:cs="Arial"/>
          <w:color w:val="0B0C0C"/>
          <w:sz w:val="24"/>
          <w:szCs w:val="24"/>
          <w:shd w:val="clear" w:color="auto" w:fill="FFFFFF"/>
        </w:rPr>
        <w:t xml:space="preserve">it could be suggested that the </w:t>
      </w:r>
      <w:r w:rsidR="00AB54D3" w:rsidRPr="00C627CF">
        <w:rPr>
          <w:rFonts w:ascii="Arial" w:hAnsi="Arial" w:cs="Arial"/>
          <w:color w:val="0B0C0C"/>
          <w:sz w:val="24"/>
          <w:szCs w:val="24"/>
          <w:shd w:val="clear" w:color="auto" w:fill="FFFFFF"/>
        </w:rPr>
        <w:t xml:space="preserve">significant size of </w:t>
      </w:r>
      <w:r w:rsidR="005C57B7" w:rsidRPr="00C627CF">
        <w:rPr>
          <w:rFonts w:ascii="Arial" w:hAnsi="Arial" w:cs="Arial"/>
          <w:color w:val="0B0C0C"/>
          <w:sz w:val="24"/>
          <w:szCs w:val="24"/>
          <w:shd w:val="clear" w:color="auto" w:fill="FFFFFF"/>
        </w:rPr>
        <w:t xml:space="preserve">the </w:t>
      </w:r>
      <w:r w:rsidR="00AB54D3" w:rsidRPr="00C627CF">
        <w:rPr>
          <w:rFonts w:ascii="Arial" w:hAnsi="Arial" w:cs="Arial"/>
          <w:color w:val="0B0C0C"/>
          <w:sz w:val="24"/>
          <w:szCs w:val="24"/>
          <w:shd w:val="clear" w:color="auto" w:fill="FFFFFF"/>
        </w:rPr>
        <w:t xml:space="preserve">young workforce would play a prominent </w:t>
      </w:r>
      <w:r w:rsidR="005C57B7" w:rsidRPr="00C627CF">
        <w:rPr>
          <w:rFonts w:ascii="Arial" w:hAnsi="Arial" w:cs="Arial"/>
          <w:color w:val="0B0C0C"/>
          <w:sz w:val="24"/>
          <w:szCs w:val="24"/>
          <w:shd w:val="clear" w:color="auto" w:fill="FFFFFF"/>
        </w:rPr>
        <w:t xml:space="preserve">place in the figures relating to voluntary resignations. </w:t>
      </w:r>
    </w:p>
    <w:p w14:paraId="04AE5899" w14:textId="77777777" w:rsidR="00AB0273" w:rsidRPr="00C627CF" w:rsidRDefault="00AB0273" w:rsidP="00AB0273">
      <w:pPr>
        <w:pStyle w:val="NormalWeb"/>
        <w:shd w:val="clear" w:color="auto" w:fill="FFFFFF"/>
        <w:spacing w:before="0" w:beforeAutospacing="0" w:after="120" w:afterAutospacing="0" w:line="480" w:lineRule="auto"/>
        <w:jc w:val="both"/>
        <w:rPr>
          <w:rFonts w:ascii="Arial" w:hAnsi="Arial" w:cs="Arial"/>
          <w:color w:val="000000" w:themeColor="text1"/>
        </w:rPr>
      </w:pPr>
      <w:r w:rsidRPr="00C627CF">
        <w:rPr>
          <w:rFonts w:ascii="Arial" w:hAnsi="Arial" w:cs="Arial"/>
          <w:color w:val="000000" w:themeColor="text1"/>
        </w:rPr>
        <w:t>According to the Pol</w:t>
      </w:r>
      <w:r>
        <w:rPr>
          <w:rFonts w:ascii="Arial" w:hAnsi="Arial" w:cs="Arial"/>
          <w:color w:val="000000" w:themeColor="text1"/>
        </w:rPr>
        <w:t>i</w:t>
      </w:r>
      <w:r w:rsidRPr="00C627CF">
        <w:rPr>
          <w:rFonts w:ascii="Arial" w:hAnsi="Arial" w:cs="Arial"/>
          <w:color w:val="000000" w:themeColor="text1"/>
        </w:rPr>
        <w:t>ce Federation (2022), many Police Officers have resigned from their jobs before their probationary periods ends. Research suggests there were 2,567 resignations from 28,173 probationary officers, within this financial year, which results in an average attrition rate of 9.1% (Police Federation, 2022) This data is echoed by Northamptonshire Police who reported that</w:t>
      </w:r>
      <w:r w:rsidRPr="00C627CF">
        <w:rPr>
          <w:rFonts w:ascii="Arial" w:eastAsiaTheme="minorHAnsi" w:hAnsi="Arial" w:cs="Arial"/>
          <w:color w:val="000000" w:themeColor="text1"/>
          <w:shd w:val="clear" w:color="auto" w:fill="FFFFFF"/>
          <w:lang w:eastAsia="en-US"/>
        </w:rPr>
        <w:t xml:space="preserve"> 19.3% of their new recruits left the Police Service within their probationary period since the launch of the new national uplift of Police Officers. (</w:t>
      </w:r>
      <w:r w:rsidRPr="00C627CF">
        <w:rPr>
          <w:rFonts w:ascii="Arial" w:hAnsi="Arial" w:cs="Arial"/>
          <w:color w:val="000000" w:themeColor="text1"/>
        </w:rPr>
        <w:t>National Police Chiefs' Council, 2022)</w:t>
      </w:r>
    </w:p>
    <w:p w14:paraId="2F898ABF" w14:textId="77777777" w:rsidR="00AB0273" w:rsidRPr="00C627CF" w:rsidRDefault="00AB0273" w:rsidP="00AB0273">
      <w:pPr>
        <w:pStyle w:val="NormalWeb"/>
        <w:shd w:val="clear" w:color="auto" w:fill="FFFFFF"/>
        <w:spacing w:before="0" w:beforeAutospacing="0" w:after="120" w:afterAutospacing="0" w:line="480" w:lineRule="auto"/>
        <w:jc w:val="both"/>
        <w:rPr>
          <w:rFonts w:ascii="Arial" w:hAnsi="Arial" w:cs="Arial"/>
          <w:color w:val="000000" w:themeColor="text1"/>
        </w:rPr>
      </w:pPr>
      <w:r w:rsidRPr="00C627CF">
        <w:rPr>
          <w:rFonts w:ascii="Arial" w:hAnsi="Arial" w:cs="Arial"/>
          <w:color w:val="000000" w:themeColor="text1"/>
        </w:rPr>
        <w:t xml:space="preserve">There are smaller forces that have seen a lower rate of resignations, including Cumbria and North Wales, which both had rates of 3.9%, and Merseyside and the West Midlands, which both had rates of 5.4%. Interestingly, data shows notable variations in attrition rates across forces. But within some forces, attrition rates have reached double digits. </w:t>
      </w:r>
    </w:p>
    <w:p w14:paraId="4A9C9ED2" w14:textId="77777777" w:rsidR="00AB0273" w:rsidRPr="00C627CF" w:rsidRDefault="00AB0273" w:rsidP="00AB0273">
      <w:pPr>
        <w:spacing w:line="480" w:lineRule="auto"/>
        <w:jc w:val="both"/>
        <w:rPr>
          <w:rFonts w:ascii="Arial" w:hAnsi="Arial" w:cs="Arial"/>
          <w:sz w:val="24"/>
          <w:szCs w:val="24"/>
        </w:rPr>
      </w:pPr>
      <w:r w:rsidRPr="00C627CF">
        <w:rPr>
          <w:rFonts w:ascii="Arial" w:hAnsi="Arial" w:cs="Arial"/>
          <w:color w:val="000000" w:themeColor="text1"/>
          <w:sz w:val="24"/>
          <w:szCs w:val="24"/>
        </w:rPr>
        <w:t>Police Federation (2022) recognises that to retain new officers, fairer compensation and working conditions are essential. They highlighted that many officers begin with a salary of £19,164 in the first year of a police constable degree apprenticeship, which is just slightly more than the nation's new national living wage, which was implemented in April of this year. Additionally, Police Federation (2022) identified that more than one in ten police officers are unable to afford their monthly bills and they recognise that the low income has made student officers more likely to leave the force. They also contend that the quantity of academic work that officers are required to complete on their own time lowers their hourly pay, which puts further strain on families.</w:t>
      </w:r>
    </w:p>
    <w:p w14:paraId="7585CB88" w14:textId="77777777" w:rsidR="00AB0273" w:rsidRPr="00C627CF" w:rsidRDefault="00AB0273" w:rsidP="00AB0273">
      <w:pPr>
        <w:pStyle w:val="NormalWeb"/>
        <w:shd w:val="clear" w:color="auto" w:fill="FFFFFF"/>
        <w:spacing w:before="0" w:beforeAutospacing="0" w:after="120" w:afterAutospacing="0" w:line="480" w:lineRule="auto"/>
        <w:jc w:val="both"/>
        <w:rPr>
          <w:rFonts w:ascii="Arial" w:hAnsi="Arial" w:cs="Arial"/>
          <w:color w:val="000000" w:themeColor="text1"/>
        </w:rPr>
      </w:pPr>
      <w:r w:rsidRPr="00C627CF">
        <w:rPr>
          <w:rFonts w:ascii="Arial" w:hAnsi="Arial" w:cs="Arial"/>
          <w:color w:val="000000" w:themeColor="text1"/>
        </w:rPr>
        <w:t xml:space="preserve"> It could therefore be argued that for policing to continue to offer the finest service to the public, Police leaders must make sure they don't just focus on getting people through the door but also take the necessary steps to keep them</w:t>
      </w:r>
      <w:r>
        <w:rPr>
          <w:rFonts w:ascii="Arial" w:hAnsi="Arial" w:cs="Arial"/>
          <w:color w:val="000000" w:themeColor="text1"/>
        </w:rPr>
        <w:t xml:space="preserve"> </w:t>
      </w:r>
      <w:r w:rsidRPr="00C627CF">
        <w:rPr>
          <w:rFonts w:ascii="Arial" w:hAnsi="Arial" w:cs="Arial"/>
          <w:color w:val="000000" w:themeColor="text1"/>
        </w:rPr>
        <w:t>(Smith &amp; Smith, 2022)</w:t>
      </w:r>
    </w:p>
    <w:p w14:paraId="28DE1A2B" w14:textId="77777777" w:rsidR="00AB0273" w:rsidRPr="00C627CF" w:rsidRDefault="00AB0273" w:rsidP="00AB0273">
      <w:pPr>
        <w:pStyle w:val="NormalWeb"/>
        <w:shd w:val="clear" w:color="auto" w:fill="FFFFFF"/>
        <w:spacing w:before="0" w:beforeAutospacing="0" w:after="120" w:afterAutospacing="0" w:line="480" w:lineRule="auto"/>
        <w:jc w:val="both"/>
        <w:rPr>
          <w:rFonts w:ascii="Arial" w:hAnsi="Arial" w:cs="Arial"/>
          <w:color w:val="000000"/>
        </w:rPr>
      </w:pPr>
      <w:r w:rsidRPr="00C627CF">
        <w:rPr>
          <w:rFonts w:ascii="Arial" w:eastAsiaTheme="minorHAnsi" w:hAnsi="Arial" w:cs="Arial"/>
          <w:lang w:eastAsia="en-US"/>
        </w:rPr>
        <w:t>Police Federation (2022) has emphasised how national attrition rates are impacted by low pay, poor management, the lack of promotion opportunities, and heavy workloads.</w:t>
      </w:r>
    </w:p>
    <w:p w14:paraId="6B9E9D8A" w14:textId="77777777" w:rsidR="00AB0273" w:rsidRPr="00C627CF" w:rsidRDefault="00AB0273" w:rsidP="00AB0273">
      <w:pPr>
        <w:spacing w:line="480" w:lineRule="auto"/>
        <w:jc w:val="both"/>
        <w:rPr>
          <w:rFonts w:ascii="Arial" w:hAnsi="Arial" w:cs="Arial"/>
          <w:sz w:val="24"/>
          <w:szCs w:val="24"/>
        </w:rPr>
      </w:pPr>
      <w:r w:rsidRPr="00C627CF">
        <w:rPr>
          <w:rFonts w:ascii="Arial" w:hAnsi="Arial" w:cs="Arial"/>
          <w:sz w:val="24"/>
          <w:szCs w:val="24"/>
        </w:rPr>
        <w:t xml:space="preserve">Jeff Harris, Surrey Police's Deputy Police &amp; Crime Commissioner, shares this opinion and claims that recruitment practises are becoming problematic and that a poisonous combination of lack of confidence, incident trauma, and academic pressures exists. (Policing Insight, 2022) </w:t>
      </w:r>
    </w:p>
    <w:p w14:paraId="392CBF29" w14:textId="7FB3E3A4" w:rsidR="00AB0273" w:rsidRPr="00D53DED" w:rsidRDefault="00AB0273" w:rsidP="00C627CF">
      <w:pPr>
        <w:spacing w:line="480" w:lineRule="auto"/>
        <w:jc w:val="both"/>
        <w:rPr>
          <w:rFonts w:ascii="Arial" w:hAnsi="Arial" w:cs="Arial"/>
          <w:color w:val="0B0C0C"/>
          <w:sz w:val="24"/>
          <w:szCs w:val="24"/>
        </w:rPr>
      </w:pPr>
      <w:r w:rsidRPr="00C627CF">
        <w:rPr>
          <w:rFonts w:ascii="Arial" w:hAnsi="Arial" w:cs="Arial"/>
          <w:color w:val="0B0C0C"/>
          <w:sz w:val="24"/>
          <w:szCs w:val="24"/>
        </w:rPr>
        <w:t xml:space="preserve">The government has pledged to support the police by providing them with the tools they need to safeguard the public and has promised to employ 20,000 more police officers, despite the fact that it acknowledges the resolve and dedication displayed by Police Officer’s all around the nation (Home Office, 2022) In order to carry out this pledge the government has promised to provide a professional and motivated police force, however, it is recognised that the UK Government has fallen short of its desired uplift figures, with only 13,790 recruited until July 2022. (Home Office, 2022) </w:t>
      </w:r>
    </w:p>
    <w:p w14:paraId="0BD8AABC" w14:textId="3BDEF172" w:rsidR="00F83198" w:rsidRPr="00F83198" w:rsidRDefault="00F83198" w:rsidP="00C627CF">
      <w:pPr>
        <w:spacing w:line="480" w:lineRule="auto"/>
        <w:jc w:val="both"/>
        <w:rPr>
          <w:rFonts w:ascii="Arial" w:hAnsi="Arial" w:cs="Arial"/>
          <w:b/>
          <w:bCs/>
          <w:color w:val="0B0C0C"/>
          <w:sz w:val="24"/>
          <w:szCs w:val="24"/>
          <w:shd w:val="clear" w:color="auto" w:fill="FFFFFF"/>
        </w:rPr>
      </w:pPr>
      <w:r w:rsidRPr="00F83198">
        <w:rPr>
          <w:rFonts w:ascii="Arial" w:hAnsi="Arial" w:cs="Arial"/>
          <w:b/>
          <w:bCs/>
          <w:color w:val="0B0C0C"/>
          <w:sz w:val="24"/>
          <w:szCs w:val="24"/>
          <w:shd w:val="clear" w:color="auto" w:fill="FFFFFF"/>
        </w:rPr>
        <w:t>Word count 11</w:t>
      </w:r>
      <w:r w:rsidR="00D53DED">
        <w:rPr>
          <w:rFonts w:ascii="Arial" w:hAnsi="Arial" w:cs="Arial"/>
          <w:b/>
          <w:bCs/>
          <w:color w:val="0B0C0C"/>
          <w:sz w:val="24"/>
          <w:szCs w:val="24"/>
          <w:shd w:val="clear" w:color="auto" w:fill="FFFFFF"/>
        </w:rPr>
        <w:t>36</w:t>
      </w:r>
    </w:p>
    <w:p w14:paraId="71269203" w14:textId="6FBC7CC4" w:rsidR="00F83198" w:rsidRDefault="00F83198" w:rsidP="00C627CF">
      <w:pPr>
        <w:spacing w:line="480" w:lineRule="auto"/>
        <w:jc w:val="both"/>
        <w:rPr>
          <w:rFonts w:ascii="Arial" w:hAnsi="Arial" w:cs="Arial"/>
          <w:color w:val="0B0C0C"/>
          <w:sz w:val="24"/>
          <w:szCs w:val="24"/>
          <w:shd w:val="clear" w:color="auto" w:fill="FFFFFF"/>
        </w:rPr>
      </w:pPr>
    </w:p>
    <w:p w14:paraId="2D0B58D3" w14:textId="77777777" w:rsidR="00F83198" w:rsidRPr="00C627CF" w:rsidRDefault="00F83198" w:rsidP="00C627CF">
      <w:pPr>
        <w:spacing w:line="480" w:lineRule="auto"/>
        <w:jc w:val="both"/>
        <w:rPr>
          <w:rFonts w:ascii="Arial" w:hAnsi="Arial" w:cs="Arial"/>
          <w:color w:val="0B0C0C"/>
          <w:sz w:val="24"/>
          <w:szCs w:val="24"/>
          <w:shd w:val="clear" w:color="auto" w:fill="FFFFFF"/>
        </w:rPr>
      </w:pPr>
    </w:p>
    <w:p w14:paraId="717027B7" w14:textId="0B612A0F" w:rsidR="00366928" w:rsidRPr="00C556E4" w:rsidRDefault="00A06D93" w:rsidP="00C556E4">
      <w:pPr>
        <w:jc w:val="both"/>
        <w:rPr>
          <w:rFonts w:ascii="Arial" w:hAnsi="Arial" w:cs="Arial"/>
          <w:b/>
          <w:bCs/>
          <w:color w:val="000000" w:themeColor="text1"/>
          <w:sz w:val="24"/>
          <w:szCs w:val="24"/>
        </w:rPr>
      </w:pPr>
      <w:r w:rsidRPr="00C556E4">
        <w:rPr>
          <w:rFonts w:ascii="Arial" w:hAnsi="Arial" w:cs="Arial"/>
          <w:b/>
          <w:bCs/>
          <w:color w:val="000000" w:themeColor="text1"/>
          <w:sz w:val="24"/>
          <w:szCs w:val="24"/>
        </w:rPr>
        <w:t xml:space="preserve">References </w:t>
      </w:r>
    </w:p>
    <w:p w14:paraId="39CE102A" w14:textId="4356DFCB" w:rsidR="00475749" w:rsidRPr="00C556E4" w:rsidRDefault="00204F5F" w:rsidP="00C556E4">
      <w:pPr>
        <w:jc w:val="both"/>
        <w:rPr>
          <w:rFonts w:ascii="Arial" w:hAnsi="Arial" w:cs="Arial"/>
          <w:color w:val="000000" w:themeColor="text1"/>
          <w:sz w:val="24"/>
          <w:szCs w:val="24"/>
        </w:rPr>
      </w:pPr>
      <w:r w:rsidRPr="00C556E4">
        <w:rPr>
          <w:rFonts w:ascii="Arial" w:hAnsi="Arial" w:cs="Arial"/>
          <w:color w:val="000000" w:themeColor="text1"/>
          <w:sz w:val="24"/>
          <w:szCs w:val="24"/>
        </w:rPr>
        <w:t xml:space="preserve">Police Federation, (2022) Attrition rates show more must be done to retain new recruits, </w:t>
      </w:r>
      <w:r w:rsidR="00475749" w:rsidRPr="00C556E4">
        <w:rPr>
          <w:rFonts w:ascii="Arial" w:hAnsi="Arial" w:cs="Arial"/>
          <w:color w:val="000000" w:themeColor="text1"/>
          <w:sz w:val="24"/>
          <w:szCs w:val="24"/>
        </w:rPr>
        <w:t xml:space="preserve">Available online at: </w:t>
      </w:r>
      <w:hyperlink r:id="rId7" w:anchor=":~:text=Data%20from%20the%20National%20Police%20Chiefs%E2%80%99%20Council%2C%20obtained,November%202019%20and%20the%20leavers%20from%20April%202020." w:history="1">
        <w:r w:rsidR="00475749" w:rsidRPr="00C556E4">
          <w:rPr>
            <w:rStyle w:val="Hyperlink"/>
            <w:rFonts w:ascii="Arial" w:hAnsi="Arial" w:cs="Arial"/>
            <w:color w:val="000000" w:themeColor="text1"/>
            <w:sz w:val="24"/>
            <w:szCs w:val="24"/>
          </w:rPr>
          <w:t>Attrition rates show more must be done to retain new recruits (polfed.org)</w:t>
        </w:r>
      </w:hyperlink>
      <w:r w:rsidRPr="00C556E4">
        <w:rPr>
          <w:rFonts w:ascii="Arial" w:hAnsi="Arial" w:cs="Arial"/>
          <w:color w:val="000000" w:themeColor="text1"/>
          <w:sz w:val="24"/>
          <w:szCs w:val="24"/>
        </w:rPr>
        <w:t xml:space="preserve"> Accessed 27September 2022</w:t>
      </w:r>
    </w:p>
    <w:p w14:paraId="76D44416" w14:textId="77777777" w:rsidR="00766E5B" w:rsidRPr="00C556E4" w:rsidRDefault="00766E5B" w:rsidP="00C556E4">
      <w:pPr>
        <w:jc w:val="both"/>
        <w:rPr>
          <w:rFonts w:ascii="Arial" w:hAnsi="Arial" w:cs="Arial"/>
          <w:color w:val="000000" w:themeColor="text1"/>
          <w:sz w:val="24"/>
          <w:szCs w:val="24"/>
        </w:rPr>
      </w:pPr>
    </w:p>
    <w:p w14:paraId="7A909512" w14:textId="77777777" w:rsidR="0062230D" w:rsidRPr="00C556E4" w:rsidRDefault="0062230D" w:rsidP="00C556E4">
      <w:pPr>
        <w:pStyle w:val="NormalWeb"/>
        <w:shd w:val="clear" w:color="auto" w:fill="FFFFFF"/>
        <w:spacing w:before="0" w:beforeAutospacing="0" w:after="120" w:afterAutospacing="0"/>
        <w:jc w:val="both"/>
        <w:rPr>
          <w:rFonts w:ascii="Arial" w:hAnsi="Arial" w:cs="Arial"/>
          <w:color w:val="000000" w:themeColor="text1"/>
        </w:rPr>
      </w:pPr>
      <w:r w:rsidRPr="00C556E4">
        <w:rPr>
          <w:rFonts w:ascii="Arial" w:hAnsi="Arial" w:cs="Arial"/>
          <w:color w:val="000000" w:themeColor="text1"/>
        </w:rPr>
        <w:t xml:space="preserve">National Police Chiefs' Council, (2022) Available online at: </w:t>
      </w:r>
      <w:hyperlink r:id="rId8" w:history="1">
        <w:r w:rsidRPr="00C556E4">
          <w:rPr>
            <w:rStyle w:val="Hyperlink"/>
            <w:rFonts w:ascii="Arial" w:hAnsi="Arial" w:cs="Arial"/>
            <w:color w:val="000000" w:themeColor="text1"/>
          </w:rPr>
          <w:t>The National Police Chiefs Council (NPCC)</w:t>
        </w:r>
      </w:hyperlink>
      <w:r w:rsidRPr="00C556E4">
        <w:rPr>
          <w:rFonts w:ascii="Arial" w:hAnsi="Arial" w:cs="Arial"/>
          <w:color w:val="000000" w:themeColor="text1"/>
        </w:rPr>
        <w:t xml:space="preserve"> Accessed 28 September 2022</w:t>
      </w:r>
    </w:p>
    <w:p w14:paraId="6087E3EF" w14:textId="00F5D138" w:rsidR="000230EC" w:rsidRPr="00C556E4" w:rsidRDefault="000230EC" w:rsidP="00C556E4">
      <w:pPr>
        <w:jc w:val="both"/>
        <w:rPr>
          <w:rFonts w:ascii="Arial" w:hAnsi="Arial" w:cs="Arial"/>
          <w:color w:val="000000" w:themeColor="text1"/>
          <w:sz w:val="24"/>
          <w:szCs w:val="24"/>
        </w:rPr>
      </w:pPr>
    </w:p>
    <w:p w14:paraId="7167F78E" w14:textId="08767443" w:rsidR="00766E5B" w:rsidRPr="00C556E4" w:rsidRDefault="00766E5B" w:rsidP="00C556E4">
      <w:pPr>
        <w:jc w:val="both"/>
        <w:rPr>
          <w:rFonts w:ascii="Arial" w:hAnsi="Arial" w:cs="Arial"/>
          <w:color w:val="000000" w:themeColor="text1"/>
          <w:sz w:val="24"/>
          <w:szCs w:val="24"/>
        </w:rPr>
      </w:pPr>
      <w:r w:rsidRPr="00C556E4">
        <w:rPr>
          <w:rFonts w:ascii="Arial" w:hAnsi="Arial" w:cs="Arial"/>
          <w:color w:val="000000" w:themeColor="text1"/>
          <w:sz w:val="24"/>
          <w:szCs w:val="24"/>
        </w:rPr>
        <w:t xml:space="preserve">Policing Insight (2022) PCC’s Need to be Apologetical, Available online at: </w:t>
      </w:r>
      <w:hyperlink r:id="rId9" w:history="1">
        <w:r w:rsidRPr="00C556E4">
          <w:rPr>
            <w:rStyle w:val="Hyperlink"/>
            <w:rFonts w:ascii="Arial" w:hAnsi="Arial" w:cs="Arial"/>
            <w:color w:val="000000" w:themeColor="text1"/>
            <w:sz w:val="24"/>
            <w:szCs w:val="24"/>
          </w:rPr>
          <w:t>PCCs need to be apolitical - here’s why - Policing Insight</w:t>
        </w:r>
      </w:hyperlink>
      <w:r w:rsidRPr="00C556E4">
        <w:rPr>
          <w:rFonts w:ascii="Arial" w:hAnsi="Arial" w:cs="Arial"/>
          <w:color w:val="000000" w:themeColor="text1"/>
          <w:sz w:val="24"/>
          <w:szCs w:val="24"/>
        </w:rPr>
        <w:t xml:space="preserve"> Accessed 27 September 2022</w:t>
      </w:r>
    </w:p>
    <w:p w14:paraId="70A1E0E6" w14:textId="77777777" w:rsidR="000230EC" w:rsidRDefault="000230EC"/>
    <w:p w14:paraId="1FAF9337" w14:textId="26E8D81D" w:rsidR="000230EC" w:rsidRPr="00B71EFF" w:rsidRDefault="000230EC" w:rsidP="00284B13">
      <w:pPr>
        <w:jc w:val="both"/>
        <w:rPr>
          <w:rFonts w:ascii="Arial" w:hAnsi="Arial" w:cs="Arial"/>
          <w:color w:val="000000" w:themeColor="text1"/>
          <w:sz w:val="24"/>
          <w:szCs w:val="24"/>
        </w:rPr>
      </w:pPr>
      <w:r w:rsidRPr="00B71EFF">
        <w:rPr>
          <w:rFonts w:ascii="Arial" w:hAnsi="Arial" w:cs="Arial"/>
          <w:color w:val="000000" w:themeColor="text1"/>
          <w:sz w:val="24"/>
          <w:szCs w:val="24"/>
        </w:rPr>
        <w:t xml:space="preserve">Smith, C &amp; Smith C, (2022) Concern across policing uplift retention rates, Available online at: </w:t>
      </w:r>
      <w:hyperlink r:id="rId10" w:history="1">
        <w:r w:rsidRPr="00B71EFF">
          <w:rPr>
            <w:rStyle w:val="Hyperlink"/>
            <w:rFonts w:ascii="Arial" w:hAnsi="Arial" w:cs="Arial"/>
            <w:color w:val="000000" w:themeColor="text1"/>
            <w:sz w:val="24"/>
            <w:szCs w:val="24"/>
          </w:rPr>
          <w:t>Concern across policing over Uplift retention rates | UK Police News - Police Oracle</w:t>
        </w:r>
      </w:hyperlink>
      <w:r w:rsidRPr="00B71EFF">
        <w:rPr>
          <w:rFonts w:ascii="Arial" w:hAnsi="Arial" w:cs="Arial"/>
          <w:color w:val="000000" w:themeColor="text1"/>
          <w:sz w:val="24"/>
          <w:szCs w:val="24"/>
        </w:rPr>
        <w:t xml:space="preserve"> Accessed 27 September 2022</w:t>
      </w:r>
    </w:p>
    <w:p w14:paraId="322DF756" w14:textId="4D48965B" w:rsidR="007B47EA" w:rsidRPr="00B71EFF" w:rsidRDefault="008B30D2" w:rsidP="00710E2B">
      <w:pPr>
        <w:jc w:val="both"/>
        <w:rPr>
          <w:rFonts w:ascii="Arial" w:hAnsi="Arial" w:cs="Arial"/>
          <w:color w:val="000000" w:themeColor="text1"/>
          <w:sz w:val="24"/>
          <w:szCs w:val="24"/>
        </w:rPr>
      </w:pPr>
      <w:r w:rsidRPr="00B71EFF">
        <w:rPr>
          <w:rFonts w:ascii="Arial" w:hAnsi="Arial" w:cs="Arial"/>
          <w:color w:val="000000" w:themeColor="text1"/>
          <w:sz w:val="24"/>
          <w:szCs w:val="24"/>
        </w:rPr>
        <w:t xml:space="preserve">Home Office (2022) Police Officer Uplift, Quarterly Update to June 2022, Available online at: </w:t>
      </w:r>
      <w:hyperlink r:id="rId11" w:history="1">
        <w:r w:rsidRPr="00B71EFF">
          <w:rPr>
            <w:rStyle w:val="Hyperlink"/>
            <w:rFonts w:ascii="Arial" w:hAnsi="Arial" w:cs="Arial"/>
            <w:color w:val="000000" w:themeColor="text1"/>
            <w:sz w:val="24"/>
            <w:szCs w:val="24"/>
          </w:rPr>
          <w:t>Police officer uplift, quarterly update to June 2022 - GOV.UK (www.gov.uk)</w:t>
        </w:r>
      </w:hyperlink>
      <w:r w:rsidRPr="00B71EFF">
        <w:rPr>
          <w:rFonts w:ascii="Arial" w:hAnsi="Arial" w:cs="Arial"/>
          <w:color w:val="000000" w:themeColor="text1"/>
          <w:sz w:val="24"/>
          <w:szCs w:val="24"/>
        </w:rPr>
        <w:t xml:space="preserve"> Accessed 27 September 2022</w:t>
      </w:r>
    </w:p>
    <w:p w14:paraId="5F82C1FF" w14:textId="77777777" w:rsidR="007B47EA" w:rsidRPr="00B71EFF" w:rsidRDefault="007B47EA">
      <w:pPr>
        <w:rPr>
          <w:color w:val="000000" w:themeColor="text1"/>
        </w:rPr>
      </w:pPr>
    </w:p>
    <w:p w14:paraId="4A8E9539" w14:textId="02D0DE63" w:rsidR="007B47EA" w:rsidRPr="00B71EFF" w:rsidRDefault="007B47EA" w:rsidP="001109B7">
      <w:pPr>
        <w:jc w:val="both"/>
        <w:rPr>
          <w:rFonts w:ascii="Arial" w:hAnsi="Arial" w:cs="Arial"/>
          <w:color w:val="000000" w:themeColor="text1"/>
          <w:sz w:val="24"/>
          <w:szCs w:val="24"/>
        </w:rPr>
      </w:pPr>
      <w:r w:rsidRPr="00B71EFF">
        <w:rPr>
          <w:rFonts w:ascii="Arial" w:hAnsi="Arial" w:cs="Arial"/>
          <w:color w:val="000000" w:themeColor="text1"/>
          <w:sz w:val="24"/>
          <w:szCs w:val="24"/>
        </w:rPr>
        <w:t xml:space="preserve">Home Office, (2022) Home Office Evidence to the Police Remuneration Review Body 2022-2023. Available online at: </w:t>
      </w:r>
      <w:hyperlink r:id="rId12" w:history="1">
        <w:r w:rsidRPr="00B71EFF">
          <w:rPr>
            <w:rStyle w:val="Hyperlink"/>
            <w:rFonts w:ascii="Arial" w:hAnsi="Arial" w:cs="Arial"/>
            <w:color w:val="000000" w:themeColor="text1"/>
            <w:sz w:val="24"/>
            <w:szCs w:val="24"/>
          </w:rPr>
          <w:t>Home Office evidence to the Police Remuneration Review Body, 2022 to 2023 (accessible version) - GOV.UK (www.gov.uk)</w:t>
        </w:r>
      </w:hyperlink>
      <w:r w:rsidRPr="00B71EFF">
        <w:rPr>
          <w:rFonts w:ascii="Arial" w:hAnsi="Arial" w:cs="Arial"/>
          <w:color w:val="000000" w:themeColor="text1"/>
          <w:sz w:val="24"/>
          <w:szCs w:val="24"/>
        </w:rPr>
        <w:t xml:space="preserve"> Accessed 27/09/2022</w:t>
      </w:r>
    </w:p>
    <w:p w14:paraId="21F02C72" w14:textId="4E39CFB3" w:rsidR="00AD7422" w:rsidRPr="00B71EFF" w:rsidRDefault="00AD7422">
      <w:pPr>
        <w:rPr>
          <w:color w:val="000000" w:themeColor="text1"/>
        </w:rPr>
      </w:pPr>
    </w:p>
    <w:p w14:paraId="1AE1D24F" w14:textId="1B4C5C1B" w:rsidR="00AD7422" w:rsidRPr="00B71EFF" w:rsidRDefault="00DF2EDE" w:rsidP="00DF2EDE">
      <w:pPr>
        <w:jc w:val="both"/>
        <w:rPr>
          <w:rFonts w:ascii="Arial" w:hAnsi="Arial" w:cs="Arial"/>
          <w:color w:val="000000" w:themeColor="text1"/>
          <w:sz w:val="24"/>
          <w:szCs w:val="24"/>
        </w:rPr>
      </w:pPr>
      <w:r w:rsidRPr="00B71EFF">
        <w:rPr>
          <w:rFonts w:ascii="Arial" w:hAnsi="Arial" w:cs="Arial"/>
          <w:color w:val="000000" w:themeColor="text1"/>
          <w:sz w:val="24"/>
          <w:szCs w:val="24"/>
        </w:rPr>
        <w:t>Home Office</w:t>
      </w:r>
      <w:r w:rsidR="002F2927">
        <w:rPr>
          <w:rFonts w:ascii="Arial" w:hAnsi="Arial" w:cs="Arial"/>
          <w:color w:val="000000" w:themeColor="text1"/>
          <w:sz w:val="24"/>
          <w:szCs w:val="24"/>
        </w:rPr>
        <w:t>, (</w:t>
      </w:r>
      <w:r w:rsidRPr="00B71EFF">
        <w:rPr>
          <w:rFonts w:ascii="Arial" w:hAnsi="Arial" w:cs="Arial"/>
          <w:color w:val="000000" w:themeColor="text1"/>
          <w:sz w:val="24"/>
          <w:szCs w:val="24"/>
        </w:rPr>
        <w:t>2022)</w:t>
      </w:r>
      <w:r w:rsidR="002F2927">
        <w:rPr>
          <w:rFonts w:ascii="Arial" w:hAnsi="Arial" w:cs="Arial"/>
          <w:color w:val="000000" w:themeColor="text1"/>
          <w:sz w:val="24"/>
          <w:szCs w:val="24"/>
        </w:rPr>
        <w:t xml:space="preserve"> </w:t>
      </w:r>
      <w:r w:rsidRPr="00B71EFF">
        <w:rPr>
          <w:rFonts w:ascii="Arial" w:hAnsi="Arial" w:cs="Arial"/>
          <w:color w:val="000000" w:themeColor="text1"/>
          <w:sz w:val="24"/>
          <w:szCs w:val="24"/>
        </w:rPr>
        <w:t xml:space="preserve">Police Workforce, England and Wales March 2022 Available online at: </w:t>
      </w:r>
      <w:hyperlink w:history="1">
        <w:r w:rsidRPr="00B71EFF">
          <w:rPr>
            <w:rStyle w:val="Hyperlink"/>
            <w:rFonts w:ascii="Arial" w:hAnsi="Arial" w:cs="Arial"/>
            <w:color w:val="000000" w:themeColor="text1"/>
            <w:sz w:val="24"/>
            <w:szCs w:val="24"/>
          </w:rPr>
          <w:t>Police workforce, England and Wales: 31 March 2022 - GOV.UK (www.gov.uk)</w:t>
        </w:r>
      </w:hyperlink>
      <w:r w:rsidRPr="00B71EFF">
        <w:rPr>
          <w:rFonts w:ascii="Arial" w:hAnsi="Arial" w:cs="Arial"/>
          <w:color w:val="000000" w:themeColor="text1"/>
          <w:sz w:val="24"/>
          <w:szCs w:val="24"/>
        </w:rPr>
        <w:t xml:space="preserve"> Accessed 27 September 2022</w:t>
      </w:r>
    </w:p>
    <w:p w14:paraId="184D59F9" w14:textId="5B763FF7" w:rsidR="00AD7422" w:rsidRPr="002F2927" w:rsidRDefault="00AD7422">
      <w:pPr>
        <w:rPr>
          <w:color w:val="000000" w:themeColor="text1"/>
        </w:rPr>
      </w:pPr>
    </w:p>
    <w:p w14:paraId="6280BD7F" w14:textId="6444CEAE" w:rsidR="002F2927" w:rsidRPr="002F2927" w:rsidRDefault="002F2927" w:rsidP="002F2927">
      <w:pPr>
        <w:jc w:val="both"/>
        <w:rPr>
          <w:rFonts w:ascii="Arial" w:hAnsi="Arial" w:cs="Arial"/>
          <w:color w:val="000000" w:themeColor="text1"/>
          <w:sz w:val="24"/>
          <w:szCs w:val="24"/>
        </w:rPr>
      </w:pPr>
      <w:r w:rsidRPr="002F2927">
        <w:rPr>
          <w:rFonts w:ascii="Arial" w:hAnsi="Arial" w:cs="Arial"/>
          <w:color w:val="000000" w:themeColor="text1"/>
          <w:sz w:val="24"/>
          <w:szCs w:val="24"/>
        </w:rPr>
        <w:t xml:space="preserve">Office of National Statistics, (2022) Annual Population Survey – Employment by Occupation, Available online at: </w:t>
      </w:r>
      <w:hyperlink r:id="rId13" w:history="1">
        <w:r w:rsidRPr="002F2927">
          <w:rPr>
            <w:rFonts w:ascii="Arial" w:hAnsi="Arial" w:cs="Arial"/>
            <w:color w:val="000000" w:themeColor="text1"/>
            <w:sz w:val="24"/>
            <w:szCs w:val="24"/>
            <w:u w:val="single"/>
          </w:rPr>
          <w:t>Annual Population Survey - Employment by occupation by sex - Nomis (nomisweb.co.uk)</w:t>
        </w:r>
      </w:hyperlink>
      <w:r w:rsidRPr="002F2927">
        <w:rPr>
          <w:rFonts w:ascii="Arial" w:hAnsi="Arial" w:cs="Arial"/>
          <w:color w:val="000000" w:themeColor="text1"/>
          <w:sz w:val="24"/>
          <w:szCs w:val="24"/>
        </w:rPr>
        <w:t xml:space="preserve"> Accessed 27 September 2022</w:t>
      </w:r>
    </w:p>
    <w:p w14:paraId="7ED61F26" w14:textId="3D9053B5" w:rsidR="00AD7422" w:rsidRDefault="00AD7422"/>
    <w:p w14:paraId="735A9794" w14:textId="77777777" w:rsidR="00AD7422" w:rsidRPr="00292F5F" w:rsidRDefault="00AD7422">
      <w:pPr>
        <w:rPr>
          <w:rFonts w:cstheme="minorHAnsi"/>
        </w:rPr>
      </w:pPr>
    </w:p>
    <w:p w14:paraId="56FA8AD8" w14:textId="64AD6DF0" w:rsidR="00F2753C" w:rsidRPr="00292F5F" w:rsidRDefault="00F2753C">
      <w:pPr>
        <w:rPr>
          <w:rFonts w:cstheme="minorHAnsi"/>
        </w:rPr>
      </w:pPr>
    </w:p>
    <w:p w14:paraId="6C5F787C" w14:textId="259E2742" w:rsidR="00F2753C" w:rsidRPr="00292F5F" w:rsidRDefault="00F2753C">
      <w:pPr>
        <w:rPr>
          <w:rFonts w:cstheme="minorHAnsi"/>
        </w:rPr>
      </w:pPr>
    </w:p>
    <w:p w14:paraId="42E1C846" w14:textId="6ACCF60D" w:rsidR="006A1CD0" w:rsidRPr="00292F5F" w:rsidRDefault="006A1CD0" w:rsidP="006A1CD0">
      <w:pPr>
        <w:shd w:val="clear" w:color="auto" w:fill="FFFFFF"/>
        <w:spacing w:after="75" w:line="240" w:lineRule="auto"/>
        <w:rPr>
          <w:rFonts w:eastAsia="Times New Roman" w:cstheme="minorHAnsi"/>
          <w:color w:val="0B0C0C"/>
          <w:lang w:eastAsia="en-GB"/>
        </w:rPr>
      </w:pPr>
    </w:p>
    <w:p w14:paraId="0C54B811" w14:textId="29260898" w:rsidR="003A1C33" w:rsidRPr="00292F5F" w:rsidRDefault="003A1C33" w:rsidP="006A1CD0">
      <w:pPr>
        <w:shd w:val="clear" w:color="auto" w:fill="FFFFFF"/>
        <w:spacing w:after="75" w:line="240" w:lineRule="auto"/>
        <w:rPr>
          <w:rFonts w:eastAsia="Times New Roman" w:cstheme="minorHAnsi"/>
          <w:color w:val="0B0C0C"/>
          <w:lang w:eastAsia="en-GB"/>
        </w:rPr>
      </w:pPr>
    </w:p>
    <w:sectPr w:rsidR="003A1C33" w:rsidRPr="00292F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044A0"/>
    <w:multiLevelType w:val="multilevel"/>
    <w:tmpl w:val="CDFC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8081135"/>
    <w:multiLevelType w:val="multilevel"/>
    <w:tmpl w:val="BC743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39866712">
    <w:abstractNumId w:val="0"/>
  </w:num>
  <w:num w:numId="2" w16cid:durableId="1809009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A33"/>
    <w:rsid w:val="00001BD3"/>
    <w:rsid w:val="0001758D"/>
    <w:rsid w:val="000202FF"/>
    <w:rsid w:val="000230EC"/>
    <w:rsid w:val="00074E3F"/>
    <w:rsid w:val="0007543D"/>
    <w:rsid w:val="000B437B"/>
    <w:rsid w:val="000C1C38"/>
    <w:rsid w:val="000D2C82"/>
    <w:rsid w:val="000D3557"/>
    <w:rsid w:val="001109B7"/>
    <w:rsid w:val="001215EC"/>
    <w:rsid w:val="001A64A4"/>
    <w:rsid w:val="001F6697"/>
    <w:rsid w:val="00204F5F"/>
    <w:rsid w:val="002568E7"/>
    <w:rsid w:val="0026541C"/>
    <w:rsid w:val="00284B13"/>
    <w:rsid w:val="00292F5F"/>
    <w:rsid w:val="002B0AD2"/>
    <w:rsid w:val="002B58FE"/>
    <w:rsid w:val="002F2927"/>
    <w:rsid w:val="0031716D"/>
    <w:rsid w:val="0034445D"/>
    <w:rsid w:val="00366928"/>
    <w:rsid w:val="003A1C33"/>
    <w:rsid w:val="003B4C1D"/>
    <w:rsid w:val="003B78B7"/>
    <w:rsid w:val="003F13A0"/>
    <w:rsid w:val="0040547C"/>
    <w:rsid w:val="004721DF"/>
    <w:rsid w:val="00475749"/>
    <w:rsid w:val="00525DBF"/>
    <w:rsid w:val="00526069"/>
    <w:rsid w:val="00555290"/>
    <w:rsid w:val="005C13B3"/>
    <w:rsid w:val="005C4CBD"/>
    <w:rsid w:val="005C57B7"/>
    <w:rsid w:val="006015F1"/>
    <w:rsid w:val="0062230D"/>
    <w:rsid w:val="00650AE7"/>
    <w:rsid w:val="006A1CD0"/>
    <w:rsid w:val="006C3522"/>
    <w:rsid w:val="006E71D8"/>
    <w:rsid w:val="006F30F1"/>
    <w:rsid w:val="007043B9"/>
    <w:rsid w:val="00710E2B"/>
    <w:rsid w:val="0075288A"/>
    <w:rsid w:val="00766E5B"/>
    <w:rsid w:val="00777C3E"/>
    <w:rsid w:val="00793345"/>
    <w:rsid w:val="007B47EA"/>
    <w:rsid w:val="0080303D"/>
    <w:rsid w:val="00811AD0"/>
    <w:rsid w:val="00843EFC"/>
    <w:rsid w:val="0085072C"/>
    <w:rsid w:val="00882CE4"/>
    <w:rsid w:val="008A343D"/>
    <w:rsid w:val="008B30D2"/>
    <w:rsid w:val="0098510F"/>
    <w:rsid w:val="009A6B02"/>
    <w:rsid w:val="009F0B4F"/>
    <w:rsid w:val="00A06D93"/>
    <w:rsid w:val="00A534C4"/>
    <w:rsid w:val="00A74844"/>
    <w:rsid w:val="00A75A26"/>
    <w:rsid w:val="00AB0273"/>
    <w:rsid w:val="00AB54D3"/>
    <w:rsid w:val="00AC31F0"/>
    <w:rsid w:val="00AD7422"/>
    <w:rsid w:val="00B30488"/>
    <w:rsid w:val="00B57276"/>
    <w:rsid w:val="00B71EFF"/>
    <w:rsid w:val="00B80EC5"/>
    <w:rsid w:val="00B855A0"/>
    <w:rsid w:val="00BA6203"/>
    <w:rsid w:val="00BB4707"/>
    <w:rsid w:val="00BC3EEA"/>
    <w:rsid w:val="00BC7324"/>
    <w:rsid w:val="00BE4A6D"/>
    <w:rsid w:val="00C13148"/>
    <w:rsid w:val="00C52084"/>
    <w:rsid w:val="00C556E4"/>
    <w:rsid w:val="00C627CF"/>
    <w:rsid w:val="00C7072B"/>
    <w:rsid w:val="00C71509"/>
    <w:rsid w:val="00CD2EC1"/>
    <w:rsid w:val="00CE1CF3"/>
    <w:rsid w:val="00D1412F"/>
    <w:rsid w:val="00D144D3"/>
    <w:rsid w:val="00D53DED"/>
    <w:rsid w:val="00D54671"/>
    <w:rsid w:val="00D84400"/>
    <w:rsid w:val="00DD0E99"/>
    <w:rsid w:val="00DD6402"/>
    <w:rsid w:val="00DF2EDE"/>
    <w:rsid w:val="00DF377F"/>
    <w:rsid w:val="00E21F2C"/>
    <w:rsid w:val="00E344F1"/>
    <w:rsid w:val="00E7599A"/>
    <w:rsid w:val="00EE0A73"/>
    <w:rsid w:val="00F2753C"/>
    <w:rsid w:val="00F83198"/>
    <w:rsid w:val="00FB3A33"/>
    <w:rsid w:val="00FB6BF3"/>
    <w:rsid w:val="00FC3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59060"/>
  <w15:chartTrackingRefBased/>
  <w15:docId w15:val="{D05CD0B1-CE60-44C6-AE06-14B8EA7C9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669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6928"/>
    <w:rPr>
      <w:color w:val="0000FF"/>
      <w:u w:val="single"/>
    </w:rPr>
  </w:style>
  <w:style w:type="character" w:styleId="Strong">
    <w:name w:val="Strong"/>
    <w:basedOn w:val="DefaultParagraphFont"/>
    <w:uiPriority w:val="22"/>
    <w:qFormat/>
    <w:rsid w:val="006A1CD0"/>
    <w:rPr>
      <w:b/>
      <w:bCs/>
    </w:rPr>
  </w:style>
  <w:style w:type="character" w:styleId="FollowedHyperlink">
    <w:name w:val="FollowedHyperlink"/>
    <w:basedOn w:val="DefaultParagraphFont"/>
    <w:uiPriority w:val="99"/>
    <w:semiHidden/>
    <w:unhideWhenUsed/>
    <w:rsid w:val="00204F5F"/>
    <w:rPr>
      <w:color w:val="954F72" w:themeColor="followedHyperlink"/>
      <w:u w:val="single"/>
    </w:rPr>
  </w:style>
  <w:style w:type="character" w:styleId="UnresolvedMention">
    <w:name w:val="Unresolved Mention"/>
    <w:basedOn w:val="DefaultParagraphFont"/>
    <w:uiPriority w:val="99"/>
    <w:semiHidden/>
    <w:unhideWhenUsed/>
    <w:rsid w:val="00DF2EDE"/>
    <w:rPr>
      <w:color w:val="605E5C"/>
      <w:shd w:val="clear" w:color="auto" w:fill="E1DFDD"/>
    </w:rPr>
  </w:style>
  <w:style w:type="table" w:styleId="TableGrid">
    <w:name w:val="Table Grid"/>
    <w:basedOn w:val="TableNormal"/>
    <w:uiPriority w:val="39"/>
    <w:rsid w:val="00C627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803446">
      <w:bodyDiv w:val="1"/>
      <w:marLeft w:val="0"/>
      <w:marRight w:val="0"/>
      <w:marTop w:val="0"/>
      <w:marBottom w:val="0"/>
      <w:divBdr>
        <w:top w:val="none" w:sz="0" w:space="0" w:color="auto"/>
        <w:left w:val="none" w:sz="0" w:space="0" w:color="auto"/>
        <w:bottom w:val="none" w:sz="0" w:space="0" w:color="auto"/>
        <w:right w:val="none" w:sz="0" w:space="0" w:color="auto"/>
      </w:divBdr>
    </w:div>
    <w:div w:id="177043050">
      <w:bodyDiv w:val="1"/>
      <w:marLeft w:val="0"/>
      <w:marRight w:val="0"/>
      <w:marTop w:val="0"/>
      <w:marBottom w:val="0"/>
      <w:divBdr>
        <w:top w:val="none" w:sz="0" w:space="0" w:color="auto"/>
        <w:left w:val="none" w:sz="0" w:space="0" w:color="auto"/>
        <w:bottom w:val="none" w:sz="0" w:space="0" w:color="auto"/>
        <w:right w:val="none" w:sz="0" w:space="0" w:color="auto"/>
      </w:divBdr>
    </w:div>
    <w:div w:id="268244788">
      <w:bodyDiv w:val="1"/>
      <w:marLeft w:val="0"/>
      <w:marRight w:val="0"/>
      <w:marTop w:val="0"/>
      <w:marBottom w:val="0"/>
      <w:divBdr>
        <w:top w:val="none" w:sz="0" w:space="0" w:color="auto"/>
        <w:left w:val="none" w:sz="0" w:space="0" w:color="auto"/>
        <w:bottom w:val="none" w:sz="0" w:space="0" w:color="auto"/>
        <w:right w:val="none" w:sz="0" w:space="0" w:color="auto"/>
      </w:divBdr>
    </w:div>
    <w:div w:id="306396360">
      <w:bodyDiv w:val="1"/>
      <w:marLeft w:val="0"/>
      <w:marRight w:val="0"/>
      <w:marTop w:val="0"/>
      <w:marBottom w:val="0"/>
      <w:divBdr>
        <w:top w:val="none" w:sz="0" w:space="0" w:color="auto"/>
        <w:left w:val="none" w:sz="0" w:space="0" w:color="auto"/>
        <w:bottom w:val="none" w:sz="0" w:space="0" w:color="auto"/>
        <w:right w:val="none" w:sz="0" w:space="0" w:color="auto"/>
      </w:divBdr>
    </w:div>
    <w:div w:id="501623395">
      <w:bodyDiv w:val="1"/>
      <w:marLeft w:val="0"/>
      <w:marRight w:val="0"/>
      <w:marTop w:val="0"/>
      <w:marBottom w:val="0"/>
      <w:divBdr>
        <w:top w:val="none" w:sz="0" w:space="0" w:color="auto"/>
        <w:left w:val="none" w:sz="0" w:space="0" w:color="auto"/>
        <w:bottom w:val="none" w:sz="0" w:space="0" w:color="auto"/>
        <w:right w:val="none" w:sz="0" w:space="0" w:color="auto"/>
      </w:divBdr>
    </w:div>
    <w:div w:id="795173896">
      <w:bodyDiv w:val="1"/>
      <w:marLeft w:val="0"/>
      <w:marRight w:val="0"/>
      <w:marTop w:val="0"/>
      <w:marBottom w:val="0"/>
      <w:divBdr>
        <w:top w:val="none" w:sz="0" w:space="0" w:color="auto"/>
        <w:left w:val="none" w:sz="0" w:space="0" w:color="auto"/>
        <w:bottom w:val="none" w:sz="0" w:space="0" w:color="auto"/>
        <w:right w:val="none" w:sz="0" w:space="0" w:color="auto"/>
      </w:divBdr>
    </w:div>
    <w:div w:id="967010774">
      <w:bodyDiv w:val="1"/>
      <w:marLeft w:val="0"/>
      <w:marRight w:val="0"/>
      <w:marTop w:val="0"/>
      <w:marBottom w:val="0"/>
      <w:divBdr>
        <w:top w:val="none" w:sz="0" w:space="0" w:color="auto"/>
        <w:left w:val="none" w:sz="0" w:space="0" w:color="auto"/>
        <w:bottom w:val="none" w:sz="0" w:space="0" w:color="auto"/>
        <w:right w:val="none" w:sz="0" w:space="0" w:color="auto"/>
      </w:divBdr>
    </w:div>
    <w:div w:id="1441610918">
      <w:bodyDiv w:val="1"/>
      <w:marLeft w:val="0"/>
      <w:marRight w:val="0"/>
      <w:marTop w:val="0"/>
      <w:marBottom w:val="0"/>
      <w:divBdr>
        <w:top w:val="none" w:sz="0" w:space="0" w:color="auto"/>
        <w:left w:val="none" w:sz="0" w:space="0" w:color="auto"/>
        <w:bottom w:val="none" w:sz="0" w:space="0" w:color="auto"/>
        <w:right w:val="none" w:sz="0" w:space="0" w:color="auto"/>
      </w:divBdr>
      <w:divsChild>
        <w:div w:id="2108193202">
          <w:marLeft w:val="0"/>
          <w:marRight w:val="0"/>
          <w:marTop w:val="300"/>
          <w:marBottom w:val="300"/>
          <w:divBdr>
            <w:top w:val="none" w:sz="0" w:space="0" w:color="auto"/>
            <w:left w:val="none" w:sz="0" w:space="0" w:color="auto"/>
            <w:bottom w:val="none" w:sz="0" w:space="0" w:color="auto"/>
            <w:right w:val="none" w:sz="0" w:space="0" w:color="auto"/>
          </w:divBdr>
        </w:div>
      </w:divsChild>
    </w:div>
    <w:div w:id="1570966774">
      <w:bodyDiv w:val="1"/>
      <w:marLeft w:val="0"/>
      <w:marRight w:val="0"/>
      <w:marTop w:val="0"/>
      <w:marBottom w:val="0"/>
      <w:divBdr>
        <w:top w:val="none" w:sz="0" w:space="0" w:color="auto"/>
        <w:left w:val="none" w:sz="0" w:space="0" w:color="auto"/>
        <w:bottom w:val="none" w:sz="0" w:space="0" w:color="auto"/>
        <w:right w:val="none" w:sz="0" w:space="0" w:color="auto"/>
      </w:divBdr>
    </w:div>
    <w:div w:id="1977224288">
      <w:bodyDiv w:val="1"/>
      <w:marLeft w:val="0"/>
      <w:marRight w:val="0"/>
      <w:marTop w:val="0"/>
      <w:marBottom w:val="0"/>
      <w:divBdr>
        <w:top w:val="none" w:sz="0" w:space="0" w:color="auto"/>
        <w:left w:val="none" w:sz="0" w:space="0" w:color="auto"/>
        <w:bottom w:val="none" w:sz="0" w:space="0" w:color="auto"/>
        <w:right w:val="none" w:sz="0" w:space="0" w:color="auto"/>
      </w:divBdr>
    </w:div>
    <w:div w:id="2009555311">
      <w:bodyDiv w:val="1"/>
      <w:marLeft w:val="0"/>
      <w:marRight w:val="0"/>
      <w:marTop w:val="0"/>
      <w:marBottom w:val="0"/>
      <w:divBdr>
        <w:top w:val="none" w:sz="0" w:space="0" w:color="auto"/>
        <w:left w:val="none" w:sz="0" w:space="0" w:color="auto"/>
        <w:bottom w:val="none" w:sz="0" w:space="0" w:color="auto"/>
        <w:right w:val="none" w:sz="0" w:space="0" w:color="auto"/>
      </w:divBdr>
    </w:div>
    <w:div w:id="2103987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cc.police.uk/Home.aspx" TargetMode="External"/><Relationship Id="rId13" Type="http://schemas.openxmlformats.org/officeDocument/2006/relationships/hyperlink" Target="https://www.nomisweb.co.uk/datasets/aps168/reports/employment-by-occupation?compare=K04000001" TargetMode="External"/><Relationship Id="rId3" Type="http://schemas.openxmlformats.org/officeDocument/2006/relationships/settings" Target="settings.xml"/><Relationship Id="rId7" Type="http://schemas.openxmlformats.org/officeDocument/2006/relationships/hyperlink" Target="https://www.polfed.org/news/latest-news/2022/attrition-rates-show-more-must-be-done-to-retain-new-recruits/" TargetMode="External"/><Relationship Id="rId12" Type="http://schemas.openxmlformats.org/officeDocument/2006/relationships/hyperlink" Target="https://www.gov.uk/government/publications/home-office-evidence-to-the-police-remuneration-review-body-2022-to-2023/home-office-evidence-to-the-police-remuneration-review-body-2022-to-2023-accessible-ver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v.uk/government/statistics/police-officer-uplift-quarterly-update-to-june-2022/police-officer-uplift-quarterly-update-to-june-2022"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policeoracle.com/news/Concern-across-policing-over-Uplift-retention-rates-_108767.html" TargetMode="External"/><Relationship Id="rId4" Type="http://schemas.openxmlformats.org/officeDocument/2006/relationships/webSettings" Target="webSettings.xml"/><Relationship Id="rId9" Type="http://schemas.openxmlformats.org/officeDocument/2006/relationships/hyperlink" Target="https://policinginsight.com/features/opinion/pccs-need-to-be-apolitical-heres-wh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646</TotalTime>
  <Pages>7</Pages>
  <Words>1461</Words>
  <Characters>8333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73</cp:revision>
  <dcterms:created xsi:type="dcterms:W3CDTF">2022-09-27T07:26:00Z</dcterms:created>
  <dcterms:modified xsi:type="dcterms:W3CDTF">2022-09-29T10:00:00Z</dcterms:modified>
</cp:coreProperties>
</file>