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highlight w:val="white"/>
        </w:rPr>
      </w:pPr>
      <w:r w:rsidDel="00000000" w:rsidR="00000000" w:rsidRPr="00000000">
        <w:rPr>
          <w:b w:val="1"/>
          <w:sz w:val="24"/>
          <w:szCs w:val="24"/>
          <w:highlight w:val="white"/>
          <w:rtl w:val="0"/>
        </w:rPr>
        <w:t xml:space="preserve">Assess the contribution of Jewish Intertestamental literature to the characterization of Satan/the Devil in the New Testament  </w:t>
      </w:r>
    </w:p>
    <w:p w:rsidR="00000000" w:rsidDel="00000000" w:rsidP="00000000" w:rsidRDefault="00000000" w:rsidRPr="00000000" w14:paraId="00000002">
      <w:pPr>
        <w:rPr>
          <w:b w:val="1"/>
          <w:color w:val="373a3c"/>
          <w:sz w:val="24"/>
          <w:szCs w:val="24"/>
          <w:highlight w:val="white"/>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highlight w:val="white"/>
          <w:rtl w:val="0"/>
        </w:rPr>
        <w:t xml:space="preserve">The contribution of Jewish Intertestamental literature to the characterization of Satan in the New Testament cannot be overemphasized. Such influence can be seen merely in the multiple names he is known by, such as ‘Belial’ ‘the Devil’ and ‘the Prince of Demons’.</w:t>
      </w:r>
    </w:p>
    <w:p w:rsidR="00000000" w:rsidDel="00000000" w:rsidP="00000000" w:rsidRDefault="00000000" w:rsidRPr="00000000" w14:paraId="00000004">
      <w:pPr>
        <w:rPr>
          <w:highlight w:val="white"/>
        </w:rPr>
      </w:pPr>
      <w:r w:rsidDel="00000000" w:rsidR="00000000" w:rsidRPr="00000000">
        <w:rPr>
          <w:highlight w:val="white"/>
          <w:rtl w:val="0"/>
        </w:rPr>
        <w:t xml:space="preserve">But before we can establish the influence of Intertestamental literature, it must first be established: How is Satan characterized in the New Testament?</w:t>
      </w:r>
    </w:p>
    <w:p w:rsidR="00000000" w:rsidDel="00000000" w:rsidP="00000000" w:rsidRDefault="00000000" w:rsidRPr="00000000" w14:paraId="00000005">
      <w:pPr>
        <w:rPr>
          <w:highlight w:val="white"/>
        </w:rPr>
      </w:pPr>
      <w:r w:rsidDel="00000000" w:rsidR="00000000" w:rsidRPr="00000000">
        <w:rPr>
          <w:rtl w:val="0"/>
        </w:rPr>
      </w:r>
    </w:p>
    <w:p w:rsidR="00000000" w:rsidDel="00000000" w:rsidP="00000000" w:rsidRDefault="00000000" w:rsidRPr="00000000" w14:paraId="00000006">
      <w:pPr>
        <w:rPr>
          <w:highlight w:val="white"/>
        </w:rPr>
      </w:pPr>
      <w:r w:rsidDel="00000000" w:rsidR="00000000" w:rsidRPr="00000000">
        <w:rPr>
          <w:highlight w:val="white"/>
          <w:rtl w:val="0"/>
        </w:rPr>
        <w:t xml:space="preserve">From reading the various body of works in the New Testament, it can be established that the primary theme throughout is the struggle between God and the Devil. One either elects to follow God, or becomes subject to Satan. Because of sin, the Earth is under the Devil’s clutches, and Christ comes to break that power and bridge the gap of alienation between God and humankind. It quickly becomes apparent to the reader that Satan has a clear, primary function: to obstruct the kingdom of God as long and as thoroughly as he can.</w:t>
      </w:r>
      <w:r w:rsidDel="00000000" w:rsidR="00000000" w:rsidRPr="00000000">
        <w:rPr>
          <w:highlight w:val="white"/>
          <w:vertAlign w:val="superscript"/>
        </w:rPr>
        <w:footnoteReference w:customMarkFollows="0" w:id="0"/>
      </w:r>
      <w:r w:rsidDel="00000000" w:rsidR="00000000" w:rsidRPr="00000000">
        <w:rPr>
          <w:highlight w:val="white"/>
          <w:rtl w:val="0"/>
        </w:rPr>
        <w:t xml:space="preserve"> Satan attempts to achieve this in a number of ways, through methods such as possession, and temptation.</w:t>
      </w:r>
    </w:p>
    <w:p w:rsidR="00000000" w:rsidDel="00000000" w:rsidP="00000000" w:rsidRDefault="00000000" w:rsidRPr="00000000" w14:paraId="00000007">
      <w:pPr>
        <w:rPr>
          <w:highlight w:val="white"/>
        </w:rPr>
      </w:pPr>
      <w:r w:rsidDel="00000000" w:rsidR="00000000" w:rsidRPr="00000000">
        <w:rPr>
          <w:rtl w:val="0"/>
        </w:rPr>
      </w:r>
    </w:p>
    <w:p w:rsidR="00000000" w:rsidDel="00000000" w:rsidP="00000000" w:rsidRDefault="00000000" w:rsidRPr="00000000" w14:paraId="00000008">
      <w:pPr>
        <w:rPr>
          <w:highlight w:val="white"/>
        </w:rPr>
      </w:pPr>
      <w:r w:rsidDel="00000000" w:rsidR="00000000" w:rsidRPr="00000000">
        <w:rPr>
          <w:highlight w:val="white"/>
          <w:rtl w:val="0"/>
        </w:rPr>
        <w:t xml:space="preserve">One of Satan’s favorite weapons is possession, which is a crucial theme within the Synoptic Gospels. His methods here are indirect, operating primarily through his servants, the demons. By exorcising these demons, Jesus is waging war against the kingdom of Satan, and announces the coming of the kingdom of God (Matt. 12.28). Each demon exorcised not only eliminates the physical ailments caused, but also takes one step closer to the time in which Satan will no longer control the world.</w:t>
      </w:r>
    </w:p>
    <w:p w:rsidR="00000000" w:rsidDel="00000000" w:rsidP="00000000" w:rsidRDefault="00000000" w:rsidRPr="00000000" w14:paraId="00000009">
      <w:pPr>
        <w:rPr>
          <w:highlight w:val="white"/>
        </w:rPr>
      </w:pPr>
      <w:r w:rsidDel="00000000" w:rsidR="00000000" w:rsidRPr="00000000">
        <w:rPr>
          <w:rtl w:val="0"/>
        </w:rPr>
      </w:r>
    </w:p>
    <w:p w:rsidR="00000000" w:rsidDel="00000000" w:rsidP="00000000" w:rsidRDefault="00000000" w:rsidRPr="00000000" w14:paraId="0000000A">
      <w:pPr>
        <w:rPr>
          <w:highlight w:val="white"/>
        </w:rPr>
      </w:pPr>
      <w:r w:rsidDel="00000000" w:rsidR="00000000" w:rsidRPr="00000000">
        <w:rPr>
          <w:highlight w:val="white"/>
          <w:rtl w:val="0"/>
        </w:rPr>
        <w:t xml:space="preserve">Temptation is another method used by the Devil that is mentioned frequently throughout the New Testament, (2 Tim 2:26, cf. Mark 4:15, Luke 8:12), one of the most notable examples being the Temptation of Jesus in the desert, in which he fasts for forty days and nights, and Satan approaches him in his weakened state, appealing to his various desires. It is here he is explicitly referred to as ‘the Tempter’ (Mark 4: 1-11, cf Luke 4:1-13). However, the more popular notion that the Devil is the serpent that appears to tempt Adam and Eve in the Garden of Eden is not apparent in the New Testament, rather this is the later work of the Christian Church Fathers. Additionally, the connection with the Devil as a serpent is only made in John 8:44, John 3:10, and Revelation 12-13, and appears to identify more with the chaos monster of the Old Testament Leviathan (Ps. 74:13) and Rahab (Job 26:12) than with the serpent.</w:t>
      </w:r>
    </w:p>
    <w:p w:rsidR="00000000" w:rsidDel="00000000" w:rsidP="00000000" w:rsidRDefault="00000000" w:rsidRPr="00000000" w14:paraId="0000000B">
      <w:pPr>
        <w:rPr>
          <w:highlight w:val="white"/>
        </w:rPr>
      </w:pPr>
      <w:r w:rsidDel="00000000" w:rsidR="00000000" w:rsidRPr="00000000">
        <w:rPr>
          <w:rtl w:val="0"/>
        </w:rPr>
      </w:r>
    </w:p>
    <w:p w:rsidR="00000000" w:rsidDel="00000000" w:rsidP="00000000" w:rsidRDefault="00000000" w:rsidRPr="00000000" w14:paraId="0000000C">
      <w:pPr>
        <w:rPr>
          <w:highlight w:val="white"/>
        </w:rPr>
      </w:pPr>
      <w:r w:rsidDel="00000000" w:rsidR="00000000" w:rsidRPr="00000000">
        <w:rPr>
          <w:highlight w:val="white"/>
          <w:rtl w:val="0"/>
        </w:rPr>
        <w:t xml:space="preserve">It is in the Book of Revelation that we see the methods of Satan change, from the covert role of an influencer and tempter, operating from amongst the shadows, to an outright battle between the forces of good and evil. The story in the Book of Revelation depicts the fall of Satan and his legion due to their defeat in a cosmic battle (Rev 12:7-12), with the forces of good led by the angel Michael, who is the angelic prince and guardian angel of Israel (Dan 10:13,21,12:1), and the forces of evil led by Satan, depicted as a great dragon, and a serpent, again thought to reference the chaos monsters. This story largely draws on the tradition of the Watchers, found in 1 Enoch and Jubilees (which shall be discussed in more detail later), which are made apparent due to the established idea of Satan being the head of his own legion of angels, and his fall resulting in his establishment of his rule on earth, being able to influence his authority over men (cf. Jubilees 10:8).  However, it is with the crucifixion of Jesus that Satan’s grip on the world is weakened, and it is in this regard, that it could be argued that Jesus’s crucifixion can be seen as the ultimate exorcism, meaning that Satan is destined for defeat (John 16:8-11).</w:t>
      </w:r>
    </w:p>
    <w:p w:rsidR="00000000" w:rsidDel="00000000" w:rsidP="00000000" w:rsidRDefault="00000000" w:rsidRPr="00000000" w14:paraId="0000000D">
      <w:pPr>
        <w:rPr>
          <w:highlight w:val="white"/>
        </w:rPr>
      </w:pPr>
      <w:r w:rsidDel="00000000" w:rsidR="00000000" w:rsidRPr="00000000">
        <w:rPr>
          <w:rtl w:val="0"/>
        </w:rPr>
      </w:r>
    </w:p>
    <w:p w:rsidR="00000000" w:rsidDel="00000000" w:rsidP="00000000" w:rsidRDefault="00000000" w:rsidRPr="00000000" w14:paraId="0000000E">
      <w:pPr>
        <w:rPr>
          <w:highlight w:val="white"/>
        </w:rPr>
      </w:pPr>
      <w:r w:rsidDel="00000000" w:rsidR="00000000" w:rsidRPr="00000000">
        <w:rPr>
          <w:highlight w:val="white"/>
          <w:rtl w:val="0"/>
        </w:rPr>
        <w:t xml:space="preserve">The character of Satan in the New Testament is well established. He is the head of his own forces of darkness, he acts as an adversary to the forces of good, and is the antithesis to God and Jesus. But how did the character of Satan come to evolve into the form we are all so familiar with? This is predominantly credited to the works of the Intertestamental Period.</w:t>
      </w:r>
    </w:p>
    <w:p w:rsidR="00000000" w:rsidDel="00000000" w:rsidP="00000000" w:rsidRDefault="00000000" w:rsidRPr="00000000" w14:paraId="0000000F">
      <w:pPr>
        <w:rPr>
          <w:highlight w:val="white"/>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highlight w:val="white"/>
          <w:rtl w:val="0"/>
        </w:rPr>
        <w:t xml:space="preserve">The Intertestamental Period refers to a period of nearly four centuries between the completion of the Hebrew Bible (the Book of Daniel in the early second century BCE) and the composition of the final writings that were assembled to make the New Testament (the Book of Revelations around 100 CE).</w:t>
      </w:r>
      <w:r w:rsidDel="00000000" w:rsidR="00000000" w:rsidRPr="00000000">
        <w:rPr>
          <w:highlight w:val="white"/>
          <w:vertAlign w:val="superscript"/>
        </w:rPr>
        <w:footnoteReference w:customMarkFollows="0" w:id="1"/>
      </w:r>
      <w:r w:rsidDel="00000000" w:rsidR="00000000" w:rsidRPr="00000000">
        <w:rPr>
          <w:highlight w:val="white"/>
          <w:rtl w:val="0"/>
        </w:rPr>
        <w:t xml:space="preserve"> The body of texts produced in this period largely reflects the preoccupation of the Jews with reconciling their beliefs concerning the existence of evil, and how such malevolence could exist despite the omnipotence and inherent goodness of God, a line of questioning that became central due to the political unrest and radical social change experienced at the time, and the wretched conditions suffered by the Jews under foreign occupation and oppression.</w:t>
      </w:r>
      <w:r w:rsidDel="00000000" w:rsidR="00000000" w:rsidRPr="00000000">
        <w:rPr>
          <w:highlight w:val="white"/>
          <w:vertAlign w:val="superscript"/>
        </w:rPr>
        <w:footnoteReference w:customMarkFollows="0" w:id="2"/>
      </w:r>
      <w:r w:rsidDel="00000000" w:rsidR="00000000" w:rsidRPr="00000000">
        <w:rPr>
          <w:highlight w:val="white"/>
          <w:rtl w:val="0"/>
        </w:rPr>
        <w:t xml:space="preserve"> The outcome of such theological questioning was the formulation of a new theory, revealing a ‘cosmic conspiracy’, in which there was an overarching battle between the forces of good and evil,</w:t>
      </w:r>
      <w:r w:rsidDel="00000000" w:rsidR="00000000" w:rsidRPr="00000000">
        <w:rPr>
          <w:highlight w:val="white"/>
          <w:vertAlign w:val="superscript"/>
        </w:rPr>
        <w:footnoteReference w:customMarkFollows="0" w:id="3"/>
      </w:r>
      <w:r w:rsidDel="00000000" w:rsidR="00000000" w:rsidRPr="00000000">
        <w:rPr>
          <w:highlight w:val="white"/>
          <w:rtl w:val="0"/>
        </w:rPr>
        <w:t xml:space="preserve"> and a spiritual being was posited as the head of the forces of darkness directly opposing God, known later as Satan. </w:t>
      </w:r>
    </w:p>
    <w:p w:rsidR="00000000" w:rsidDel="00000000" w:rsidP="00000000" w:rsidRDefault="00000000" w:rsidRPr="00000000" w14:paraId="00000011">
      <w:pPr>
        <w:rPr>
          <w:highlight w:val="white"/>
        </w:rPr>
      </w:pPr>
      <w:r w:rsidDel="00000000" w:rsidR="00000000" w:rsidRPr="00000000">
        <w:rPr>
          <w:rtl w:val="0"/>
        </w:rPr>
      </w:r>
    </w:p>
    <w:p w:rsidR="00000000" w:rsidDel="00000000" w:rsidP="00000000" w:rsidRDefault="00000000" w:rsidRPr="00000000" w14:paraId="00000012">
      <w:pPr>
        <w:rPr>
          <w:highlight w:val="white"/>
        </w:rPr>
      </w:pPr>
      <w:r w:rsidDel="00000000" w:rsidR="00000000" w:rsidRPr="00000000">
        <w:rPr>
          <w:highlight w:val="white"/>
          <w:rtl w:val="0"/>
        </w:rPr>
        <w:t xml:space="preserve">Much of the narrative which helped to conceptualise the forces of evil were constructed from Jewish folklore, as well as biblical passages. Perhaps the most influential biblical passage which inspired later works being Genesis (6:1-4) which mentions the arrival of the Nephilim on earth, who procreated with human women. </w:t>
      </w:r>
      <w:r w:rsidDel="00000000" w:rsidR="00000000" w:rsidRPr="00000000">
        <w:rPr>
          <w:highlight w:val="white"/>
          <w:rtl w:val="0"/>
        </w:rPr>
        <w:t xml:space="preserve">It is here, that we are first properly introduced to the </w:t>
      </w:r>
      <w:r w:rsidDel="00000000" w:rsidR="00000000" w:rsidRPr="00000000">
        <w:rPr>
          <w:i w:val="1"/>
          <w:highlight w:val="white"/>
          <w:rtl w:val="0"/>
        </w:rPr>
        <w:t xml:space="preserve">bene ha-elohim </w:t>
      </w:r>
      <w:r w:rsidDel="00000000" w:rsidR="00000000" w:rsidRPr="00000000">
        <w:rPr>
          <w:highlight w:val="white"/>
          <w:rtl w:val="0"/>
        </w:rPr>
        <w:t xml:space="preserve">(the Sons of God), who make up the heavenly council of God.</w:t>
      </w:r>
      <w:r w:rsidDel="00000000" w:rsidR="00000000" w:rsidRPr="00000000">
        <w:rPr>
          <w:highlight w:val="white"/>
          <w:vertAlign w:val="superscript"/>
        </w:rPr>
        <w:footnoteReference w:customMarkFollows="0" w:id="4"/>
      </w:r>
      <w:r w:rsidDel="00000000" w:rsidR="00000000" w:rsidRPr="00000000">
        <w:rPr>
          <w:highlight w:val="white"/>
          <w:rtl w:val="0"/>
        </w:rPr>
        <w:t xml:space="preserve">  This passage within Genesis relates how the </w:t>
      </w:r>
      <w:r w:rsidDel="00000000" w:rsidR="00000000" w:rsidRPr="00000000">
        <w:rPr>
          <w:i w:val="1"/>
          <w:highlight w:val="white"/>
          <w:rtl w:val="0"/>
        </w:rPr>
        <w:t xml:space="preserve">bene ha-elohim </w:t>
      </w:r>
      <w:r w:rsidDel="00000000" w:rsidR="00000000" w:rsidRPr="00000000">
        <w:rPr>
          <w:highlight w:val="white"/>
          <w:rtl w:val="0"/>
        </w:rPr>
        <w:t xml:space="preserve">transgressed the limits put in place by God between the earthly and heavenly realms, which resulted in the human women giving birth to the Nephilim (the “fallen ones”, but translated by the Septuagint as Giants). Initially, there appears to be nothing ominous about such relations. In fact, it is argued that the reference to their co-existence seems to serve  as a chronological marker, simply noting that the Sons of God came to earth at a time when the Giants were already there.</w:t>
      </w:r>
      <w:r w:rsidDel="00000000" w:rsidR="00000000" w:rsidRPr="00000000">
        <w:rPr>
          <w:highlight w:val="white"/>
          <w:vertAlign w:val="superscript"/>
        </w:rPr>
        <w:footnoteReference w:customMarkFollows="0" w:id="5"/>
      </w:r>
      <w:r w:rsidDel="00000000" w:rsidR="00000000" w:rsidRPr="00000000">
        <w:rPr>
          <w:highlight w:val="white"/>
          <w:rtl w:val="0"/>
        </w:rPr>
        <w:t xml:space="preserve"> Subsequently, God ‘saw the wickedness of Humankind was great in the Earth’ and sought to destroy them, with the exception of Noah (Genesis 6:5-8). It is important to note here that the punishment of the flood was not attributed to the sin of the Sons of God, but rather humans themselves. Despite the text not alluding to a specific connection between these two events, it was the writers of the Intertestamental Period who found connections in all of it, perhaps the most celebrated set of reactions found in the Book of Enoch.</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rPr>
          <w:highlight w:val="white"/>
        </w:rPr>
      </w:pPr>
      <w:r w:rsidDel="00000000" w:rsidR="00000000" w:rsidRPr="00000000">
        <w:rPr>
          <w:highlight w:val="white"/>
          <w:rtl w:val="0"/>
        </w:rPr>
        <w:t xml:space="preserve">The Book of Enoch is an Intertestamental, pseudo-epigraphic work, thought to be dated around the early Second century BCE. The most relevant text within the book regarding the development of Satan can be found in a collection of tales known as the ‘Book of the Watchers’. One such tale expands on the passage previously mentioned in Genesis, about the Sons of God (known as the Watchers), providing an alternative myth to the Genesis story about the origin of evil in the world. The main revelation found in 1 Enoch, is that two-hundred angels (Watchers) who were appointed by God to watch over the earth, abandoned their divine supervisory roles, by lusting after human women and fornicating with them. Two traditions emerged almost simultaneously from the same narratives; the Semyaza tradition, and the Azaz’el tradition.</w:t>
      </w:r>
    </w:p>
    <w:p w:rsidR="00000000" w:rsidDel="00000000" w:rsidP="00000000" w:rsidRDefault="00000000" w:rsidRPr="00000000" w14:paraId="00000015">
      <w:pPr>
        <w:rPr>
          <w:highlight w:val="white"/>
        </w:rPr>
      </w:pPr>
      <w:r w:rsidDel="00000000" w:rsidR="00000000" w:rsidRPr="00000000">
        <w:rPr>
          <w:rtl w:val="0"/>
        </w:rPr>
      </w:r>
    </w:p>
    <w:p w:rsidR="00000000" w:rsidDel="00000000" w:rsidP="00000000" w:rsidRDefault="00000000" w:rsidRPr="00000000" w14:paraId="00000016">
      <w:pPr>
        <w:rPr>
          <w:highlight w:val="white"/>
        </w:rPr>
      </w:pPr>
      <w:r w:rsidDel="00000000" w:rsidR="00000000" w:rsidRPr="00000000">
        <w:rPr>
          <w:highlight w:val="white"/>
          <w:rtl w:val="0"/>
        </w:rPr>
        <w:t xml:space="preserve">Semyaza is identified as the leader of the Watchers. He and his cohort glimpse the daughters of men and desired them, and they devise a plan to descend to them. Semyaza considers the plan to be sinful (1 Enoch 6:3), so in order to fulfil their plan, they swear an oath to one another to unite at Mount Hermon (1 Enoch 6:6). The result of subsequent forbidden relations with their wives was, as previously mentioned, the birth of the Giants. However, unlike the morally ambiguous Giants mentioned in Genesis (6:1-4), it is in this text that the Giants are explicitly proclaimed to be malevolent in nature, having brought violence upon the earth, turning against men, eachother, and devouring the fruits of their labours (1 Enoch 7: 3-5). Ultimately, the birth of these Giants represents the birth of evil in to the world, creating such dysfunction in the cosmic order that it necessitated the punishment of the Flood to cleanse the earth.</w:t>
      </w:r>
      <w:r w:rsidDel="00000000" w:rsidR="00000000" w:rsidRPr="00000000">
        <w:rPr>
          <w:highlight w:val="white"/>
          <w:vertAlign w:val="superscript"/>
        </w:rPr>
        <w:footnoteReference w:customMarkFollows="0" w:id="6"/>
      </w:r>
      <w:r w:rsidDel="00000000" w:rsidR="00000000" w:rsidRPr="00000000">
        <w:rPr>
          <w:rtl w:val="0"/>
        </w:rPr>
      </w:r>
    </w:p>
    <w:p w:rsidR="00000000" w:rsidDel="00000000" w:rsidP="00000000" w:rsidRDefault="00000000" w:rsidRPr="00000000" w14:paraId="00000017">
      <w:pPr>
        <w:rPr>
          <w:highlight w:val="white"/>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While the primary sin committed by these Watcher angels was lust, this was not their only transgression. Not only did they take wives and mate with them, but they also taught them the forbidden arts of magic, and it is here that particular attention is given to the Watcher Azazel, one of the generals under Semyaza (1 Enoch 6:7). All the Watchers who came to earth were found guilty of teaching these human women forbidden things, such as charms, spells, astrology and cutting the roots of plants (1 Enoch 7:1), but it appears that Azazel’s teachings had the most significant impact. He taught the secrets of metallurgy, which allowed for the creation of weapons, as well as making bracelets and precious stones, and taught the women cosmetology and the use of dyes (1 Enoch 8:1). It was these teachings that are credited with leading humanity astray, inciting violence, greed and lust amongst humans. In fact, the author of Enoch credits the existence of sin to Azazel exclusively, stating: ‘And the whole Earth had been ruined by the teaching of the works of Azazel; and against him write: ALL SIN’ (1 Enoch 10:8). This equates him to more than a mere ‘cosmic lackey’, but actually characterizes him as the sole corruptor of humanity, putting him in direct opposition to God, fulfilling the role which we now associate with the modern depictions of Satan.</w:t>
      </w:r>
      <w:r w:rsidDel="00000000" w:rsidR="00000000" w:rsidRPr="00000000">
        <w:rPr>
          <w:highlight w:val="white"/>
          <w:vertAlign w:val="superscript"/>
        </w:rPr>
        <w:footnoteReference w:customMarkFollows="0" w:id="7"/>
      </w:r>
      <w:r w:rsidDel="00000000" w:rsidR="00000000" w:rsidRPr="00000000">
        <w:rPr>
          <w:highlight w:val="white"/>
          <w:rtl w:val="0"/>
        </w:rPr>
        <w:t xml:space="preserve"> With this characterization in mind, it is interesting to note that in the final chapters, (1 Enoch 37-71) the name of Satan appears to replace Azazel, becoming the more popular designation for the ‘Evil One’.</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highlight w:val="white"/>
        </w:rPr>
      </w:pPr>
      <w:r w:rsidDel="00000000" w:rsidR="00000000" w:rsidRPr="00000000">
        <w:rPr>
          <w:highlight w:val="white"/>
          <w:rtl w:val="0"/>
        </w:rPr>
        <w:t xml:space="preserve">The entire section is concluded by reporting the punishment of the Watchers. Azazel was punished by the angel Raphael, where he was bound ‘hand and foot’ and thrown into the darkness where the Watchers are destined to remain until the Day of Judgement (1 Enoch 10: 4-7). Semyaza and his companions are bound by Michael for ‘seventy generations’, and are forced to watch their offspring perish in the devastation of the Flood (1 Enoch 10:11-12). Ultimately, the Book of Enoch had a significant impact on the development of the characterization of Satan. The growing separation of the Watcher Angels from God allowed the author of Enoch to preserve the goodness of God, whilst clearing the way for the leader of darkness to emerge, (Semyaza/Azazel) and become the antithesis of God, which we would later know as Satan.</w:t>
      </w:r>
    </w:p>
    <w:p w:rsidR="00000000" w:rsidDel="00000000" w:rsidP="00000000" w:rsidRDefault="00000000" w:rsidRPr="00000000" w14:paraId="0000001B">
      <w:pPr>
        <w:rPr>
          <w:highlight w:val="white"/>
        </w:rPr>
      </w:pPr>
      <w:r w:rsidDel="00000000" w:rsidR="00000000" w:rsidRPr="00000000">
        <w:rPr>
          <w:rtl w:val="0"/>
        </w:rPr>
      </w:r>
    </w:p>
    <w:p w:rsidR="00000000" w:rsidDel="00000000" w:rsidP="00000000" w:rsidRDefault="00000000" w:rsidRPr="00000000" w14:paraId="0000001C">
      <w:pPr>
        <w:rPr>
          <w:highlight w:val="white"/>
        </w:rPr>
      </w:pPr>
      <w:r w:rsidDel="00000000" w:rsidR="00000000" w:rsidRPr="00000000">
        <w:rPr>
          <w:highlight w:val="white"/>
          <w:rtl w:val="0"/>
        </w:rPr>
        <w:t xml:space="preserve">Another significant text in the characterization of Satan during this period was the Book of Jubilees, thought to be written between 160-140 BCE, which systematically absorbed and refashioned the early tradition of the Watchers previously mentioned. According to Jubilees, the Watcher Angels descended to earth for the noble cause of teaching humans justice and righteousness, but soon became distracted and abandoned their cause due to their lust, thus spawning the giants, ‘who are cruel, and created to destroy’ (Jub 10:6). The author of this text does not acknowledge the binding and punishment of these Watches as detailed in 1 Enoch, but rather alludes to their continued existence on Earth, swaying the moral ambivalence and praying on the vulnerabilities of every human being.</w:t>
      </w:r>
      <w:r w:rsidDel="00000000" w:rsidR="00000000" w:rsidRPr="00000000">
        <w:rPr>
          <w:highlight w:val="white"/>
          <w:vertAlign w:val="superscript"/>
        </w:rPr>
        <w:footnoteReference w:customMarkFollows="0" w:id="8"/>
      </w:r>
      <w:r w:rsidDel="00000000" w:rsidR="00000000" w:rsidRPr="00000000">
        <w:rPr>
          <w:rtl w:val="0"/>
        </w:rPr>
      </w:r>
    </w:p>
    <w:p w:rsidR="00000000" w:rsidDel="00000000" w:rsidP="00000000" w:rsidRDefault="00000000" w:rsidRPr="00000000" w14:paraId="0000001D">
      <w:pPr>
        <w:rPr>
          <w:highlight w:val="white"/>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The primary focus of Jubilees is not the Watchers. It is only in the narrative following the Flood, in which the children of Noah’s sons are lead astray to error and destruction (Jub 10:1-2) that it is identified that the demons originated from the offspring of the Watchers (Jub 10:5). Noah prays to God to not let the wicked spirits rule over them. God answers Noah’s prayer, binding nine-tenths of the demons and leaving one-tenth to work under the leadership of a being named Mastema (which translates to the ‘instigator’ or ‘animosity’,</w:t>
      </w:r>
      <w:r w:rsidDel="00000000" w:rsidR="00000000" w:rsidRPr="00000000">
        <w:rPr>
          <w:highlight w:val="white"/>
          <w:vertAlign w:val="superscript"/>
        </w:rPr>
        <w:footnoteReference w:customMarkFollows="0" w:id="9"/>
      </w:r>
      <w:r w:rsidDel="00000000" w:rsidR="00000000" w:rsidRPr="00000000">
        <w:rPr>
          <w:highlight w:val="white"/>
          <w:rtl w:val="0"/>
        </w:rPr>
        <w:t xml:space="preserve"> who is described as ‘chief of the spirits’ (Jub 10: 7-9). This is the first introduction we have to the head of a newly-developed demonic hierarchy, but certainly not the last.</w:t>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rPr>
          <w:highlight w:val="white"/>
        </w:rPr>
      </w:pPr>
      <w:r w:rsidDel="00000000" w:rsidR="00000000" w:rsidRPr="00000000">
        <w:rPr>
          <w:highlight w:val="white"/>
          <w:rtl w:val="0"/>
        </w:rPr>
        <w:t xml:space="preserve">It is worth noting that the author of Jubilee not only absorbed much of the tradition of the Watchers found in 1 Enoch, but also rewrites the events that take place in Genesis and Exodus, attributing the more unsavoury deeds committed by God to this newly established head of evil. An example of such editing being the story of Genesis 22, in which initially it is God who asks Abraham to sacrifice his son Isaac in order to please the Lord. Comparatively, in Jubilees, the decree is issued by none other than Mastema (Jub 17:15-18). A similar event occurs in Exodus (4:24), in which God’s attempted murder of Moses due to him not being circumcised, was also credited to the work of Mastema (Jub 48:2-3).</w:t>
      </w:r>
    </w:p>
    <w:p w:rsidR="00000000" w:rsidDel="00000000" w:rsidP="00000000" w:rsidRDefault="00000000" w:rsidRPr="00000000" w14:paraId="00000021">
      <w:pPr>
        <w:rPr>
          <w:highlight w:val="white"/>
        </w:rPr>
      </w:pPr>
      <w:r w:rsidDel="00000000" w:rsidR="00000000" w:rsidRPr="00000000">
        <w:rPr>
          <w:rtl w:val="0"/>
        </w:rPr>
      </w:r>
    </w:p>
    <w:p w:rsidR="00000000" w:rsidDel="00000000" w:rsidP="00000000" w:rsidRDefault="00000000" w:rsidRPr="00000000" w14:paraId="00000022">
      <w:pPr>
        <w:rPr>
          <w:highlight w:val="white"/>
        </w:rPr>
      </w:pPr>
      <w:r w:rsidDel="00000000" w:rsidR="00000000" w:rsidRPr="00000000">
        <w:rPr>
          <w:highlight w:val="white"/>
          <w:rtl w:val="0"/>
        </w:rPr>
        <w:t xml:space="preserve"> The influence of the characters found in 1 Enoch (Azazel/Semyaza) are clearly manifested here. While Azazel/ Semyaza are portrayed as rebellious leaders, the writer of Jubilees establishes Mastema as an ‘angel of adversity’, with a legion of subordinates that were allotted to him by God, giving him permission to exercise his authority among the children of men, because the evil of men is great (Jub 10:8).</w:t>
      </w:r>
      <w:r w:rsidDel="00000000" w:rsidR="00000000" w:rsidRPr="00000000">
        <w:rPr>
          <w:highlight w:val="white"/>
          <w:vertAlign w:val="superscript"/>
        </w:rPr>
        <w:footnoteReference w:customMarkFollows="0" w:id="10"/>
      </w:r>
      <w:r w:rsidDel="00000000" w:rsidR="00000000" w:rsidRPr="00000000">
        <w:rPr>
          <w:highlight w:val="white"/>
          <w:rtl w:val="0"/>
        </w:rPr>
        <w:t xml:space="preserve"> However, there is still a lack of clarity regarding Mastema’s role. While it is clear he operates with God’s permission, it is unclear as to whether he is the direct cause of human suffering, perhaps undertaking the role as the disciplinarian of humankind, or if he is simply taking advantage of human inclination towards evil.</w:t>
      </w:r>
      <w:r w:rsidDel="00000000" w:rsidR="00000000" w:rsidRPr="00000000">
        <w:rPr>
          <w:highlight w:val="white"/>
          <w:vertAlign w:val="superscript"/>
        </w:rPr>
        <w:footnoteReference w:customMarkFollows="0" w:id="11"/>
      </w:r>
      <w:r w:rsidDel="00000000" w:rsidR="00000000" w:rsidRPr="00000000">
        <w:rPr>
          <w:highlight w:val="white"/>
          <w:rtl w:val="0"/>
        </w:rPr>
        <w:t xml:space="preserve"> What is clear however, is that the identity of the Satan we come to know in the New Testament (cf Rev 12:7-12) is beginning to take form.</w:t>
      </w:r>
    </w:p>
    <w:p w:rsidR="00000000" w:rsidDel="00000000" w:rsidP="00000000" w:rsidRDefault="00000000" w:rsidRPr="00000000" w14:paraId="00000023">
      <w:pPr>
        <w:rPr>
          <w:highlight w:val="white"/>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highlight w:val="white"/>
          <w:rtl w:val="0"/>
        </w:rPr>
        <w:t xml:space="preserve">In 1947, the Dead Sea Scrolls were discovered in a series of caves near the Dead Sea, on the West Bank of the Jordan River. These ancient texts are attributed to the Qumran community, also known as the Essenes. The Qumran literature demonstrates that the community held a dualistic worldview, that Satan is an evil leader who commanded his own legion against the forces of good, and that is an on-going cosmic battle between the two. </w:t>
      </w:r>
    </w:p>
    <w:p w:rsidR="00000000" w:rsidDel="00000000" w:rsidP="00000000" w:rsidRDefault="00000000" w:rsidRPr="00000000" w14:paraId="00000025">
      <w:pPr>
        <w:rPr>
          <w:highlight w:val="white"/>
        </w:rPr>
      </w:pPr>
      <w:r w:rsidDel="00000000" w:rsidR="00000000" w:rsidRPr="00000000">
        <w:rPr>
          <w:highlight w:val="white"/>
          <w:rtl w:val="0"/>
        </w:rPr>
        <w:t xml:space="preserve">This was inspired by much of the combat terminology found in its neighbouring religions, as well as Persian dualism, demonstrating that this view was one that was well established by this time period  (around the first century CE).</w:t>
      </w:r>
      <w:r w:rsidDel="00000000" w:rsidR="00000000" w:rsidRPr="00000000">
        <w:rPr>
          <w:highlight w:val="white"/>
          <w:vertAlign w:val="superscript"/>
        </w:rPr>
        <w:footnoteReference w:customMarkFollows="0" w:id="12"/>
      </w:r>
      <w:r w:rsidDel="00000000" w:rsidR="00000000" w:rsidRPr="00000000">
        <w:rPr>
          <w:highlight w:val="white"/>
          <w:rtl w:val="0"/>
        </w:rPr>
        <w:t xml:space="preserve"> The dualistic view of the Essenes is perhaps best reflected in their Two-Spirit Treatise (cf. 1QS 3:13-4:26).</w:t>
      </w:r>
    </w:p>
    <w:p w:rsidR="00000000" w:rsidDel="00000000" w:rsidP="00000000" w:rsidRDefault="00000000" w:rsidRPr="00000000" w14:paraId="00000026">
      <w:pPr>
        <w:rPr>
          <w:highlight w:val="white"/>
        </w:rPr>
      </w:pPr>
      <w:r w:rsidDel="00000000" w:rsidR="00000000" w:rsidRPr="00000000">
        <w:rPr>
          <w:rtl w:val="0"/>
        </w:rPr>
      </w:r>
    </w:p>
    <w:p w:rsidR="00000000" w:rsidDel="00000000" w:rsidP="00000000" w:rsidRDefault="00000000" w:rsidRPr="00000000" w14:paraId="00000027">
      <w:pPr>
        <w:rPr>
          <w:highlight w:val="white"/>
        </w:rPr>
      </w:pPr>
      <w:r w:rsidDel="00000000" w:rsidR="00000000" w:rsidRPr="00000000">
        <w:rPr>
          <w:highlight w:val="white"/>
          <w:rtl w:val="0"/>
        </w:rPr>
        <w:t xml:space="preserve">It must also be noted that  Both 1 Enoch and Jubilees were significant in the  development of  Qumran demonology, with 1 Enoch constructing the origin and nature of the demons, and Jubilees highlighting the functions and activities of these beings, (primarily that of Mastema) and establishing a demonic hierarchy. The influences of both texts can be found in the Qumran communities characterization of evil. The War Scroll in particular addresses the head of evil forces as Belial (meaning Worthlessness), who is the Angel of Mastema (animosity) (cf. 1QM 13:4-11). As the Dead Sea Scrolls were lost for centuries until some decades ago, it would be near impossible to assess if they had any influence on the characterization of Satan in their surrounding areas, but it would be reasonable to assume that their influence was minimal, due to their contact with the world outside of their community being limited. Instead, it would be best to view their characterization of Satan as a reflection of already well-established views in their time period and surrounding neighbours.</w:t>
      </w:r>
    </w:p>
    <w:p w:rsidR="00000000" w:rsidDel="00000000" w:rsidP="00000000" w:rsidRDefault="00000000" w:rsidRPr="00000000" w14:paraId="00000028">
      <w:pPr>
        <w:rPr>
          <w:highlight w:val="white"/>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highlight w:val="white"/>
          <w:rtl w:val="0"/>
        </w:rPr>
        <w:t xml:space="preserve">In conclusion, the role of Intertestamental literature in the characterization of Satan in the New Testament cannot be overstated. While only a fraction of such textual evidence has been analysed here, it can be established that the literature produced in this time period demonstrated the formulation of Satan as an adversary figure, the antithesis to all the forces of good, to God, and those that follow him.</w:t>
      </w: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rtl w:val="0"/>
        </w:rPr>
      </w:r>
    </w:p>
    <w:p w:rsidR="00000000" w:rsidDel="00000000" w:rsidP="00000000" w:rsidRDefault="00000000" w:rsidRPr="00000000" w14:paraId="0000002C">
      <w:pPr>
        <w:rPr>
          <w:highlight w:val="white"/>
        </w:rPr>
      </w:pPr>
      <w:r w:rsidDel="00000000" w:rsidR="00000000" w:rsidRPr="00000000">
        <w:rPr>
          <w:rtl w:val="0"/>
        </w:rPr>
      </w:r>
    </w:p>
    <w:p w:rsidR="00000000" w:rsidDel="00000000" w:rsidP="00000000" w:rsidRDefault="00000000" w:rsidRPr="00000000" w14:paraId="0000002D">
      <w:pPr>
        <w:rPr>
          <w:highlight w:val="white"/>
        </w:rPr>
      </w:pPr>
      <w:r w:rsidDel="00000000" w:rsidR="00000000" w:rsidRPr="00000000">
        <w:rPr>
          <w:rtl w:val="0"/>
        </w:rPr>
      </w:r>
    </w:p>
    <w:p w:rsidR="00000000" w:rsidDel="00000000" w:rsidP="00000000" w:rsidRDefault="00000000" w:rsidRPr="00000000" w14:paraId="0000002E">
      <w:pPr>
        <w:spacing w:before="100" w:lineRule="auto"/>
        <w:jc w:val="both"/>
        <w:rPr>
          <w:sz w:val="18"/>
          <w:szCs w:val="18"/>
          <w:highlight w:val="white"/>
        </w:rPr>
      </w:pPr>
      <w:r w:rsidDel="00000000" w:rsidR="00000000" w:rsidRPr="00000000">
        <w:rPr>
          <w:rtl w:val="0"/>
        </w:rPr>
      </w:r>
    </w:p>
    <w:p w:rsidR="00000000" w:rsidDel="00000000" w:rsidP="00000000" w:rsidRDefault="00000000" w:rsidRPr="00000000" w14:paraId="0000002F">
      <w:pPr>
        <w:rPr>
          <w:b w:val="1"/>
          <w:sz w:val="28"/>
          <w:szCs w:val="28"/>
          <w:highlight w:val="white"/>
          <w:u w:val="single"/>
        </w:rPr>
      </w:pPr>
      <w:r w:rsidDel="00000000" w:rsidR="00000000" w:rsidRPr="00000000">
        <w:rPr>
          <w:b w:val="1"/>
          <w:sz w:val="28"/>
          <w:szCs w:val="28"/>
          <w:highlight w:val="white"/>
          <w:u w:val="single"/>
          <w:rtl w:val="0"/>
        </w:rPr>
        <w:t xml:space="preserve">Bibliography</w:t>
      </w:r>
    </w:p>
    <w:p w:rsidR="00000000" w:rsidDel="00000000" w:rsidP="00000000" w:rsidRDefault="00000000" w:rsidRPr="00000000" w14:paraId="00000030">
      <w:pPr>
        <w:rPr>
          <w:b w:val="1"/>
          <w:sz w:val="28"/>
          <w:szCs w:val="28"/>
          <w:highlight w:val="white"/>
          <w:u w:val="single"/>
        </w:rPr>
      </w:pPr>
      <w:r w:rsidDel="00000000" w:rsidR="00000000" w:rsidRPr="00000000">
        <w:rPr>
          <w:rtl w:val="0"/>
        </w:rPr>
      </w:r>
    </w:p>
    <w:p w:rsidR="00000000" w:rsidDel="00000000" w:rsidP="00000000" w:rsidRDefault="00000000" w:rsidRPr="00000000" w14:paraId="00000031">
      <w:pPr>
        <w:rPr>
          <w:sz w:val="24"/>
          <w:szCs w:val="24"/>
          <w:highlight w:val="white"/>
        </w:rPr>
      </w:pPr>
      <w:r w:rsidDel="00000000" w:rsidR="00000000" w:rsidRPr="00000000">
        <w:rPr>
          <w:sz w:val="24"/>
          <w:szCs w:val="24"/>
          <w:highlight w:val="white"/>
          <w:rtl w:val="0"/>
        </w:rPr>
        <w:t xml:space="preserve">Fröhlich, Ida &amp; Koskenniemi, Erkki </w:t>
      </w:r>
      <w:r w:rsidDel="00000000" w:rsidR="00000000" w:rsidRPr="00000000">
        <w:rPr>
          <w:i w:val="1"/>
          <w:sz w:val="24"/>
          <w:szCs w:val="24"/>
          <w:highlight w:val="white"/>
          <w:rtl w:val="0"/>
        </w:rPr>
        <w:t xml:space="preserve">Evil and the Devil, </w:t>
      </w:r>
      <w:r w:rsidDel="00000000" w:rsidR="00000000" w:rsidRPr="00000000">
        <w:rPr>
          <w:sz w:val="24"/>
          <w:szCs w:val="24"/>
          <w:highlight w:val="white"/>
          <w:rtl w:val="0"/>
        </w:rPr>
        <w:t xml:space="preserve">Bloomsbury Publishing, London, UK (2013)</w:t>
      </w:r>
      <w:r w:rsidDel="00000000" w:rsidR="00000000" w:rsidRPr="00000000">
        <w:rPr>
          <w:rtl w:val="0"/>
        </w:rPr>
      </w:r>
    </w:p>
    <w:p w:rsidR="00000000" w:rsidDel="00000000" w:rsidP="00000000" w:rsidRDefault="00000000" w:rsidRPr="00000000" w14:paraId="00000032">
      <w:pPr>
        <w:rPr>
          <w:b w:val="1"/>
          <w:sz w:val="24"/>
          <w:szCs w:val="24"/>
          <w:highlight w:val="white"/>
          <w:u w:val="single"/>
        </w:rPr>
      </w:pPr>
      <w:r w:rsidDel="00000000" w:rsidR="00000000" w:rsidRPr="00000000">
        <w:rPr>
          <w:rtl w:val="0"/>
        </w:rPr>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Kelly, Henry Ansgar </w:t>
      </w:r>
      <w:r w:rsidDel="00000000" w:rsidR="00000000" w:rsidRPr="00000000">
        <w:rPr>
          <w:i w:val="1"/>
          <w:sz w:val="24"/>
          <w:szCs w:val="24"/>
          <w:highlight w:val="white"/>
          <w:rtl w:val="0"/>
        </w:rPr>
        <w:t xml:space="preserve">Satan: A Biography, </w:t>
      </w:r>
      <w:r w:rsidDel="00000000" w:rsidR="00000000" w:rsidRPr="00000000">
        <w:rPr>
          <w:sz w:val="24"/>
          <w:szCs w:val="24"/>
          <w:highlight w:val="white"/>
          <w:rtl w:val="0"/>
        </w:rPr>
        <w:t xml:space="preserve">Cambridge University Press, Cambridge, UK (2006)</w:t>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sz w:val="24"/>
          <w:szCs w:val="24"/>
          <w:highlight w:val="white"/>
          <w:rtl w:val="0"/>
        </w:rPr>
        <w:t xml:space="preserve">Pagels, Elaine </w:t>
      </w:r>
      <w:r w:rsidDel="00000000" w:rsidR="00000000" w:rsidRPr="00000000">
        <w:rPr>
          <w:i w:val="1"/>
          <w:sz w:val="24"/>
          <w:szCs w:val="24"/>
          <w:highlight w:val="white"/>
          <w:rtl w:val="0"/>
        </w:rPr>
        <w:t xml:space="preserve">The Origin of Satan, </w:t>
      </w:r>
      <w:r w:rsidDel="00000000" w:rsidR="00000000" w:rsidRPr="00000000">
        <w:rPr>
          <w:sz w:val="24"/>
          <w:szCs w:val="24"/>
          <w:highlight w:val="white"/>
          <w:rtl w:val="0"/>
        </w:rPr>
        <w:t xml:space="preserve">Vintage Books, New York, USA (1995)</w:t>
      </w:r>
    </w:p>
    <w:p w:rsidR="00000000" w:rsidDel="00000000" w:rsidP="00000000" w:rsidRDefault="00000000" w:rsidRPr="00000000" w14:paraId="00000036">
      <w:pPr>
        <w:rPr>
          <w:sz w:val="24"/>
          <w:szCs w:val="24"/>
          <w:highlight w:val="white"/>
        </w:rPr>
      </w:pPr>
      <w:r w:rsidDel="00000000" w:rsidR="00000000" w:rsidRPr="00000000">
        <w:rPr>
          <w:rtl w:val="0"/>
        </w:rPr>
      </w:r>
    </w:p>
    <w:p w:rsidR="00000000" w:rsidDel="00000000" w:rsidP="00000000" w:rsidRDefault="00000000" w:rsidRPr="00000000" w14:paraId="00000037">
      <w:pPr>
        <w:rPr>
          <w:sz w:val="24"/>
          <w:szCs w:val="24"/>
          <w:highlight w:val="white"/>
        </w:rPr>
      </w:pPr>
      <w:r w:rsidDel="00000000" w:rsidR="00000000" w:rsidRPr="00000000">
        <w:rPr>
          <w:sz w:val="24"/>
          <w:szCs w:val="24"/>
          <w:highlight w:val="white"/>
          <w:rtl w:val="0"/>
        </w:rPr>
        <w:t xml:space="preserve">Russell, Jeffrey Burton </w:t>
      </w:r>
      <w:r w:rsidDel="00000000" w:rsidR="00000000" w:rsidRPr="00000000">
        <w:rPr>
          <w:i w:val="1"/>
          <w:sz w:val="24"/>
          <w:szCs w:val="24"/>
          <w:highlight w:val="white"/>
          <w:rtl w:val="0"/>
        </w:rPr>
        <w:t xml:space="preserve">The Prince of Darkness: Radical Evil and the Power of Good in History, </w:t>
      </w:r>
      <w:r w:rsidDel="00000000" w:rsidR="00000000" w:rsidRPr="00000000">
        <w:rPr>
          <w:sz w:val="24"/>
          <w:szCs w:val="24"/>
          <w:highlight w:val="white"/>
          <w:rtl w:val="0"/>
        </w:rPr>
        <w:t xml:space="preserve">Cornell University Press, New York, USA (1988)</w:t>
      </w:r>
    </w:p>
    <w:p w:rsidR="00000000" w:rsidDel="00000000" w:rsidP="00000000" w:rsidRDefault="00000000" w:rsidRPr="00000000" w14:paraId="00000038">
      <w:pPr>
        <w:rPr>
          <w:b w:val="1"/>
          <w:sz w:val="28"/>
          <w:szCs w:val="28"/>
          <w:highlight w:val="white"/>
        </w:rPr>
      </w:pPr>
      <w:r w:rsidDel="00000000" w:rsidR="00000000" w:rsidRPr="00000000">
        <w:rPr>
          <w:rtl w:val="0"/>
        </w:rPr>
      </w:r>
    </w:p>
    <w:p w:rsidR="00000000" w:rsidDel="00000000" w:rsidP="00000000" w:rsidRDefault="00000000" w:rsidRPr="00000000" w14:paraId="00000039">
      <w:pPr>
        <w:rPr>
          <w:sz w:val="24"/>
          <w:szCs w:val="24"/>
          <w:highlight w:val="white"/>
        </w:rPr>
      </w:pPr>
      <w:r w:rsidDel="00000000" w:rsidR="00000000" w:rsidRPr="00000000">
        <w:rPr>
          <w:sz w:val="24"/>
          <w:szCs w:val="24"/>
          <w:highlight w:val="white"/>
          <w:rtl w:val="0"/>
        </w:rPr>
        <w:t xml:space="preserve">Wray, T.J. &amp; Mobley, Gregory </w:t>
      </w:r>
      <w:r w:rsidDel="00000000" w:rsidR="00000000" w:rsidRPr="00000000">
        <w:rPr>
          <w:i w:val="1"/>
          <w:sz w:val="24"/>
          <w:szCs w:val="24"/>
          <w:highlight w:val="white"/>
          <w:rtl w:val="0"/>
        </w:rPr>
        <w:t xml:space="preserve">The Birth of Satan</w:t>
      </w:r>
      <w:r w:rsidDel="00000000" w:rsidR="00000000" w:rsidRPr="00000000">
        <w:rPr>
          <w:sz w:val="24"/>
          <w:szCs w:val="24"/>
          <w:highlight w:val="white"/>
          <w:rtl w:val="0"/>
        </w:rPr>
        <w:t xml:space="preserve">, Palgrave Macmillan, Basingstoke, UK, (2005)</w:t>
      </w:r>
    </w:p>
    <w:p w:rsidR="00000000" w:rsidDel="00000000" w:rsidP="00000000" w:rsidRDefault="00000000" w:rsidRPr="00000000" w14:paraId="0000003A">
      <w:pPr>
        <w:rPr>
          <w:b w:val="1"/>
          <w:sz w:val="28"/>
          <w:szCs w:val="28"/>
          <w:highlight w:val="white"/>
        </w:rPr>
      </w:pPr>
      <w:r w:rsidDel="00000000" w:rsidR="00000000" w:rsidRPr="00000000">
        <w:rPr>
          <w:rtl w:val="0"/>
        </w:rPr>
      </w:r>
    </w:p>
    <w:p w:rsidR="00000000" w:rsidDel="00000000" w:rsidP="00000000" w:rsidRDefault="00000000" w:rsidRPr="00000000" w14:paraId="0000003B">
      <w:pPr>
        <w:rPr>
          <w:highlight w:val="white"/>
        </w:rPr>
      </w:pPr>
      <w:r w:rsidDel="00000000" w:rsidR="00000000" w:rsidRPr="00000000">
        <w:rPr>
          <w:rtl w:val="0"/>
        </w:rPr>
      </w:r>
    </w:p>
    <w:p w:rsidR="00000000" w:rsidDel="00000000" w:rsidP="00000000" w:rsidRDefault="00000000" w:rsidRPr="00000000" w14:paraId="0000003C">
      <w:pPr>
        <w:rPr>
          <w:sz w:val="18"/>
          <w:szCs w:val="18"/>
          <w:highlight w:val="white"/>
        </w:rPr>
      </w:pPr>
      <w:r w:rsidDel="00000000" w:rsidR="00000000" w:rsidRPr="00000000">
        <w:rPr>
          <w:rtl w:val="0"/>
        </w:rPr>
      </w:r>
    </w:p>
    <w:p w:rsidR="00000000" w:rsidDel="00000000" w:rsidP="00000000" w:rsidRDefault="00000000" w:rsidRPr="00000000" w14:paraId="0000003D">
      <w:pPr>
        <w:rPr>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T.J. Wray &amp; Gregory Mobley </w:t>
      </w:r>
      <w:r w:rsidDel="00000000" w:rsidR="00000000" w:rsidRPr="00000000">
        <w:rPr>
          <w:i w:val="1"/>
          <w:sz w:val="20"/>
          <w:szCs w:val="20"/>
          <w:rtl w:val="0"/>
        </w:rPr>
        <w:t xml:space="preserve">The Birth of Satan </w:t>
      </w:r>
      <w:r w:rsidDel="00000000" w:rsidR="00000000" w:rsidRPr="00000000">
        <w:rPr>
          <w:sz w:val="20"/>
          <w:szCs w:val="20"/>
          <w:rtl w:val="0"/>
        </w:rPr>
        <w:t xml:space="preserve">(2005)</w:t>
      </w:r>
      <w:r w:rsidDel="00000000" w:rsidR="00000000" w:rsidRPr="00000000">
        <w:rPr>
          <w:i w:val="1"/>
          <w:sz w:val="20"/>
          <w:szCs w:val="20"/>
          <w:rtl w:val="0"/>
        </w:rPr>
        <w:t xml:space="preserve"> </w:t>
      </w:r>
      <w:r w:rsidDel="00000000" w:rsidR="00000000" w:rsidRPr="00000000">
        <w:rPr>
          <w:sz w:val="20"/>
          <w:szCs w:val="20"/>
          <w:rtl w:val="0"/>
        </w:rPr>
        <w:t xml:space="preserve">pg 95</w:t>
      </w:r>
    </w:p>
  </w:footnote>
  <w:footnote w:id="2">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 J.B. Russell </w:t>
      </w:r>
      <w:r w:rsidDel="00000000" w:rsidR="00000000" w:rsidRPr="00000000">
        <w:rPr>
          <w:i w:val="1"/>
          <w:sz w:val="20"/>
          <w:szCs w:val="20"/>
          <w:highlight w:val="white"/>
          <w:rtl w:val="0"/>
        </w:rPr>
        <w:t xml:space="preserve">The Prince of Darkness </w:t>
      </w:r>
      <w:r w:rsidDel="00000000" w:rsidR="00000000" w:rsidRPr="00000000">
        <w:rPr>
          <w:sz w:val="20"/>
          <w:szCs w:val="20"/>
          <w:highlight w:val="white"/>
          <w:rtl w:val="0"/>
        </w:rPr>
        <w:t xml:space="preserve"> (1988) </w:t>
      </w:r>
      <w:r w:rsidDel="00000000" w:rsidR="00000000" w:rsidRPr="00000000">
        <w:rPr>
          <w:sz w:val="20"/>
          <w:szCs w:val="20"/>
          <w:rtl w:val="0"/>
        </w:rPr>
        <w:t xml:space="preserve">pg 32</w:t>
      </w:r>
    </w:p>
  </w:footnote>
  <w:footnote w:id="3">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Wray &amp; Mobley </w:t>
      </w:r>
      <w:r w:rsidDel="00000000" w:rsidR="00000000" w:rsidRPr="00000000">
        <w:rPr>
          <w:i w:val="1"/>
          <w:sz w:val="20"/>
          <w:szCs w:val="20"/>
          <w:rtl w:val="0"/>
        </w:rPr>
        <w:t xml:space="preserve">The Birth of Satan </w:t>
      </w:r>
      <w:r w:rsidDel="00000000" w:rsidR="00000000" w:rsidRPr="00000000">
        <w:rPr>
          <w:sz w:val="20"/>
          <w:szCs w:val="20"/>
          <w:rtl w:val="0"/>
        </w:rPr>
        <w:t xml:space="preserve">(2005)</w:t>
      </w:r>
      <w:r w:rsidDel="00000000" w:rsidR="00000000" w:rsidRPr="00000000">
        <w:rPr>
          <w:i w:val="1"/>
          <w:sz w:val="20"/>
          <w:szCs w:val="20"/>
          <w:rtl w:val="0"/>
        </w:rPr>
        <w:t xml:space="preserve"> </w:t>
      </w:r>
      <w:r w:rsidDel="00000000" w:rsidR="00000000" w:rsidRPr="00000000">
        <w:rPr>
          <w:sz w:val="20"/>
          <w:szCs w:val="20"/>
          <w:rtl w:val="0"/>
        </w:rPr>
        <w:t xml:space="preserve">pg 98</w:t>
      </w:r>
    </w:p>
  </w:footnote>
  <w:footnote w:id="4">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J.B. Russell </w:t>
      </w:r>
      <w:r w:rsidDel="00000000" w:rsidR="00000000" w:rsidRPr="00000000">
        <w:rPr>
          <w:i w:val="1"/>
          <w:sz w:val="20"/>
          <w:szCs w:val="20"/>
          <w:rtl w:val="0"/>
        </w:rPr>
        <w:t xml:space="preserve">The Prince of Darkness </w:t>
      </w:r>
      <w:r w:rsidDel="00000000" w:rsidR="00000000" w:rsidRPr="00000000">
        <w:rPr>
          <w:sz w:val="20"/>
          <w:szCs w:val="20"/>
          <w:rtl w:val="0"/>
        </w:rPr>
        <w:t xml:space="preserve">(1988)</w:t>
      </w:r>
      <w:r w:rsidDel="00000000" w:rsidR="00000000" w:rsidRPr="00000000">
        <w:rPr>
          <w:i w:val="1"/>
          <w:sz w:val="20"/>
          <w:szCs w:val="20"/>
          <w:rtl w:val="0"/>
        </w:rPr>
        <w:t xml:space="preserve"> </w:t>
      </w:r>
      <w:r w:rsidDel="00000000" w:rsidR="00000000" w:rsidRPr="00000000">
        <w:rPr>
          <w:sz w:val="20"/>
          <w:szCs w:val="20"/>
          <w:rtl w:val="0"/>
        </w:rPr>
        <w:t xml:space="preserve">pg 31</w:t>
      </w:r>
    </w:p>
  </w:footnote>
  <w:footnote w:id="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Henry Ansgar Kelly </w:t>
      </w:r>
      <w:r w:rsidDel="00000000" w:rsidR="00000000" w:rsidRPr="00000000">
        <w:rPr>
          <w:i w:val="1"/>
          <w:sz w:val="20"/>
          <w:szCs w:val="20"/>
          <w:highlight w:val="white"/>
          <w:rtl w:val="0"/>
        </w:rPr>
        <w:t xml:space="preserve">Satan: A Biography </w:t>
      </w:r>
      <w:r w:rsidDel="00000000" w:rsidR="00000000" w:rsidRPr="00000000">
        <w:rPr>
          <w:sz w:val="20"/>
          <w:szCs w:val="20"/>
          <w:highlight w:val="white"/>
          <w:rtl w:val="0"/>
        </w:rPr>
        <w:t xml:space="preserve">(2006) </w:t>
      </w:r>
      <w:r w:rsidDel="00000000" w:rsidR="00000000" w:rsidRPr="00000000">
        <w:rPr>
          <w:sz w:val="20"/>
          <w:szCs w:val="20"/>
          <w:rtl w:val="0"/>
        </w:rPr>
        <w:t xml:space="preserve">pg 33</w:t>
      </w:r>
    </w:p>
  </w:footnote>
  <w:footnote w:id="6">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Ida Fr</w:t>
      </w:r>
      <w:r w:rsidDel="00000000" w:rsidR="00000000" w:rsidRPr="00000000">
        <w:rPr>
          <w:color w:val="222222"/>
          <w:sz w:val="20"/>
          <w:szCs w:val="20"/>
          <w:highlight w:val="white"/>
          <w:rtl w:val="0"/>
        </w:rPr>
        <w:t xml:space="preserve">öhlich “Evil in the Second Temple Texts” found in </w:t>
      </w:r>
      <w:r w:rsidDel="00000000" w:rsidR="00000000" w:rsidRPr="00000000">
        <w:rPr>
          <w:i w:val="1"/>
          <w:color w:val="222222"/>
          <w:sz w:val="20"/>
          <w:szCs w:val="20"/>
          <w:highlight w:val="white"/>
          <w:rtl w:val="0"/>
        </w:rPr>
        <w:t xml:space="preserve">Evil and the Devil </w:t>
      </w:r>
      <w:r w:rsidDel="00000000" w:rsidR="00000000" w:rsidRPr="00000000">
        <w:rPr>
          <w:color w:val="222222"/>
          <w:sz w:val="20"/>
          <w:szCs w:val="20"/>
          <w:highlight w:val="white"/>
          <w:rtl w:val="0"/>
        </w:rPr>
        <w:t xml:space="preserve">edited by </w:t>
      </w:r>
      <w:r w:rsidDel="00000000" w:rsidR="00000000" w:rsidRPr="00000000">
        <w:rPr>
          <w:sz w:val="20"/>
          <w:szCs w:val="20"/>
          <w:highlight w:val="white"/>
          <w:rtl w:val="0"/>
        </w:rPr>
        <w:t xml:space="preserve">Ida Fr</w:t>
      </w:r>
      <w:r w:rsidDel="00000000" w:rsidR="00000000" w:rsidRPr="00000000">
        <w:rPr>
          <w:color w:val="222222"/>
          <w:sz w:val="20"/>
          <w:szCs w:val="20"/>
          <w:highlight w:val="white"/>
          <w:rtl w:val="0"/>
        </w:rPr>
        <w:t xml:space="preserve">öhlich &amp; Erkki Koskenniemi (2013) </w:t>
      </w:r>
      <w:r w:rsidDel="00000000" w:rsidR="00000000" w:rsidRPr="00000000">
        <w:rPr>
          <w:sz w:val="20"/>
          <w:szCs w:val="20"/>
          <w:rtl w:val="0"/>
        </w:rPr>
        <w:t xml:space="preserve">pg 32</w:t>
      </w:r>
    </w:p>
  </w:footnote>
  <w:footnote w:id="7">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Wray &amp; Mobley </w:t>
      </w:r>
      <w:r w:rsidDel="00000000" w:rsidR="00000000" w:rsidRPr="00000000">
        <w:rPr>
          <w:i w:val="1"/>
          <w:sz w:val="20"/>
          <w:szCs w:val="20"/>
          <w:rtl w:val="0"/>
        </w:rPr>
        <w:t xml:space="preserve">The Birth of Satan </w:t>
      </w:r>
      <w:r w:rsidDel="00000000" w:rsidR="00000000" w:rsidRPr="00000000">
        <w:rPr>
          <w:sz w:val="20"/>
          <w:szCs w:val="20"/>
          <w:rtl w:val="0"/>
        </w:rPr>
        <w:t xml:space="preserve">(2005) pg 101 </w:t>
      </w:r>
    </w:p>
  </w:footnote>
  <w:footnote w:id="8">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Elaine Pagels </w:t>
      </w:r>
      <w:r w:rsidDel="00000000" w:rsidR="00000000" w:rsidRPr="00000000">
        <w:rPr>
          <w:i w:val="1"/>
          <w:sz w:val="20"/>
          <w:szCs w:val="20"/>
          <w:rtl w:val="0"/>
        </w:rPr>
        <w:t xml:space="preserve">The Origin of Satan </w:t>
      </w:r>
      <w:r w:rsidDel="00000000" w:rsidR="00000000" w:rsidRPr="00000000">
        <w:rPr>
          <w:sz w:val="20"/>
          <w:szCs w:val="20"/>
          <w:rtl w:val="0"/>
        </w:rPr>
        <w:t xml:space="preserve">(1996)</w:t>
      </w:r>
      <w:r w:rsidDel="00000000" w:rsidR="00000000" w:rsidRPr="00000000">
        <w:rPr>
          <w:i w:val="1"/>
          <w:sz w:val="20"/>
          <w:szCs w:val="20"/>
          <w:rtl w:val="0"/>
        </w:rPr>
        <w:t xml:space="preserve"> </w:t>
      </w:r>
      <w:r w:rsidDel="00000000" w:rsidR="00000000" w:rsidRPr="00000000">
        <w:rPr>
          <w:sz w:val="20"/>
          <w:szCs w:val="20"/>
          <w:rtl w:val="0"/>
        </w:rPr>
        <w:t xml:space="preserve">pg 54</w:t>
      </w:r>
    </w:p>
  </w:footnote>
  <w:footnote w:id="9">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Ida Fr</w:t>
      </w:r>
      <w:r w:rsidDel="00000000" w:rsidR="00000000" w:rsidRPr="00000000">
        <w:rPr>
          <w:color w:val="222222"/>
          <w:sz w:val="20"/>
          <w:szCs w:val="20"/>
          <w:highlight w:val="white"/>
          <w:rtl w:val="0"/>
        </w:rPr>
        <w:t xml:space="preserve">öhlich “Evil in the Second Temple Texts” in </w:t>
      </w:r>
      <w:r w:rsidDel="00000000" w:rsidR="00000000" w:rsidRPr="00000000">
        <w:rPr>
          <w:i w:val="1"/>
          <w:color w:val="222222"/>
          <w:sz w:val="20"/>
          <w:szCs w:val="20"/>
          <w:highlight w:val="white"/>
          <w:rtl w:val="0"/>
        </w:rPr>
        <w:t xml:space="preserve">Evil and the Devil </w:t>
      </w:r>
      <w:r w:rsidDel="00000000" w:rsidR="00000000" w:rsidRPr="00000000">
        <w:rPr>
          <w:color w:val="222222"/>
          <w:sz w:val="20"/>
          <w:szCs w:val="20"/>
          <w:highlight w:val="white"/>
          <w:rtl w:val="0"/>
        </w:rPr>
        <w:t xml:space="preserve">(2013)</w:t>
      </w:r>
      <w:r w:rsidDel="00000000" w:rsidR="00000000" w:rsidRPr="00000000">
        <w:rPr>
          <w:i w:val="1"/>
          <w:sz w:val="20"/>
          <w:szCs w:val="20"/>
          <w:rtl w:val="0"/>
        </w:rPr>
        <w:t xml:space="preserve"> </w:t>
      </w:r>
      <w:r w:rsidDel="00000000" w:rsidR="00000000" w:rsidRPr="00000000">
        <w:rPr>
          <w:sz w:val="20"/>
          <w:szCs w:val="20"/>
          <w:rtl w:val="0"/>
        </w:rPr>
        <w:t xml:space="preserve">pg 34</w:t>
      </w:r>
    </w:p>
  </w:footnote>
  <w:footnote w:id="10">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Wray &amp; Mobley </w:t>
      </w:r>
      <w:r w:rsidDel="00000000" w:rsidR="00000000" w:rsidRPr="00000000">
        <w:rPr>
          <w:i w:val="1"/>
          <w:sz w:val="20"/>
          <w:szCs w:val="20"/>
          <w:rtl w:val="0"/>
        </w:rPr>
        <w:t xml:space="preserve">The Birth of Satan </w:t>
      </w:r>
      <w:r w:rsidDel="00000000" w:rsidR="00000000" w:rsidRPr="00000000">
        <w:rPr>
          <w:sz w:val="20"/>
          <w:szCs w:val="20"/>
          <w:rtl w:val="0"/>
        </w:rPr>
        <w:t xml:space="preserve">(2005)</w:t>
      </w:r>
      <w:r w:rsidDel="00000000" w:rsidR="00000000" w:rsidRPr="00000000">
        <w:rPr>
          <w:i w:val="1"/>
          <w:sz w:val="20"/>
          <w:szCs w:val="20"/>
          <w:rtl w:val="0"/>
        </w:rPr>
        <w:t xml:space="preserve"> </w:t>
      </w:r>
      <w:r w:rsidDel="00000000" w:rsidR="00000000" w:rsidRPr="00000000">
        <w:rPr>
          <w:sz w:val="20"/>
          <w:szCs w:val="20"/>
          <w:rtl w:val="0"/>
        </w:rPr>
        <w:t xml:space="preserve">pg 104</w:t>
      </w:r>
    </w:p>
  </w:footnote>
  <w:footnote w:id="11">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H.A. Kelly </w:t>
      </w:r>
      <w:r w:rsidDel="00000000" w:rsidR="00000000" w:rsidRPr="00000000">
        <w:rPr>
          <w:i w:val="1"/>
          <w:sz w:val="20"/>
          <w:szCs w:val="20"/>
          <w:highlight w:val="white"/>
          <w:rtl w:val="0"/>
        </w:rPr>
        <w:t xml:space="preserve">Satan: A Biography </w:t>
      </w:r>
      <w:r w:rsidDel="00000000" w:rsidR="00000000" w:rsidRPr="00000000">
        <w:rPr>
          <w:sz w:val="20"/>
          <w:szCs w:val="20"/>
          <w:highlight w:val="white"/>
          <w:rtl w:val="0"/>
        </w:rPr>
        <w:t xml:space="preserve">(2006)</w:t>
      </w:r>
      <w:r w:rsidDel="00000000" w:rsidR="00000000" w:rsidRPr="00000000">
        <w:rPr>
          <w:i w:val="1"/>
          <w:sz w:val="20"/>
          <w:szCs w:val="20"/>
          <w:rtl w:val="0"/>
        </w:rPr>
        <w:t xml:space="preserve"> </w:t>
      </w:r>
      <w:r w:rsidDel="00000000" w:rsidR="00000000" w:rsidRPr="00000000">
        <w:rPr>
          <w:sz w:val="20"/>
          <w:szCs w:val="20"/>
          <w:rtl w:val="0"/>
        </w:rPr>
        <w:t xml:space="preserve">pg 41</w:t>
      </w:r>
    </w:p>
  </w:footnote>
  <w:footnote w:id="12">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Wray &amp; Mobley </w:t>
      </w:r>
      <w:r w:rsidDel="00000000" w:rsidR="00000000" w:rsidRPr="00000000">
        <w:rPr>
          <w:i w:val="1"/>
          <w:sz w:val="20"/>
          <w:szCs w:val="20"/>
          <w:rtl w:val="0"/>
        </w:rPr>
        <w:t xml:space="preserve">The Birth of Satan </w:t>
      </w:r>
      <w:r w:rsidDel="00000000" w:rsidR="00000000" w:rsidRPr="00000000">
        <w:rPr>
          <w:sz w:val="20"/>
          <w:szCs w:val="20"/>
          <w:rtl w:val="0"/>
        </w:rPr>
        <w:t xml:space="preserve">(2005) pg 105</w:t>
      </w:r>
    </w:p>
  </w:footnote>
  <w:footnote w:id="0">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Jeffrey Burton Russell </w:t>
      </w:r>
      <w:r w:rsidDel="00000000" w:rsidR="00000000" w:rsidRPr="00000000">
        <w:rPr>
          <w:i w:val="1"/>
          <w:sz w:val="20"/>
          <w:szCs w:val="20"/>
          <w:highlight w:val="white"/>
          <w:rtl w:val="0"/>
        </w:rPr>
        <w:t xml:space="preserve">The Prince of Darkness: Radical Evil and the Power of Good in History</w:t>
      </w:r>
      <w:r w:rsidDel="00000000" w:rsidR="00000000" w:rsidRPr="00000000">
        <w:rPr>
          <w:sz w:val="20"/>
          <w:szCs w:val="20"/>
          <w:highlight w:val="white"/>
          <w:rtl w:val="0"/>
        </w:rPr>
        <w:t xml:space="preserve"> (1988) </w:t>
      </w:r>
      <w:r w:rsidDel="00000000" w:rsidR="00000000" w:rsidRPr="00000000">
        <w:rPr>
          <w:sz w:val="20"/>
          <w:szCs w:val="20"/>
          <w:rtl w:val="0"/>
        </w:rPr>
        <w:t xml:space="preserve">pg 35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